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55A11"/>
          <w:sz w:val="30"/>
          <w:szCs w:val="30"/>
        </w:rPr>
        <w:t xml:space="preserve">PROJECT VIF</w:t>
      </w:r>
    </w:p>
    <w:p>
      <w:pPr>
        <w:spacing w:after="700"/>
        <w:jc w:val="center"/>
      </w:pPr>
      <w:r>
        <w:rPr>
          <w:i/>
          <w:iCs/>
          <w:color w:val="595959"/>
          <w:sz w:val="22"/>
          <w:szCs w:val="22"/>
        </w:rPr>
        <w:t xml:space="preserve">The Real-Time Student Food Bridge</w:t>
      </w:r>
    </w:p>
    <w:p>
      <w:pPr>
        <w:spacing w:after="140"/>
        <w:jc w:val="center"/>
      </w:pPr>
      <w:r>
        <w:rPr>
          <w:b/>
          <w:bCs/>
          <w:color w:val="2E75B6"/>
          <w:sz w:val="24"/>
          <w:szCs w:val="24"/>
        </w:rPr>
        <w:t xml:space="preserve">MANAGEMENT DOCUMENT</w:t>
      </w:r>
    </w:p>
    <w:p>
      <w:pPr>
        <w:spacing w:after="60" w:line="540" w:lineRule="atLeast"/>
        <w:jc w:val="center"/>
      </w:pPr>
      <w:r>
        <w:rPr>
          <w:b/>
          <w:bCs/>
          <w:color w:val="1F3864"/>
          <w:sz w:val="48"/>
          <w:szCs w:val="48"/>
        </w:rPr>
        <w:t xml:space="preserve">Consolidated</w:t>
      </w:r>
    </w:p>
    <w:p>
      <w:pPr>
        <w:pBdr>
          <w:bottom w:val="single" w:color="C55A11" w:sz="12" w:space="10"/>
        </w:pBdr>
        <w:spacing w:after="120" w:line="540" w:lineRule="atLeast"/>
        <w:jc w:val="center"/>
      </w:pPr>
      <w:r>
        <w:rPr>
          <w:b/>
          <w:bCs/>
          <w:color w:val="1F3864"/>
          <w:sz w:val="48"/>
          <w:szCs w:val="48"/>
        </w:rPr>
        <w:t xml:space="preserve">Risk Register</w:t>
      </w:r>
    </w:p>
    <w:p>
      <w:pPr>
        <w:spacing w:after="1600" w:before="200"/>
        <w:jc w:val="center"/>
      </w:pPr>
      <w:r>
        <w:rPr>
          <w:color w:val="595959"/>
          <w:sz w:val="24"/>
          <w:szCs w:val="24"/>
        </w:rPr>
        <w:t xml:space="preserve">All Project Vif Risks in One Place —
Adoption, Delivery, Technical, Security and Sustainability</w:t>
      </w:r>
    </w:p>
    <w:p>
      <w:pPr>
        <w:spacing w:after="60"/>
        <w:jc w:val="center"/>
      </w:pPr>
      <w:r>
        <w:rPr>
          <w:b/>
          <w:bCs/>
          <w:color w:val="1F3864"/>
          <w:sz w:val="22"/>
          <w:szCs w:val="22"/>
        </w:rPr>
        <w:t xml:space="preserve">EPITECH — Capstone / Innovative Project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Lead Engineer: Rao Muhammad Mueez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Paris, France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r>
        <w:t xml:space="preserve">Risks for Project Vif are identified across several documents — the milestones, the Threat Model, the Test Plan. This document consolidates them into a single master register so the team and the jury can see the whole risk picture at once, with consistent rating and clear ownership.</w:t>
      </w:r>
    </w:p>
    <w:p>
      <w:pPr>
        <w:pStyle w:val="Heading1"/>
      </w:pPr>
      <w:r>
        <w:t xml:space="preserve">2. How Risks Are Rated</w:t>
      </w:r>
    </w:p>
    <w:p>
      <w:r>
        <w:t xml:space="preserve">Each risk is rated on two scales — Likelihood (how probable) and Impact (how damaging) — each Low, Medium or High. The combination gives a priority that decides how much attention the risk receives.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3660"/>
      </w:tblGrid>
      <w:tr>
        <w:trPr>
          <w:tblHeader/>
        </w:trP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 impact and at least medium likelihood.</w:t>
            </w:r>
          </w:p>
        </w:tc>
        <w:tc>
          <w:tcPr>
            <w:tcW w:type="dxa" w:w="3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Actively managed; mitigation tracked every sprint.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Moderate impact or likelihood.</w:t>
            </w:r>
          </w:p>
        </w:tc>
        <w:tc>
          <w:tcPr>
            <w:tcW w:type="dxa" w:w="3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Monitored; mitigation planned and reviewed.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Limited impact and unlikely.</w:t>
            </w:r>
          </w:p>
        </w:tc>
        <w:tc>
          <w:tcPr>
            <w:tcW w:type="dxa" w:w="3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Noted; accepted unless conditions change.</w:t>
            </w:r>
          </w:p>
        </w:tc>
      </w:tr>
    </w:tbl>
    <w:p>
      <w:r>
        <w:t xml:space="preserve">Each risk also has an owner — the person responsible for watching it and acting on the mitigation — and a category.</w:t>
      </w:r>
    </w:p>
    <w:p>
      <w:pPr>
        <w:pStyle w:val="Heading1"/>
      </w:pPr>
      <w:r>
        <w:t xml:space="preserve">3. Risk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Adoption </w:t>
      </w:r>
      <w:r>
        <w:t xml:space="preserve">— risks that bakers or students do not join or stay (from Milestone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Delivery </w:t>
      </w:r>
      <w:r>
        <w:t xml:space="preserve">— risks to building the product on time and to quality (from Milestone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Technical </w:t>
      </w:r>
      <w:r>
        <w:t xml:space="preserve">— risks in the technology and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 &amp; Privacy </w:t>
      </w:r>
      <w:r>
        <w:t xml:space="preserve">— risks of attack or data mishandling (from the Threat Model).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Legal &amp; Compliance </w:t>
      </w:r>
      <w:r>
        <w:t xml:space="preserve">— risks around tax, food safety and data law.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Sustainability </w:t>
      </w:r>
      <w:r>
        <w:t xml:space="preserve">— risks to the project lasting beyond the pilot (from Milestone 3).</w:t>
      </w:r>
    </w:p>
    <w:p>
      <w:pPr>
        <w:pStyle w:val="Heading1"/>
      </w:pPr>
      <w:r>
        <w:t xml:space="preserve">4. Master Risk Register</w:t>
      </w:r>
    </w:p>
    <w:p>
      <w:pPr>
        <w:pStyle w:val="Heading2"/>
      </w:pPr>
      <w:r>
        <w:t xml:space="preserve">4.1 Adoption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800"/>
        <w:gridCol w:w="950"/>
        <w:gridCol w:w="3010"/>
        <w:gridCol w:w="700"/>
      </w:tblGrid>
      <w:tr>
        <w:trPr>
          <w:tblHeader/>
        </w:trP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 / I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R-1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Too few bakeries join — no supply.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 / H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Focus one dense pilot zone; recruit pioneers personally; lead with the tax figure.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Lead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R-2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Students perceive stigma and avoid the app.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 / H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Consistent anti-waste framing; modern design; verified access as a quality signal.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Comms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R-3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Empty-app effect — users join, nothing nearby.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 / M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Synchronise baker and student recruitment per zone; supply-led growth.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Lead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R-4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Partner association hesitates to commit.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 / H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Involve them as co-designers early; show compliance framework up front.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Lead</w:t>
            </w:r>
          </w:p>
        </w:tc>
      </w:tr>
    </w:tbl>
    <w:p>
      <w:pPr>
        <w:pStyle w:val="Heading2"/>
      </w:pPr>
      <w:r>
        <w:t xml:space="preserve">4.2 Delivery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800"/>
        <w:gridCol w:w="950"/>
        <w:gridCol w:w="3010"/>
        <w:gridCol w:w="700"/>
      </w:tblGrid>
      <w:tr>
        <w:trPr>
          <w:tblHeader/>
        </w:trP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 / I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R-5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Scope creep — too many features attempted.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 / H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Strict MoSCoW; enforce the Won’t-Have list; new ideas go to the backlog.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Lead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R-6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Backend / frontend integration drift.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 / H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Shared API contract agreed early; weekly integration check.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Member B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R-7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Team-member unavailability (exams, illness).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 / M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Cross-document each module; no single point of knowledge; Sprint 3 buffer.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Lead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R-8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Cerfa document not accepted by accountants.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 / H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Validate the generated document early with a real accountant.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Member A/B</w:t>
            </w:r>
          </w:p>
        </w:tc>
      </w:tr>
    </w:tbl>
    <w:p>
      <w:pPr>
        <w:pStyle w:val="Heading2"/>
      </w:pPr>
      <w:r>
        <w:t xml:space="preserve">4.3 Technical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800"/>
        <w:gridCol w:w="950"/>
        <w:gridCol w:w="3010"/>
        <w:gridCol w:w="700"/>
      </w:tblGrid>
      <w:tr>
        <w:trPr>
          <w:tblHeader/>
        </w:trP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 / I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R-9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OCR accuracy too low on varied student cards.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 / H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Early OCR stress testing; manual fallback; narrow card set for the pilot.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Member A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R-10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Real-time notifications unreliable or slow.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 / M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 WebSockets/FCM under load; monitor delivery times.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Member D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R-11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Geospatial queries slow at scale.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 / M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PostGIS spatial indexing and ST_DWithin from the start.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Member B</w:t>
            </w:r>
          </w:p>
        </w:tc>
      </w:tr>
    </w:tbl>
    <w:p>
      <w:pPr>
        <w:pStyle w:val="Heading2"/>
      </w:pPr>
      <w:r>
        <w:t xml:space="preserve">4.4 Security &amp; Privacy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800"/>
        <w:gridCol w:w="950"/>
        <w:gridCol w:w="3010"/>
        <w:gridCol w:w="700"/>
      </w:tblGrid>
      <w:tr>
        <w:trPr>
          <w:tblHeader/>
        </w:trP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 / I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R-12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QR replay attack — a code reused for multiple claims.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 / H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Short-lived dynamic codes; one-time validation; see Threat Model.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Member A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R-13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Student ID images or PII leaked.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 / H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Immediate image disposal after OCR; store only minimal data.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Member A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R-14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Presentation attack — fake or screen-displayed IDs.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 / M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Presentation Attack Detection; name cross-checking.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Member A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R-15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Endpoint abuse / denial of service.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 / M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Rate limiting on sensitive endpoints; platform header checks.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Member B</w:t>
            </w:r>
          </w:p>
        </w:tc>
      </w:tr>
    </w:tbl>
    <w:p>
      <w:pPr>
        <w:pStyle w:val="Heading2"/>
      </w:pPr>
      <w:r>
        <w:t xml:space="preserve">4.5 Legal &amp; Compliance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800"/>
        <w:gridCol w:w="950"/>
        <w:gridCol w:w="3010"/>
        <w:gridCol w:w="700"/>
      </w:tblGrid>
      <w:tr>
        <w:trPr>
          <w:tblHeader/>
        </w:trP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 / I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R-16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Food-safety incident damages trust.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 / H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Strict item-category rules; clear Terms of Use; traceability.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Lead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R-17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GDPR / CNIL non-compliance.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 / H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Privacy by design; data minimisation; user-rights features.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Member A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R-18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Change in tax or food-donation law.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 / M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Monitor the legal framework; keep the association convention current.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Lead</w:t>
            </w:r>
          </w:p>
        </w:tc>
      </w:tr>
    </w:tbl>
    <w:p>
      <w:pPr>
        <w:pStyle w:val="Heading2"/>
      </w:pPr>
      <w:r>
        <w:t xml:space="preserve">4.6 Sustainability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800"/>
        <w:gridCol w:w="950"/>
        <w:gridCol w:w="3010"/>
        <w:gridCol w:w="700"/>
      </w:tblGrid>
      <w:tr>
        <w:trPr>
          <w:tblHeader/>
        </w:trP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 / I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R-19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Founder dependency — project dies when the team leaves.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 / H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Documented processes; institutional partnerships; self-service onboarding.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Lead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R-20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sustainable revenue — costs exceed funding.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 / H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Diversified revenue mix; aim for recurring break-even.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Lead</w:t>
            </w:r>
          </w:p>
        </w:tc>
      </w:tr>
      <w:tr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R-21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Demand outgrows supply during scaling.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 / H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Strict supply-led growth; never open a zone before bakery coverage.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Lead</w:t>
            </w:r>
          </w:p>
        </w:tc>
      </w:tr>
    </w:tbl>
    <w:p>
      <w:pPr>
        <w:pStyle w:val="Heading1"/>
      </w:pPr>
      <w:r>
        <w:t xml:space="preserve">5. Risk Summary</w:t>
      </w:r>
    </w:p>
    <w:p>
      <w:r>
        <w:t xml:space="preserve">The register holds 21 risks. Their distribution shows where attention must concentrate: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560"/>
      </w:tblGrid>
      <w:tr>
        <w:trPr>
          <w:tblHeader/>
        </w:trP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Actively managed every sprint; the core of risk reviews.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Monitored; mitigations planned.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Accepted unless conditions change.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55A11" w:sz="18"/>
              <w:bottom w:val="none"/>
              <w:right w:val="none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The three risks to watch most closely</w:t>
            </w:r>
          </w:p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F3864"/>
              </w:rPr>
              <w:t xml:space="preserve">Across all categories, three risks are existential for Vif: </w:t>
            </w:r>
            <w:r>
              <w:t xml:space="preserve">too few bakeries (R-1), a food-safety incident (R-16), and founder dependency (R-19). The first threatens the launch, the second threatens trust, and the third threatens survival. They deserve the most consistent attention.</w:t>
            </w:r>
          </w:p>
        </w:tc>
      </w:tr>
    </w:tbl>
    <w:p>
      <w:pPr>
        <w:pStyle w:val="Heading1"/>
      </w:pPr>
      <w:r>
        <w:t xml:space="preserve">6. Risk Review Process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register is reviewed at every sprint review.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owner reports the status of their risks and whether likelihood or impact has changed.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New risks are added as they are identified; closed risks are marked but kept for the record.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Any risk that rises to High priority is escalated to the whole team.</w:t>
      </w:r>
    </w:p>
    <w:p>
      <w:pPr>
        <w:pStyle w:val="Heading1"/>
      </w:pPr>
      <w:r>
        <w:t xml:space="preserve">7. Summary</w:t>
      </w:r>
    </w:p>
    <w:p>
      <w:r>
        <w:t xml:space="preserve">This consolidated register replaces scattered risk lists with one master view: 21 risks across six categories, each rated, mitigated and owned. It gives the team a single tool for managing uncertainty and gives the jury clear evidence that the project’s risks were anticipated rather than discovered.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EPITECH Capstone — Confidential Draft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b/>
        <w:bCs/>
        <w:color w:val="1F3864"/>
        <w:sz w:val="18"/>
        <w:szCs w:val="18"/>
      </w:rPr>
      <w:t xml:space="preserve">Project Vif</w:t>
    </w:r>
    <w:r>
      <w:rPr>
        <w:color w:val="595959"/>
        <w:sz w:val="18"/>
        <w:szCs w:val="18"/>
      </w:rPr>
      <w:t xml:space="preserve">	Risk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  <w:lvl w:ilvl="1" w15:tentative="1">
      <w:start w:val="1"/>
      <w:numFmt w:val="bullet"/>
      <w:lvlText w:val="–"/>
      <w:lvlJc w:val="left"/>
      <w:pPr>
        <w:ind w:left="8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55A11"/>
      <w:sz w:val="23"/>
      <w:szCs w:val="23"/>
    </w:rPr>
  </w:style>
  <w:style w:type="paragraph" w:styleId="Normal">
    <w:name w:val="Normal"/>
    <w:pPr>
      <w:spacing w:after="120" w:line="288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2026-05-26T05:21:38.730Z</dcterms:created>
  <dcterms:modified xsi:type="dcterms:W3CDTF">2026-05-26T05:21:38.743Z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