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179F" w14:textId="77777777" w:rsidR="00885322" w:rsidRDefault="00885322">
      <w:pPr>
        <w:spacing w:before="1400"/>
      </w:pPr>
    </w:p>
    <w:p w14:paraId="5A32F3C5" w14:textId="77777777" w:rsidR="00885322" w:rsidRDefault="00000000">
      <w:pPr>
        <w:spacing w:after="60"/>
        <w:jc w:val="center"/>
      </w:pPr>
      <w:r>
        <w:rPr>
          <w:b/>
          <w:bCs/>
          <w:color w:val="C55A11"/>
          <w:sz w:val="30"/>
          <w:szCs w:val="30"/>
        </w:rPr>
        <w:t>PROJECT VIF</w:t>
      </w:r>
    </w:p>
    <w:p w14:paraId="6FBEB191" w14:textId="77777777" w:rsidR="00885322" w:rsidRDefault="00000000">
      <w:pPr>
        <w:spacing w:after="700"/>
        <w:jc w:val="center"/>
      </w:pPr>
      <w:r>
        <w:rPr>
          <w:i/>
          <w:iCs/>
          <w:color w:val="595959"/>
        </w:rPr>
        <w:t>The Real-Time Student Food Bridge</w:t>
      </w:r>
    </w:p>
    <w:p w14:paraId="01AF0230" w14:textId="77777777" w:rsidR="00885322" w:rsidRDefault="00000000">
      <w:pPr>
        <w:spacing w:after="140"/>
        <w:jc w:val="center"/>
      </w:pPr>
      <w:r>
        <w:rPr>
          <w:b/>
          <w:bCs/>
          <w:color w:val="2E75B6"/>
          <w:sz w:val="24"/>
          <w:szCs w:val="24"/>
        </w:rPr>
        <w:t>MILESTONE 3</w:t>
      </w:r>
    </w:p>
    <w:p w14:paraId="31F39E51" w14:textId="77777777" w:rsidR="00885322" w:rsidRDefault="00000000">
      <w:pPr>
        <w:spacing w:after="60" w:line="540" w:lineRule="atLeast"/>
        <w:jc w:val="center"/>
      </w:pPr>
      <w:r>
        <w:rPr>
          <w:b/>
          <w:bCs/>
          <w:color w:val="1F3864"/>
          <w:sz w:val="48"/>
          <w:szCs w:val="48"/>
        </w:rPr>
        <w:t>Sustainability &amp;</w:t>
      </w:r>
    </w:p>
    <w:p w14:paraId="6A0D49B7" w14:textId="77777777" w:rsidR="00885322" w:rsidRDefault="00000000">
      <w:pPr>
        <w:pBdr>
          <w:bottom w:val="single" w:sz="12" w:space="10" w:color="C55A11"/>
        </w:pBdr>
        <w:spacing w:line="540" w:lineRule="atLeast"/>
        <w:jc w:val="center"/>
      </w:pPr>
      <w:r>
        <w:rPr>
          <w:b/>
          <w:bCs/>
          <w:color w:val="1F3864"/>
          <w:sz w:val="48"/>
          <w:szCs w:val="48"/>
        </w:rPr>
        <w:t>Scaling Strategy</w:t>
      </w:r>
    </w:p>
    <w:p w14:paraId="1AD1DC7B" w14:textId="77777777" w:rsidR="00885322" w:rsidRDefault="00000000">
      <w:pPr>
        <w:spacing w:before="200" w:after="1600"/>
        <w:jc w:val="center"/>
      </w:pPr>
      <w:r>
        <w:rPr>
          <w:color w:val="595959"/>
          <w:sz w:val="24"/>
          <w:szCs w:val="24"/>
        </w:rPr>
        <w:t>Making the Change Long-Lasting, Growing the Platform and the Long-Term Vision</w:t>
      </w:r>
    </w:p>
    <w:p w14:paraId="00041CD9" w14:textId="77777777" w:rsidR="00885322" w:rsidRDefault="00000000">
      <w:pPr>
        <w:spacing w:after="60"/>
        <w:jc w:val="center"/>
      </w:pPr>
      <w:r>
        <w:rPr>
          <w:b/>
          <w:bCs/>
          <w:color w:val="1F3864"/>
        </w:rPr>
        <w:t>EPITECH — Capstone / Innovative Project</w:t>
      </w:r>
    </w:p>
    <w:p w14:paraId="38D37338" w14:textId="77777777" w:rsidR="00885322" w:rsidRDefault="00000000">
      <w:pPr>
        <w:spacing w:after="40"/>
        <w:jc w:val="center"/>
      </w:pPr>
      <w:r>
        <w:rPr>
          <w:color w:val="595959"/>
        </w:rPr>
        <w:t>Lead Engineer: Rao Muhammad Mueez</w:t>
      </w:r>
    </w:p>
    <w:p w14:paraId="22F802A4" w14:textId="77777777" w:rsidR="00885322" w:rsidRDefault="00000000">
      <w:pPr>
        <w:spacing w:after="600"/>
        <w:jc w:val="center"/>
      </w:pPr>
      <w:r>
        <w:rPr>
          <w:color w:val="595959"/>
        </w:rPr>
        <w:t>Paris, France</w:t>
      </w:r>
    </w:p>
    <w:p w14:paraId="1F8A0002" w14:textId="77777777" w:rsidR="00885322" w:rsidRDefault="00000000">
      <w:r>
        <w:br w:type="page"/>
      </w:r>
    </w:p>
    <w:p w14:paraId="0C2F0992" w14:textId="77777777" w:rsidR="00885322" w:rsidRDefault="00000000">
      <w:pPr>
        <w:pStyle w:val="Heading1"/>
      </w:pPr>
      <w:bookmarkStart w:id="0" w:name="_Toc230644775"/>
      <w:r>
        <w:lastRenderedPageBreak/>
        <w:t>Table of Contents</w:t>
      </w:r>
      <w:bookmarkEnd w:id="0"/>
    </w:p>
    <w:sdt>
      <w:sdtPr>
        <w:alias w:val="Table of Contents"/>
        <w:id w:val="-133256319"/>
      </w:sdtPr>
      <w:sdtContent>
        <w:p w14:paraId="038EEC67" w14:textId="7BF2696C" w:rsidR="000F4536" w:rsidRDefault="00000000">
          <w:pPr>
            <w:pStyle w:val="TOC1"/>
            <w:tabs>
              <w:tab w:val="right" w:leader="dot" w:pos="9350"/>
            </w:tabs>
            <w:rPr>
              <w:noProof/>
            </w:rPr>
          </w:pPr>
          <w:r>
            <w:fldChar w:fldCharType="begin"/>
          </w:r>
          <w:r>
            <w:instrText>TOC \h \o "1-3"</w:instrText>
          </w:r>
          <w:r>
            <w:fldChar w:fldCharType="separate"/>
          </w:r>
          <w:hyperlink w:anchor="_Toc230644775" w:history="1">
            <w:r w:rsidR="000F4536" w:rsidRPr="00E80B07">
              <w:rPr>
                <w:rStyle w:val="Hyperlink"/>
                <w:noProof/>
              </w:rPr>
              <w:t>Table of Contents</w:t>
            </w:r>
            <w:r w:rsidR="000F4536">
              <w:rPr>
                <w:noProof/>
              </w:rPr>
              <w:tab/>
            </w:r>
            <w:r w:rsidR="000F4536">
              <w:rPr>
                <w:noProof/>
              </w:rPr>
              <w:fldChar w:fldCharType="begin"/>
            </w:r>
            <w:r w:rsidR="000F4536">
              <w:rPr>
                <w:noProof/>
              </w:rPr>
              <w:instrText xml:space="preserve"> PAGEREF _Toc230644775 \h </w:instrText>
            </w:r>
            <w:r w:rsidR="000F4536">
              <w:rPr>
                <w:noProof/>
              </w:rPr>
            </w:r>
            <w:r w:rsidR="000F4536">
              <w:rPr>
                <w:noProof/>
              </w:rPr>
              <w:fldChar w:fldCharType="separate"/>
            </w:r>
            <w:r w:rsidR="000F4536">
              <w:rPr>
                <w:noProof/>
              </w:rPr>
              <w:t>2</w:t>
            </w:r>
            <w:r w:rsidR="000F4536">
              <w:rPr>
                <w:noProof/>
              </w:rPr>
              <w:fldChar w:fldCharType="end"/>
            </w:r>
          </w:hyperlink>
        </w:p>
        <w:p w14:paraId="1D0FCE0A" w14:textId="6751F80A" w:rsidR="000F4536" w:rsidRDefault="000F4536">
          <w:pPr>
            <w:pStyle w:val="TOC1"/>
            <w:tabs>
              <w:tab w:val="right" w:leader="dot" w:pos="9350"/>
            </w:tabs>
            <w:rPr>
              <w:noProof/>
            </w:rPr>
          </w:pPr>
          <w:hyperlink w:anchor="_Toc230644776" w:history="1">
            <w:r w:rsidRPr="00E80B07">
              <w:rPr>
                <w:rStyle w:val="Hyperlink"/>
                <w:noProof/>
              </w:rPr>
              <w:t>1. Purpose of this Document</w:t>
            </w:r>
            <w:r>
              <w:rPr>
                <w:noProof/>
              </w:rPr>
              <w:tab/>
            </w:r>
            <w:r>
              <w:rPr>
                <w:noProof/>
              </w:rPr>
              <w:fldChar w:fldCharType="begin"/>
            </w:r>
            <w:r>
              <w:rPr>
                <w:noProof/>
              </w:rPr>
              <w:instrText xml:space="preserve"> PAGEREF _Toc230644776 \h </w:instrText>
            </w:r>
            <w:r>
              <w:rPr>
                <w:noProof/>
              </w:rPr>
            </w:r>
            <w:r>
              <w:rPr>
                <w:noProof/>
              </w:rPr>
              <w:fldChar w:fldCharType="separate"/>
            </w:r>
            <w:r>
              <w:rPr>
                <w:noProof/>
              </w:rPr>
              <w:t>3</w:t>
            </w:r>
            <w:r>
              <w:rPr>
                <w:noProof/>
              </w:rPr>
              <w:fldChar w:fldCharType="end"/>
            </w:r>
          </w:hyperlink>
        </w:p>
        <w:p w14:paraId="026005F7" w14:textId="3E85C388" w:rsidR="000F4536" w:rsidRDefault="000F4536">
          <w:pPr>
            <w:pStyle w:val="TOC1"/>
            <w:tabs>
              <w:tab w:val="right" w:leader="dot" w:pos="9350"/>
            </w:tabs>
            <w:rPr>
              <w:noProof/>
            </w:rPr>
          </w:pPr>
          <w:hyperlink w:anchor="_Toc230644777" w:history="1">
            <w:r w:rsidRPr="00E80B07">
              <w:rPr>
                <w:rStyle w:val="Hyperlink"/>
                <w:noProof/>
              </w:rPr>
              <w:t>2. Making the Change Long-Lasting</w:t>
            </w:r>
            <w:r>
              <w:rPr>
                <w:noProof/>
              </w:rPr>
              <w:tab/>
            </w:r>
            <w:r>
              <w:rPr>
                <w:noProof/>
              </w:rPr>
              <w:fldChar w:fldCharType="begin"/>
            </w:r>
            <w:r>
              <w:rPr>
                <w:noProof/>
              </w:rPr>
              <w:instrText xml:space="preserve"> PAGEREF _Toc230644777 \h </w:instrText>
            </w:r>
            <w:r>
              <w:rPr>
                <w:noProof/>
              </w:rPr>
            </w:r>
            <w:r>
              <w:rPr>
                <w:noProof/>
              </w:rPr>
              <w:fldChar w:fldCharType="separate"/>
            </w:r>
            <w:r>
              <w:rPr>
                <w:noProof/>
              </w:rPr>
              <w:t>3</w:t>
            </w:r>
            <w:r>
              <w:rPr>
                <w:noProof/>
              </w:rPr>
              <w:fldChar w:fldCharType="end"/>
            </w:r>
          </w:hyperlink>
        </w:p>
        <w:p w14:paraId="38D18E47" w14:textId="38DC7896" w:rsidR="000F4536" w:rsidRDefault="000F4536">
          <w:pPr>
            <w:pStyle w:val="TOC2"/>
            <w:tabs>
              <w:tab w:val="right" w:leader="dot" w:pos="9350"/>
            </w:tabs>
            <w:rPr>
              <w:noProof/>
            </w:rPr>
          </w:pPr>
          <w:hyperlink w:anchor="_Toc230644778" w:history="1">
            <w:r w:rsidRPr="00E80B07">
              <w:rPr>
                <w:rStyle w:val="Hyperlink"/>
                <w:noProof/>
              </w:rPr>
              <w:t>2.1 Turning Use into Habit — Bakeries</w:t>
            </w:r>
            <w:r>
              <w:rPr>
                <w:noProof/>
              </w:rPr>
              <w:tab/>
            </w:r>
            <w:r>
              <w:rPr>
                <w:noProof/>
              </w:rPr>
              <w:fldChar w:fldCharType="begin"/>
            </w:r>
            <w:r>
              <w:rPr>
                <w:noProof/>
              </w:rPr>
              <w:instrText xml:space="preserve"> PAGEREF _Toc230644778 \h </w:instrText>
            </w:r>
            <w:r>
              <w:rPr>
                <w:noProof/>
              </w:rPr>
            </w:r>
            <w:r>
              <w:rPr>
                <w:noProof/>
              </w:rPr>
              <w:fldChar w:fldCharType="separate"/>
            </w:r>
            <w:r>
              <w:rPr>
                <w:noProof/>
              </w:rPr>
              <w:t>3</w:t>
            </w:r>
            <w:r>
              <w:rPr>
                <w:noProof/>
              </w:rPr>
              <w:fldChar w:fldCharType="end"/>
            </w:r>
          </w:hyperlink>
        </w:p>
        <w:p w14:paraId="5A4C0074" w14:textId="26F9ABFA" w:rsidR="000F4536" w:rsidRDefault="000F4536">
          <w:pPr>
            <w:pStyle w:val="TOC2"/>
            <w:tabs>
              <w:tab w:val="right" w:leader="dot" w:pos="9350"/>
            </w:tabs>
            <w:rPr>
              <w:noProof/>
            </w:rPr>
          </w:pPr>
          <w:hyperlink w:anchor="_Toc230644779" w:history="1">
            <w:r w:rsidRPr="00E80B07">
              <w:rPr>
                <w:rStyle w:val="Hyperlink"/>
                <w:noProof/>
              </w:rPr>
              <w:t>2.2 Turning Use into Habit — Students</w:t>
            </w:r>
            <w:r>
              <w:rPr>
                <w:noProof/>
              </w:rPr>
              <w:tab/>
            </w:r>
            <w:r>
              <w:rPr>
                <w:noProof/>
              </w:rPr>
              <w:fldChar w:fldCharType="begin"/>
            </w:r>
            <w:r>
              <w:rPr>
                <w:noProof/>
              </w:rPr>
              <w:instrText xml:space="preserve"> PAGEREF _Toc230644779 \h </w:instrText>
            </w:r>
            <w:r>
              <w:rPr>
                <w:noProof/>
              </w:rPr>
            </w:r>
            <w:r>
              <w:rPr>
                <w:noProof/>
              </w:rPr>
              <w:fldChar w:fldCharType="separate"/>
            </w:r>
            <w:r>
              <w:rPr>
                <w:noProof/>
              </w:rPr>
              <w:t>3</w:t>
            </w:r>
            <w:r>
              <w:rPr>
                <w:noProof/>
              </w:rPr>
              <w:fldChar w:fldCharType="end"/>
            </w:r>
          </w:hyperlink>
        </w:p>
        <w:p w14:paraId="30BA37A3" w14:textId="71D0AEE6" w:rsidR="000F4536" w:rsidRDefault="000F4536">
          <w:pPr>
            <w:pStyle w:val="TOC2"/>
            <w:tabs>
              <w:tab w:val="right" w:leader="dot" w:pos="9350"/>
            </w:tabs>
            <w:rPr>
              <w:noProof/>
            </w:rPr>
          </w:pPr>
          <w:hyperlink w:anchor="_Toc230644780" w:history="1">
            <w:r w:rsidRPr="00E80B07">
              <w:rPr>
                <w:rStyle w:val="Hyperlink"/>
                <w:noProof/>
              </w:rPr>
              <w:t>2.3 Institutionalising the Partnership</w:t>
            </w:r>
            <w:r>
              <w:rPr>
                <w:noProof/>
              </w:rPr>
              <w:tab/>
            </w:r>
            <w:r>
              <w:rPr>
                <w:noProof/>
              </w:rPr>
              <w:fldChar w:fldCharType="begin"/>
            </w:r>
            <w:r>
              <w:rPr>
                <w:noProof/>
              </w:rPr>
              <w:instrText xml:space="preserve"> PAGEREF _Toc230644780 \h </w:instrText>
            </w:r>
            <w:r>
              <w:rPr>
                <w:noProof/>
              </w:rPr>
            </w:r>
            <w:r>
              <w:rPr>
                <w:noProof/>
              </w:rPr>
              <w:fldChar w:fldCharType="separate"/>
            </w:r>
            <w:r>
              <w:rPr>
                <w:noProof/>
              </w:rPr>
              <w:t>3</w:t>
            </w:r>
            <w:r>
              <w:rPr>
                <w:noProof/>
              </w:rPr>
              <w:fldChar w:fldCharType="end"/>
            </w:r>
          </w:hyperlink>
        </w:p>
        <w:p w14:paraId="72F5255B" w14:textId="43B49C01" w:rsidR="000F4536" w:rsidRDefault="000F4536">
          <w:pPr>
            <w:pStyle w:val="TOC1"/>
            <w:tabs>
              <w:tab w:val="right" w:leader="dot" w:pos="9350"/>
            </w:tabs>
            <w:rPr>
              <w:noProof/>
            </w:rPr>
          </w:pPr>
          <w:hyperlink w:anchor="_Toc230644781" w:history="1">
            <w:r w:rsidRPr="00E80B07">
              <w:rPr>
                <w:rStyle w:val="Hyperlink"/>
                <w:noProof/>
              </w:rPr>
              <w:t>3. Scaling Strategy</w:t>
            </w:r>
            <w:r>
              <w:rPr>
                <w:noProof/>
              </w:rPr>
              <w:tab/>
            </w:r>
            <w:r>
              <w:rPr>
                <w:noProof/>
              </w:rPr>
              <w:fldChar w:fldCharType="begin"/>
            </w:r>
            <w:r>
              <w:rPr>
                <w:noProof/>
              </w:rPr>
              <w:instrText xml:space="preserve"> PAGEREF _Toc230644781 \h </w:instrText>
            </w:r>
            <w:r>
              <w:rPr>
                <w:noProof/>
              </w:rPr>
            </w:r>
            <w:r>
              <w:rPr>
                <w:noProof/>
              </w:rPr>
              <w:fldChar w:fldCharType="separate"/>
            </w:r>
            <w:r>
              <w:rPr>
                <w:noProof/>
              </w:rPr>
              <w:t>4</w:t>
            </w:r>
            <w:r>
              <w:rPr>
                <w:noProof/>
              </w:rPr>
              <w:fldChar w:fldCharType="end"/>
            </w:r>
          </w:hyperlink>
        </w:p>
        <w:p w14:paraId="41A6F64A" w14:textId="3F46E9E4" w:rsidR="000F4536" w:rsidRDefault="000F4536">
          <w:pPr>
            <w:pStyle w:val="TOC2"/>
            <w:tabs>
              <w:tab w:val="right" w:leader="dot" w:pos="9350"/>
            </w:tabs>
            <w:rPr>
              <w:noProof/>
            </w:rPr>
          </w:pPr>
          <w:hyperlink w:anchor="_Toc230644782" w:history="1">
            <w:r w:rsidRPr="00E80B07">
              <w:rPr>
                <w:rStyle w:val="Hyperlink"/>
                <w:noProof/>
              </w:rPr>
              <w:t>3.1 Principle — Grow Zone by Zone, Not Everywhere at Once</w:t>
            </w:r>
            <w:r>
              <w:rPr>
                <w:noProof/>
              </w:rPr>
              <w:tab/>
            </w:r>
            <w:r>
              <w:rPr>
                <w:noProof/>
              </w:rPr>
              <w:fldChar w:fldCharType="begin"/>
            </w:r>
            <w:r>
              <w:rPr>
                <w:noProof/>
              </w:rPr>
              <w:instrText xml:space="preserve"> PAGEREF _Toc230644782 \h </w:instrText>
            </w:r>
            <w:r>
              <w:rPr>
                <w:noProof/>
              </w:rPr>
            </w:r>
            <w:r>
              <w:rPr>
                <w:noProof/>
              </w:rPr>
              <w:fldChar w:fldCharType="separate"/>
            </w:r>
            <w:r>
              <w:rPr>
                <w:noProof/>
              </w:rPr>
              <w:t>4</w:t>
            </w:r>
            <w:r>
              <w:rPr>
                <w:noProof/>
              </w:rPr>
              <w:fldChar w:fldCharType="end"/>
            </w:r>
          </w:hyperlink>
        </w:p>
        <w:p w14:paraId="3D4353D1" w14:textId="57B85472" w:rsidR="000F4536" w:rsidRDefault="000F4536">
          <w:pPr>
            <w:pStyle w:val="TOC2"/>
            <w:tabs>
              <w:tab w:val="right" w:leader="dot" w:pos="9350"/>
            </w:tabs>
            <w:rPr>
              <w:noProof/>
            </w:rPr>
          </w:pPr>
          <w:hyperlink w:anchor="_Toc230644783" w:history="1">
            <w:r w:rsidRPr="00E80B07">
              <w:rPr>
                <w:rStyle w:val="Hyperlink"/>
                <w:noProof/>
              </w:rPr>
              <w:t>3.2 The Scaling Sequence</w:t>
            </w:r>
            <w:r>
              <w:rPr>
                <w:noProof/>
              </w:rPr>
              <w:tab/>
            </w:r>
            <w:r>
              <w:rPr>
                <w:noProof/>
              </w:rPr>
              <w:fldChar w:fldCharType="begin"/>
            </w:r>
            <w:r>
              <w:rPr>
                <w:noProof/>
              </w:rPr>
              <w:instrText xml:space="preserve"> PAGEREF _Toc230644783 \h </w:instrText>
            </w:r>
            <w:r>
              <w:rPr>
                <w:noProof/>
              </w:rPr>
            </w:r>
            <w:r>
              <w:rPr>
                <w:noProof/>
              </w:rPr>
              <w:fldChar w:fldCharType="separate"/>
            </w:r>
            <w:r>
              <w:rPr>
                <w:noProof/>
              </w:rPr>
              <w:t>4</w:t>
            </w:r>
            <w:r>
              <w:rPr>
                <w:noProof/>
              </w:rPr>
              <w:fldChar w:fldCharType="end"/>
            </w:r>
          </w:hyperlink>
        </w:p>
        <w:p w14:paraId="5AF35815" w14:textId="0C30881F" w:rsidR="000F4536" w:rsidRDefault="000F4536">
          <w:pPr>
            <w:pStyle w:val="TOC2"/>
            <w:tabs>
              <w:tab w:val="right" w:leader="dot" w:pos="9350"/>
            </w:tabs>
            <w:rPr>
              <w:noProof/>
            </w:rPr>
          </w:pPr>
          <w:hyperlink w:anchor="_Toc230644784" w:history="1">
            <w:r w:rsidRPr="00E80B07">
              <w:rPr>
                <w:rStyle w:val="Hyperlink"/>
                <w:noProof/>
              </w:rPr>
              <w:t>3.3 What Makes Scaling Possible</w:t>
            </w:r>
            <w:r>
              <w:rPr>
                <w:noProof/>
              </w:rPr>
              <w:tab/>
            </w:r>
            <w:r>
              <w:rPr>
                <w:noProof/>
              </w:rPr>
              <w:fldChar w:fldCharType="begin"/>
            </w:r>
            <w:r>
              <w:rPr>
                <w:noProof/>
              </w:rPr>
              <w:instrText xml:space="preserve"> PAGEREF _Toc230644784 \h </w:instrText>
            </w:r>
            <w:r>
              <w:rPr>
                <w:noProof/>
              </w:rPr>
            </w:r>
            <w:r>
              <w:rPr>
                <w:noProof/>
              </w:rPr>
              <w:fldChar w:fldCharType="separate"/>
            </w:r>
            <w:r>
              <w:rPr>
                <w:noProof/>
              </w:rPr>
              <w:t>4</w:t>
            </w:r>
            <w:r>
              <w:rPr>
                <w:noProof/>
              </w:rPr>
              <w:fldChar w:fldCharType="end"/>
            </w:r>
          </w:hyperlink>
        </w:p>
        <w:p w14:paraId="448711B1" w14:textId="5FF51C41" w:rsidR="000F4536" w:rsidRDefault="000F4536">
          <w:pPr>
            <w:pStyle w:val="TOC1"/>
            <w:tabs>
              <w:tab w:val="right" w:leader="dot" w:pos="9350"/>
            </w:tabs>
            <w:rPr>
              <w:noProof/>
            </w:rPr>
          </w:pPr>
          <w:hyperlink w:anchor="_Toc230644785" w:history="1">
            <w:r w:rsidRPr="00E80B07">
              <w:rPr>
                <w:rStyle w:val="Hyperlink"/>
                <w:noProof/>
              </w:rPr>
              <w:t>4. Financial Sustainability</w:t>
            </w:r>
            <w:r>
              <w:rPr>
                <w:noProof/>
              </w:rPr>
              <w:tab/>
            </w:r>
            <w:r>
              <w:rPr>
                <w:noProof/>
              </w:rPr>
              <w:fldChar w:fldCharType="begin"/>
            </w:r>
            <w:r>
              <w:rPr>
                <w:noProof/>
              </w:rPr>
              <w:instrText xml:space="preserve"> PAGEREF _Toc230644785 \h </w:instrText>
            </w:r>
            <w:r>
              <w:rPr>
                <w:noProof/>
              </w:rPr>
            </w:r>
            <w:r>
              <w:rPr>
                <w:noProof/>
              </w:rPr>
              <w:fldChar w:fldCharType="separate"/>
            </w:r>
            <w:r>
              <w:rPr>
                <w:noProof/>
              </w:rPr>
              <w:t>5</w:t>
            </w:r>
            <w:r>
              <w:rPr>
                <w:noProof/>
              </w:rPr>
              <w:fldChar w:fldCharType="end"/>
            </w:r>
          </w:hyperlink>
        </w:p>
        <w:p w14:paraId="0CBE9B01" w14:textId="02CFB1C9" w:rsidR="000F4536" w:rsidRDefault="000F4536">
          <w:pPr>
            <w:pStyle w:val="TOC2"/>
            <w:tabs>
              <w:tab w:val="right" w:leader="dot" w:pos="9350"/>
            </w:tabs>
            <w:rPr>
              <w:noProof/>
            </w:rPr>
          </w:pPr>
          <w:hyperlink w:anchor="_Toc230644786" w:history="1">
            <w:r w:rsidRPr="00E80B07">
              <w:rPr>
                <w:rStyle w:val="Hyperlink"/>
                <w:noProof/>
              </w:rPr>
              <w:t>4.1 Cost Structure</w:t>
            </w:r>
            <w:r>
              <w:rPr>
                <w:noProof/>
              </w:rPr>
              <w:tab/>
            </w:r>
            <w:r>
              <w:rPr>
                <w:noProof/>
              </w:rPr>
              <w:fldChar w:fldCharType="begin"/>
            </w:r>
            <w:r>
              <w:rPr>
                <w:noProof/>
              </w:rPr>
              <w:instrText xml:space="preserve"> PAGEREF _Toc230644786 \h </w:instrText>
            </w:r>
            <w:r>
              <w:rPr>
                <w:noProof/>
              </w:rPr>
            </w:r>
            <w:r>
              <w:rPr>
                <w:noProof/>
              </w:rPr>
              <w:fldChar w:fldCharType="separate"/>
            </w:r>
            <w:r>
              <w:rPr>
                <w:noProof/>
              </w:rPr>
              <w:t>5</w:t>
            </w:r>
            <w:r>
              <w:rPr>
                <w:noProof/>
              </w:rPr>
              <w:fldChar w:fldCharType="end"/>
            </w:r>
          </w:hyperlink>
        </w:p>
        <w:p w14:paraId="074D37D4" w14:textId="6C62D649" w:rsidR="000F4536" w:rsidRDefault="000F4536">
          <w:pPr>
            <w:pStyle w:val="TOC2"/>
            <w:tabs>
              <w:tab w:val="right" w:leader="dot" w:pos="9350"/>
            </w:tabs>
            <w:rPr>
              <w:noProof/>
            </w:rPr>
          </w:pPr>
          <w:hyperlink w:anchor="_Toc230644787" w:history="1">
            <w:r w:rsidRPr="00E80B07">
              <w:rPr>
                <w:rStyle w:val="Hyperlink"/>
                <w:noProof/>
              </w:rPr>
              <w:t>4.2 Possible Revenue Models (Mission-Compatible)</w:t>
            </w:r>
            <w:r>
              <w:rPr>
                <w:noProof/>
              </w:rPr>
              <w:tab/>
            </w:r>
            <w:r>
              <w:rPr>
                <w:noProof/>
              </w:rPr>
              <w:fldChar w:fldCharType="begin"/>
            </w:r>
            <w:r>
              <w:rPr>
                <w:noProof/>
              </w:rPr>
              <w:instrText xml:space="preserve"> PAGEREF _Toc230644787 \h </w:instrText>
            </w:r>
            <w:r>
              <w:rPr>
                <w:noProof/>
              </w:rPr>
            </w:r>
            <w:r>
              <w:rPr>
                <w:noProof/>
              </w:rPr>
              <w:fldChar w:fldCharType="separate"/>
            </w:r>
            <w:r>
              <w:rPr>
                <w:noProof/>
              </w:rPr>
              <w:t>5</w:t>
            </w:r>
            <w:r>
              <w:rPr>
                <w:noProof/>
              </w:rPr>
              <w:fldChar w:fldCharType="end"/>
            </w:r>
          </w:hyperlink>
        </w:p>
        <w:p w14:paraId="386377EA" w14:textId="3AA2D182" w:rsidR="000F4536" w:rsidRDefault="000F4536">
          <w:pPr>
            <w:pStyle w:val="TOC2"/>
            <w:tabs>
              <w:tab w:val="right" w:leader="dot" w:pos="9350"/>
            </w:tabs>
            <w:rPr>
              <w:noProof/>
            </w:rPr>
          </w:pPr>
          <w:hyperlink w:anchor="_Toc230644788" w:history="1">
            <w:r w:rsidRPr="00E80B07">
              <w:rPr>
                <w:rStyle w:val="Hyperlink"/>
                <w:noProof/>
              </w:rPr>
              <w:t>4.3 Cost-Planning Note</w:t>
            </w:r>
            <w:r>
              <w:rPr>
                <w:noProof/>
              </w:rPr>
              <w:tab/>
            </w:r>
            <w:r>
              <w:rPr>
                <w:noProof/>
              </w:rPr>
              <w:fldChar w:fldCharType="begin"/>
            </w:r>
            <w:r>
              <w:rPr>
                <w:noProof/>
              </w:rPr>
              <w:instrText xml:space="preserve"> PAGEREF _Toc230644788 \h </w:instrText>
            </w:r>
            <w:r>
              <w:rPr>
                <w:noProof/>
              </w:rPr>
            </w:r>
            <w:r>
              <w:rPr>
                <w:noProof/>
              </w:rPr>
              <w:fldChar w:fldCharType="separate"/>
            </w:r>
            <w:r>
              <w:rPr>
                <w:noProof/>
              </w:rPr>
              <w:t>6</w:t>
            </w:r>
            <w:r>
              <w:rPr>
                <w:noProof/>
              </w:rPr>
              <w:fldChar w:fldCharType="end"/>
            </w:r>
          </w:hyperlink>
        </w:p>
        <w:p w14:paraId="5AFC12D0" w14:textId="6F197D26" w:rsidR="000F4536" w:rsidRDefault="000F4536">
          <w:pPr>
            <w:pStyle w:val="TOC1"/>
            <w:tabs>
              <w:tab w:val="right" w:leader="dot" w:pos="9350"/>
            </w:tabs>
            <w:rPr>
              <w:noProof/>
            </w:rPr>
          </w:pPr>
          <w:hyperlink w:anchor="_Toc230644789" w:history="1">
            <w:r w:rsidRPr="00E80B07">
              <w:rPr>
                <w:rStyle w:val="Hyperlink"/>
                <w:noProof/>
              </w:rPr>
              <w:t>5. Long-Term Vision &amp; Future Ideas</w:t>
            </w:r>
            <w:r>
              <w:rPr>
                <w:noProof/>
              </w:rPr>
              <w:tab/>
            </w:r>
            <w:r>
              <w:rPr>
                <w:noProof/>
              </w:rPr>
              <w:fldChar w:fldCharType="begin"/>
            </w:r>
            <w:r>
              <w:rPr>
                <w:noProof/>
              </w:rPr>
              <w:instrText xml:space="preserve"> PAGEREF _Toc230644789 \h </w:instrText>
            </w:r>
            <w:r>
              <w:rPr>
                <w:noProof/>
              </w:rPr>
            </w:r>
            <w:r>
              <w:rPr>
                <w:noProof/>
              </w:rPr>
              <w:fldChar w:fldCharType="separate"/>
            </w:r>
            <w:r>
              <w:rPr>
                <w:noProof/>
              </w:rPr>
              <w:t>6</w:t>
            </w:r>
            <w:r>
              <w:rPr>
                <w:noProof/>
              </w:rPr>
              <w:fldChar w:fldCharType="end"/>
            </w:r>
          </w:hyperlink>
        </w:p>
        <w:p w14:paraId="136AA85B" w14:textId="0311F59F" w:rsidR="000F4536" w:rsidRDefault="000F4536">
          <w:pPr>
            <w:pStyle w:val="TOC2"/>
            <w:tabs>
              <w:tab w:val="right" w:leader="dot" w:pos="9350"/>
            </w:tabs>
            <w:rPr>
              <w:noProof/>
            </w:rPr>
          </w:pPr>
          <w:hyperlink w:anchor="_Toc230644790" w:history="1">
            <w:r w:rsidRPr="00E80B07">
              <w:rPr>
                <w:rStyle w:val="Hyperlink"/>
                <w:noProof/>
              </w:rPr>
              <w:t>5.1 The Three-Horizon View</w:t>
            </w:r>
            <w:r>
              <w:rPr>
                <w:noProof/>
              </w:rPr>
              <w:tab/>
            </w:r>
            <w:r>
              <w:rPr>
                <w:noProof/>
              </w:rPr>
              <w:fldChar w:fldCharType="begin"/>
            </w:r>
            <w:r>
              <w:rPr>
                <w:noProof/>
              </w:rPr>
              <w:instrText xml:space="preserve"> PAGEREF _Toc230644790 \h </w:instrText>
            </w:r>
            <w:r>
              <w:rPr>
                <w:noProof/>
              </w:rPr>
            </w:r>
            <w:r>
              <w:rPr>
                <w:noProof/>
              </w:rPr>
              <w:fldChar w:fldCharType="separate"/>
            </w:r>
            <w:r>
              <w:rPr>
                <w:noProof/>
              </w:rPr>
              <w:t>6</w:t>
            </w:r>
            <w:r>
              <w:rPr>
                <w:noProof/>
              </w:rPr>
              <w:fldChar w:fldCharType="end"/>
            </w:r>
          </w:hyperlink>
        </w:p>
        <w:p w14:paraId="7DC96905" w14:textId="5BA6E394" w:rsidR="000F4536" w:rsidRDefault="000F4536">
          <w:pPr>
            <w:pStyle w:val="TOC2"/>
            <w:tabs>
              <w:tab w:val="right" w:leader="dot" w:pos="9350"/>
            </w:tabs>
            <w:rPr>
              <w:noProof/>
            </w:rPr>
          </w:pPr>
          <w:hyperlink w:anchor="_Toc230644791" w:history="1">
            <w:r w:rsidRPr="00E80B07">
              <w:rPr>
                <w:rStyle w:val="Hyperlink"/>
                <w:noProof/>
              </w:rPr>
              <w:t>5.2 Future Feature Ideas</w:t>
            </w:r>
            <w:r>
              <w:rPr>
                <w:noProof/>
              </w:rPr>
              <w:tab/>
            </w:r>
            <w:r>
              <w:rPr>
                <w:noProof/>
              </w:rPr>
              <w:fldChar w:fldCharType="begin"/>
            </w:r>
            <w:r>
              <w:rPr>
                <w:noProof/>
              </w:rPr>
              <w:instrText xml:space="preserve"> PAGEREF _Toc230644791 \h </w:instrText>
            </w:r>
            <w:r>
              <w:rPr>
                <w:noProof/>
              </w:rPr>
            </w:r>
            <w:r>
              <w:rPr>
                <w:noProof/>
              </w:rPr>
              <w:fldChar w:fldCharType="separate"/>
            </w:r>
            <w:r>
              <w:rPr>
                <w:noProof/>
              </w:rPr>
              <w:t>6</w:t>
            </w:r>
            <w:r>
              <w:rPr>
                <w:noProof/>
              </w:rPr>
              <w:fldChar w:fldCharType="end"/>
            </w:r>
          </w:hyperlink>
        </w:p>
        <w:p w14:paraId="32CEED56" w14:textId="37049E40" w:rsidR="000F4536" w:rsidRDefault="000F4536">
          <w:pPr>
            <w:pStyle w:val="TOC2"/>
            <w:tabs>
              <w:tab w:val="right" w:leader="dot" w:pos="9350"/>
            </w:tabs>
            <w:rPr>
              <w:noProof/>
            </w:rPr>
          </w:pPr>
          <w:hyperlink w:anchor="_Toc230644792" w:history="1">
            <w:r w:rsidRPr="00E80B07">
              <w:rPr>
                <w:rStyle w:val="Hyperlink"/>
                <w:noProof/>
              </w:rPr>
              <w:t>5.3 Guardrails for the Future</w:t>
            </w:r>
            <w:r>
              <w:rPr>
                <w:noProof/>
              </w:rPr>
              <w:tab/>
            </w:r>
            <w:r>
              <w:rPr>
                <w:noProof/>
              </w:rPr>
              <w:fldChar w:fldCharType="begin"/>
            </w:r>
            <w:r>
              <w:rPr>
                <w:noProof/>
              </w:rPr>
              <w:instrText xml:space="preserve"> PAGEREF _Toc230644792 \h </w:instrText>
            </w:r>
            <w:r>
              <w:rPr>
                <w:noProof/>
              </w:rPr>
            </w:r>
            <w:r>
              <w:rPr>
                <w:noProof/>
              </w:rPr>
              <w:fldChar w:fldCharType="separate"/>
            </w:r>
            <w:r>
              <w:rPr>
                <w:noProof/>
              </w:rPr>
              <w:t>6</w:t>
            </w:r>
            <w:r>
              <w:rPr>
                <w:noProof/>
              </w:rPr>
              <w:fldChar w:fldCharType="end"/>
            </w:r>
          </w:hyperlink>
        </w:p>
        <w:p w14:paraId="4773D448" w14:textId="44601DBC" w:rsidR="000F4536" w:rsidRDefault="000F4536">
          <w:pPr>
            <w:pStyle w:val="TOC1"/>
            <w:tabs>
              <w:tab w:val="right" w:leader="dot" w:pos="9350"/>
            </w:tabs>
            <w:rPr>
              <w:noProof/>
            </w:rPr>
          </w:pPr>
          <w:hyperlink w:anchor="_Toc230644793" w:history="1">
            <w:r w:rsidRPr="00E80B07">
              <w:rPr>
                <w:rStyle w:val="Hyperlink"/>
                <w:noProof/>
              </w:rPr>
              <w:t>6. Sustainability Risks</w:t>
            </w:r>
            <w:r>
              <w:rPr>
                <w:noProof/>
              </w:rPr>
              <w:tab/>
            </w:r>
            <w:r>
              <w:rPr>
                <w:noProof/>
              </w:rPr>
              <w:fldChar w:fldCharType="begin"/>
            </w:r>
            <w:r>
              <w:rPr>
                <w:noProof/>
              </w:rPr>
              <w:instrText xml:space="preserve"> PAGEREF _Toc230644793 \h </w:instrText>
            </w:r>
            <w:r>
              <w:rPr>
                <w:noProof/>
              </w:rPr>
            </w:r>
            <w:r>
              <w:rPr>
                <w:noProof/>
              </w:rPr>
              <w:fldChar w:fldCharType="separate"/>
            </w:r>
            <w:r>
              <w:rPr>
                <w:noProof/>
              </w:rPr>
              <w:t>7</w:t>
            </w:r>
            <w:r>
              <w:rPr>
                <w:noProof/>
              </w:rPr>
              <w:fldChar w:fldCharType="end"/>
            </w:r>
          </w:hyperlink>
        </w:p>
        <w:p w14:paraId="41A3B868" w14:textId="573E8913" w:rsidR="000F4536" w:rsidRDefault="000F4536">
          <w:pPr>
            <w:pStyle w:val="TOC1"/>
            <w:tabs>
              <w:tab w:val="right" w:leader="dot" w:pos="9350"/>
            </w:tabs>
            <w:rPr>
              <w:noProof/>
            </w:rPr>
          </w:pPr>
          <w:hyperlink w:anchor="_Toc230644794" w:history="1">
            <w:r w:rsidRPr="00E80B07">
              <w:rPr>
                <w:rStyle w:val="Hyperlink"/>
                <w:noProof/>
              </w:rPr>
              <w:t>7. Milestone 3 Deliverables</w:t>
            </w:r>
            <w:r>
              <w:rPr>
                <w:noProof/>
              </w:rPr>
              <w:tab/>
            </w:r>
            <w:r>
              <w:rPr>
                <w:noProof/>
              </w:rPr>
              <w:fldChar w:fldCharType="begin"/>
            </w:r>
            <w:r>
              <w:rPr>
                <w:noProof/>
              </w:rPr>
              <w:instrText xml:space="preserve"> PAGEREF _Toc230644794 \h </w:instrText>
            </w:r>
            <w:r>
              <w:rPr>
                <w:noProof/>
              </w:rPr>
            </w:r>
            <w:r>
              <w:rPr>
                <w:noProof/>
              </w:rPr>
              <w:fldChar w:fldCharType="separate"/>
            </w:r>
            <w:r>
              <w:rPr>
                <w:noProof/>
              </w:rPr>
              <w:t>7</w:t>
            </w:r>
            <w:r>
              <w:rPr>
                <w:noProof/>
              </w:rPr>
              <w:fldChar w:fldCharType="end"/>
            </w:r>
          </w:hyperlink>
        </w:p>
        <w:p w14:paraId="40E636FD" w14:textId="77777777" w:rsidR="00885322" w:rsidRDefault="00000000">
          <w:r>
            <w:fldChar w:fldCharType="end"/>
          </w:r>
        </w:p>
      </w:sdtContent>
    </w:sdt>
    <w:p w14:paraId="5AD84D25" w14:textId="77777777" w:rsidR="00885322" w:rsidRDefault="00000000">
      <w:r>
        <w:br w:type="page"/>
      </w:r>
    </w:p>
    <w:p w14:paraId="371457FD" w14:textId="77777777" w:rsidR="00885322" w:rsidRDefault="00000000">
      <w:pPr>
        <w:pStyle w:val="Heading1"/>
      </w:pPr>
      <w:bookmarkStart w:id="1" w:name="_Toc230644776"/>
      <w:r>
        <w:lastRenderedPageBreak/>
        <w:t>1. Purpose of this Document</w:t>
      </w:r>
      <w:bookmarkEnd w:id="1"/>
    </w:p>
    <w:p w14:paraId="22804CB2" w14:textId="77777777" w:rsidR="00885322" w:rsidRDefault="00000000">
      <w:r>
        <w:t>Milestones 1 and 2 introduced the change and delivered a working pilot. A change that is introduced but not sustained simply fades away. Milestone 3 answers the final management question: how is the change made permanent, and how does Vif grow beyond the pilot?</w:t>
      </w:r>
    </w:p>
    <w:p w14:paraId="2F0AFC97" w14:textId="77777777" w:rsidR="00885322" w:rsidRDefault="00000000">
      <w:r>
        <w:t>This document covers four things: how adoption is sustained so it becomes a habit, how Vif scales geographically, how it remains financially viable, and what its long-term vision and future ideas are.</w:t>
      </w:r>
    </w:p>
    <w:p w14:paraId="538901F9" w14:textId="77777777" w:rsidR="00885322" w:rsidRDefault="00000000">
      <w:pPr>
        <w:pStyle w:val="Heading1"/>
      </w:pPr>
      <w:bookmarkStart w:id="2" w:name="_Toc230644777"/>
      <w:r>
        <w:t>2. Making the Change Long-Lasting</w:t>
      </w:r>
      <w:bookmarkEnd w:id="2"/>
    </w:p>
    <w:p w14:paraId="4A1D947C" w14:textId="77777777" w:rsidR="00885322" w:rsidRDefault="00000000">
      <w:r>
        <w:t>In change-management terms, this is the “Refreeze” stage of Lewin’s model and the “Reinforcement” step of ADKAR: the new behaviour must become the normal, default behaviour for both bakers and students.</w:t>
      </w:r>
    </w:p>
    <w:p w14:paraId="6BD62984" w14:textId="77777777" w:rsidR="00885322" w:rsidRDefault="00000000">
      <w:pPr>
        <w:pStyle w:val="Heading2"/>
      </w:pPr>
      <w:bookmarkStart w:id="3" w:name="_Toc230644778"/>
      <w:r>
        <w:t>2.1 Turning Use into Habit — Bakeries</w:t>
      </w:r>
      <w:bookmarkEnd w:id="3"/>
    </w:p>
    <w:p w14:paraId="1203B04E" w14:textId="77777777" w:rsidR="00885322" w:rsidRDefault="00000000">
      <w:pPr>
        <w:pStyle w:val="ListParagraph"/>
        <w:numPr>
          <w:ilvl w:val="0"/>
          <w:numId w:val="2"/>
        </w:numPr>
        <w:spacing w:after="60"/>
      </w:pPr>
      <w:r>
        <w:rPr>
          <w:b/>
          <w:bCs/>
        </w:rPr>
        <w:t xml:space="preserve">Embed the Pulse in the closing routine. </w:t>
      </w:r>
      <w:r>
        <w:t>Posting surplus should become as automatic as counting the till at the end of the day.</w:t>
      </w:r>
    </w:p>
    <w:p w14:paraId="328F63D9" w14:textId="77777777" w:rsidR="00885322" w:rsidRDefault="00000000">
      <w:pPr>
        <w:pStyle w:val="ListParagraph"/>
        <w:numPr>
          <w:ilvl w:val="0"/>
          <w:numId w:val="2"/>
        </w:numPr>
        <w:spacing w:after="60"/>
      </w:pPr>
      <w:r>
        <w:rPr>
          <w:b/>
          <w:bCs/>
        </w:rPr>
        <w:t xml:space="preserve">Show the reward regularly. </w:t>
      </w:r>
      <w:r>
        <w:t>The monthly impact report — tax reduction earned, meals provided, kilograms saved — keeps the benefit visible and concrete.</w:t>
      </w:r>
    </w:p>
    <w:p w14:paraId="41F6488F" w14:textId="77777777" w:rsidR="00885322" w:rsidRDefault="00000000">
      <w:pPr>
        <w:pStyle w:val="ListParagraph"/>
        <w:numPr>
          <w:ilvl w:val="0"/>
          <w:numId w:val="2"/>
        </w:numPr>
        <w:spacing w:after="60"/>
      </w:pPr>
      <w:r>
        <w:rPr>
          <w:b/>
          <w:bCs/>
        </w:rPr>
        <w:t xml:space="preserve">Give recognition. </w:t>
      </w:r>
      <w:r>
        <w:t>A “Vif Partner Bakery” window sticker turns participation into local prestige and free advertising for the shop.</w:t>
      </w:r>
    </w:p>
    <w:p w14:paraId="204A6FCA" w14:textId="77777777" w:rsidR="00885322" w:rsidRDefault="00000000">
      <w:pPr>
        <w:pStyle w:val="ListParagraph"/>
        <w:numPr>
          <w:ilvl w:val="0"/>
          <w:numId w:val="2"/>
        </w:numPr>
        <w:spacing w:after="60"/>
      </w:pPr>
      <w:r>
        <w:rPr>
          <w:b/>
          <w:bCs/>
        </w:rPr>
        <w:t xml:space="preserve">Remove friction continuously. </w:t>
      </w:r>
      <w:r>
        <w:t>Every update should make giving faster, never slower. Friction is the main reason a baker stops.</w:t>
      </w:r>
    </w:p>
    <w:p w14:paraId="62AF6A0E" w14:textId="77777777" w:rsidR="00885322" w:rsidRDefault="00000000">
      <w:pPr>
        <w:pStyle w:val="Heading2"/>
      </w:pPr>
      <w:bookmarkStart w:id="4" w:name="_Toc230644779"/>
      <w:r>
        <w:t>2.2 Turning Use into Habit — Students</w:t>
      </w:r>
      <w:bookmarkEnd w:id="4"/>
    </w:p>
    <w:p w14:paraId="7E847479" w14:textId="77777777" w:rsidR="00885322" w:rsidRDefault="00000000">
      <w:pPr>
        <w:pStyle w:val="ListParagraph"/>
        <w:numPr>
          <w:ilvl w:val="0"/>
          <w:numId w:val="2"/>
        </w:numPr>
        <w:spacing w:after="60"/>
      </w:pPr>
      <w:r>
        <w:rPr>
          <w:b/>
          <w:bCs/>
        </w:rPr>
        <w:t xml:space="preserve">The Karma engine. </w:t>
      </w:r>
      <w:r>
        <w:t>Reliable students (who collect what they claim) keep good standing; no-shows are gently penalised. This protects supply and rewards consistent use.</w:t>
      </w:r>
    </w:p>
    <w:p w14:paraId="3A753A8C" w14:textId="77777777" w:rsidR="00885322" w:rsidRDefault="00000000">
      <w:pPr>
        <w:pStyle w:val="ListParagraph"/>
        <w:numPr>
          <w:ilvl w:val="0"/>
          <w:numId w:val="2"/>
        </w:numPr>
        <w:spacing w:after="60"/>
      </w:pPr>
      <w:r>
        <w:rPr>
          <w:b/>
          <w:bCs/>
        </w:rPr>
        <w:t xml:space="preserve">Relevant, non-intrusive notifications. </w:t>
      </w:r>
      <w:r>
        <w:t>Alerts only for genuinely nearby Pulses, so the app stays useful rather than annoying.</w:t>
      </w:r>
    </w:p>
    <w:p w14:paraId="3E53D89D" w14:textId="77777777" w:rsidR="00885322" w:rsidRDefault="00000000">
      <w:pPr>
        <w:pStyle w:val="ListParagraph"/>
        <w:numPr>
          <w:ilvl w:val="0"/>
          <w:numId w:val="2"/>
        </w:numPr>
        <w:spacing w:after="60"/>
      </w:pPr>
      <w:r>
        <w:rPr>
          <w:b/>
          <w:bCs/>
        </w:rPr>
        <w:t xml:space="preserve">Visible collective impact. </w:t>
      </w:r>
      <w:r>
        <w:t>Showing the student “you and other students saved X meals this month” reinforces pride and belonging.</w:t>
      </w:r>
    </w:p>
    <w:p w14:paraId="31A9CB03" w14:textId="77777777" w:rsidR="00885322" w:rsidRDefault="00000000">
      <w:pPr>
        <w:pStyle w:val="ListParagraph"/>
        <w:numPr>
          <w:ilvl w:val="0"/>
          <w:numId w:val="2"/>
        </w:numPr>
        <w:spacing w:after="60"/>
      </w:pPr>
      <w:r>
        <w:rPr>
          <w:b/>
          <w:bCs/>
        </w:rPr>
        <w:t xml:space="preserve">Yearly re-verification as a touchpoint. </w:t>
      </w:r>
      <w:r>
        <w:t>The start-of-year ID re-check (required for data minimisation) doubles as a natural moment to re-engage students.</w:t>
      </w:r>
    </w:p>
    <w:p w14:paraId="59DE12F9" w14:textId="77777777" w:rsidR="00885322" w:rsidRDefault="00000000">
      <w:pPr>
        <w:pStyle w:val="Heading2"/>
      </w:pPr>
      <w:bookmarkStart w:id="5" w:name="_Toc230644780"/>
      <w:r>
        <w:t>2.3 Institutionalising the Partnership</w:t>
      </w:r>
      <w:bookmarkEnd w:id="5"/>
    </w:p>
    <w:p w14:paraId="378AAEFA" w14:textId="77777777" w:rsidR="00885322" w:rsidRDefault="00000000">
      <w:r>
        <w:t>The change becomes structurally durable when it no longer depends on the original team’s enthusiasm:</w:t>
      </w:r>
    </w:p>
    <w:p w14:paraId="5E678276" w14:textId="77777777" w:rsidR="00885322" w:rsidRDefault="00000000">
      <w:pPr>
        <w:pStyle w:val="ListParagraph"/>
        <w:numPr>
          <w:ilvl w:val="0"/>
          <w:numId w:val="2"/>
        </w:numPr>
        <w:spacing w:after="60"/>
      </w:pPr>
      <w:r>
        <w:lastRenderedPageBreak/>
        <w:t>A formal, renewable convention with the partner association (or Vif’s own approved structure) anchors the legal model.</w:t>
      </w:r>
    </w:p>
    <w:p w14:paraId="4404DA4F" w14:textId="77777777" w:rsidR="00885322" w:rsidRDefault="00000000">
      <w:pPr>
        <w:pStyle w:val="ListParagraph"/>
        <w:numPr>
          <w:ilvl w:val="0"/>
          <w:numId w:val="2"/>
        </w:numPr>
        <w:spacing w:after="60"/>
      </w:pPr>
      <w:r>
        <w:t>Documented onboarding processes mean new bakeries and new student cohorts can join without the founders being personally involved.</w:t>
      </w:r>
    </w:p>
    <w:p w14:paraId="0937E2B1" w14:textId="77777777" w:rsidR="00885322" w:rsidRDefault="00000000">
      <w:pPr>
        <w:pStyle w:val="ListParagraph"/>
        <w:numPr>
          <w:ilvl w:val="0"/>
          <w:numId w:val="2"/>
        </w:numPr>
        <w:spacing w:after="60"/>
      </w:pPr>
      <w:r>
        <w:t>Relationships with universities and the CROUS are formalised so student recruitment renews automatically each academic year.</w:t>
      </w:r>
    </w:p>
    <w:p w14:paraId="4000598C" w14:textId="77777777" w:rsidR="00885322" w:rsidRDefault="00000000">
      <w:pPr>
        <w:pStyle w:val="Heading1"/>
      </w:pPr>
      <w:bookmarkStart w:id="6" w:name="_Toc230644781"/>
      <w:r>
        <w:t>3. Scaling Strategy</w:t>
      </w:r>
      <w:bookmarkEnd w:id="6"/>
    </w:p>
    <w:p w14:paraId="68782101" w14:textId="77777777" w:rsidR="00885322" w:rsidRDefault="00000000">
      <w:pPr>
        <w:pStyle w:val="Heading2"/>
      </w:pPr>
      <w:bookmarkStart w:id="7" w:name="_Toc230644782"/>
      <w:r>
        <w:t>3.1 Principle — Grow Zone by Zone, Not Everywhere at Once</w:t>
      </w:r>
      <w:bookmarkEnd w:id="7"/>
    </w:p>
    <w:p w14:paraId="639718B3" w14:textId="77777777" w:rsidR="00885322" w:rsidRDefault="00000000">
      <w:r>
        <w:t>Vif is a two-sided platform: it needs bakeries (supply) and students (demand) in the same place at the same time. Spreading thin produces the “empty-app effect” — users join, find nothing nearby, and leave. The scaling rule is therefore strict: a new zone is only opened once it has enough bakery supply to be useful from day one.</w:t>
      </w:r>
    </w:p>
    <w:p w14:paraId="369B761A" w14:textId="77777777" w:rsidR="00885322" w:rsidRDefault="00000000">
      <w:pPr>
        <w:pStyle w:val="Heading2"/>
      </w:pPr>
      <w:bookmarkStart w:id="8" w:name="_Toc230644783"/>
      <w:r>
        <w:t>3.2 The Scaling Sequence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0"/>
        <w:gridCol w:w="4000"/>
      </w:tblGrid>
      <w:tr w:rsidR="00885322" w14:paraId="0A0878D0" w14:textId="77777777">
        <w:tblPrEx>
          <w:tblCellMar>
            <w:top w:w="0" w:type="dxa"/>
            <w:bottom w:w="0" w:type="dxa"/>
          </w:tblCellMar>
        </w:tblPrEx>
        <w:trPr>
          <w:tblHeader/>
        </w:trPr>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050E8C94" w14:textId="77777777" w:rsidR="00885322" w:rsidRDefault="00000000">
            <w:r>
              <w:rPr>
                <w:b/>
                <w:bCs/>
                <w:color w:val="FFFFFF"/>
                <w:sz w:val="20"/>
                <w:szCs w:val="20"/>
              </w:rPr>
              <w:t>Stage</w:t>
            </w:r>
          </w:p>
        </w:tc>
        <w:tc>
          <w:tcPr>
            <w:tcW w:w="36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A33C809" w14:textId="77777777" w:rsidR="00885322" w:rsidRDefault="00000000">
            <w:r>
              <w:rPr>
                <w:b/>
                <w:bCs/>
                <w:color w:val="FFFFFF"/>
                <w:sz w:val="20"/>
                <w:szCs w:val="20"/>
              </w:rPr>
              <w:t>Scope</w:t>
            </w:r>
          </w:p>
        </w:tc>
        <w:tc>
          <w:tcPr>
            <w:tcW w:w="40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4F8DB292" w14:textId="77777777" w:rsidR="00885322" w:rsidRDefault="00000000">
            <w:r>
              <w:rPr>
                <w:b/>
                <w:bCs/>
                <w:color w:val="FFFFFF"/>
                <w:sz w:val="20"/>
                <w:szCs w:val="20"/>
              </w:rPr>
              <w:t>Focus</w:t>
            </w:r>
          </w:p>
        </w:tc>
      </w:tr>
      <w:tr w:rsidR="00885322" w14:paraId="3985108C"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0F7B03" w14:textId="77777777" w:rsidR="00885322" w:rsidRDefault="00000000">
            <w:pPr>
              <w:spacing w:after="0"/>
            </w:pPr>
            <w:r>
              <w:rPr>
                <w:sz w:val="20"/>
                <w:szCs w:val="20"/>
              </w:rPr>
              <w:t>1. Pilot zone</w:t>
            </w:r>
          </w:p>
        </w:tc>
        <w:tc>
          <w:tcPr>
            <w:tcW w:w="3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EEE574" w14:textId="77777777" w:rsidR="00885322" w:rsidRDefault="00000000">
            <w:pPr>
              <w:spacing w:after="0"/>
            </w:pPr>
            <w:r>
              <w:rPr>
                <w:sz w:val="20"/>
                <w:szCs w:val="20"/>
              </w:rPr>
              <w:t>One Paris neighbourhood + one campus.</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E551EF" w14:textId="77777777" w:rsidR="00885322" w:rsidRDefault="00000000">
            <w:pPr>
              <w:spacing w:after="0"/>
            </w:pPr>
            <w:r>
              <w:rPr>
                <w:sz w:val="20"/>
                <w:szCs w:val="20"/>
              </w:rPr>
              <w:t>Prove the full model works and is loved by both sides.</w:t>
            </w:r>
          </w:p>
        </w:tc>
      </w:tr>
      <w:tr w:rsidR="00885322" w14:paraId="67121A6E"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0D892B7" w14:textId="77777777" w:rsidR="00885322" w:rsidRDefault="00000000">
            <w:pPr>
              <w:spacing w:after="0"/>
            </w:pPr>
            <w:r>
              <w:rPr>
                <w:sz w:val="20"/>
                <w:szCs w:val="20"/>
              </w:rPr>
              <w:t>2. City expansion</w:t>
            </w:r>
          </w:p>
        </w:tc>
        <w:tc>
          <w:tcPr>
            <w:tcW w:w="3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F8157BD" w14:textId="77777777" w:rsidR="00885322" w:rsidRDefault="00000000">
            <w:pPr>
              <w:spacing w:after="0"/>
            </w:pPr>
            <w:r>
              <w:rPr>
                <w:sz w:val="20"/>
                <w:szCs w:val="20"/>
              </w:rPr>
              <w:t>District by district across Paris.</w:t>
            </w:r>
          </w:p>
        </w:tc>
        <w:tc>
          <w:tcPr>
            <w:tcW w:w="4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00FBEA9" w14:textId="77777777" w:rsidR="00885322" w:rsidRDefault="00000000">
            <w:pPr>
              <w:spacing w:after="0"/>
            </w:pPr>
            <w:r>
              <w:rPr>
                <w:sz w:val="20"/>
                <w:szCs w:val="20"/>
              </w:rPr>
              <w:t>Replicate the pilot playbook; build a recruitment routine.</w:t>
            </w:r>
          </w:p>
        </w:tc>
      </w:tr>
      <w:tr w:rsidR="00885322" w14:paraId="2C56CF8C"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8CE147" w14:textId="77777777" w:rsidR="00885322" w:rsidRDefault="00000000">
            <w:pPr>
              <w:spacing w:after="0"/>
            </w:pPr>
            <w:r>
              <w:rPr>
                <w:sz w:val="20"/>
                <w:szCs w:val="20"/>
              </w:rPr>
              <w:t>3. Multi-city</w:t>
            </w:r>
          </w:p>
        </w:tc>
        <w:tc>
          <w:tcPr>
            <w:tcW w:w="3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AB292D" w14:textId="77777777" w:rsidR="00885322" w:rsidRDefault="00000000">
            <w:pPr>
              <w:spacing w:after="0"/>
            </w:pPr>
            <w:r>
              <w:rPr>
                <w:sz w:val="20"/>
                <w:szCs w:val="20"/>
              </w:rPr>
              <w:t>Other large French student cities (e.g. Lyon, Lille, Toulouse).</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5768A8" w14:textId="77777777" w:rsidR="00885322" w:rsidRDefault="00000000">
            <w:pPr>
              <w:spacing w:after="0"/>
            </w:pPr>
            <w:r>
              <w:rPr>
                <w:sz w:val="20"/>
                <w:szCs w:val="20"/>
              </w:rPr>
              <w:t>Local ambassadors; partnerships with each city’s universities.</w:t>
            </w:r>
          </w:p>
        </w:tc>
      </w:tr>
      <w:tr w:rsidR="00885322" w14:paraId="2F767E14"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964F186" w14:textId="77777777" w:rsidR="00885322" w:rsidRDefault="00000000">
            <w:pPr>
              <w:spacing w:after="0"/>
            </w:pPr>
            <w:r>
              <w:rPr>
                <w:sz w:val="20"/>
                <w:szCs w:val="20"/>
              </w:rPr>
              <w:t>4. National</w:t>
            </w:r>
          </w:p>
        </w:tc>
        <w:tc>
          <w:tcPr>
            <w:tcW w:w="36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09255FB" w14:textId="77777777" w:rsidR="00885322" w:rsidRDefault="00000000">
            <w:pPr>
              <w:spacing w:after="0"/>
            </w:pPr>
            <w:r>
              <w:rPr>
                <w:sz w:val="20"/>
                <w:szCs w:val="20"/>
              </w:rPr>
              <w:t>Nationwide coverage in student-dense areas.</w:t>
            </w:r>
          </w:p>
        </w:tc>
        <w:tc>
          <w:tcPr>
            <w:tcW w:w="4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8F94FC9" w14:textId="77777777" w:rsidR="00885322" w:rsidRDefault="00000000">
            <w:pPr>
              <w:spacing w:after="0"/>
            </w:pPr>
            <w:r>
              <w:rPr>
                <w:sz w:val="20"/>
                <w:szCs w:val="20"/>
              </w:rPr>
              <w:t>Standardised onboarding; a self-service model for bakeries.</w:t>
            </w:r>
          </w:p>
        </w:tc>
      </w:tr>
      <w:tr w:rsidR="00885322" w14:paraId="56FFDA97" w14:textId="77777777">
        <w:tblPrEx>
          <w:tblCellMar>
            <w:top w:w="0" w:type="dxa"/>
            <w:bottom w:w="0" w:type="dxa"/>
          </w:tblCellMar>
        </w:tblPrEx>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CF979C" w14:textId="77777777" w:rsidR="00885322" w:rsidRDefault="00000000">
            <w:pPr>
              <w:spacing w:after="0"/>
            </w:pPr>
            <w:r>
              <w:rPr>
                <w:sz w:val="20"/>
                <w:szCs w:val="20"/>
              </w:rPr>
              <w:t>5. Adjacent expansion</w:t>
            </w:r>
          </w:p>
        </w:tc>
        <w:tc>
          <w:tcPr>
            <w:tcW w:w="3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F82D6B" w14:textId="77777777" w:rsidR="00885322" w:rsidRDefault="00000000">
            <w:pPr>
              <w:spacing w:after="0"/>
            </w:pPr>
            <w:r>
              <w:rPr>
                <w:sz w:val="20"/>
                <w:szCs w:val="20"/>
              </w:rPr>
              <w:t>Beyond bakeries (small grocers, caterers); beyond students where appropriate.</w:t>
            </w:r>
          </w:p>
        </w:tc>
        <w:tc>
          <w:tcPr>
            <w:tcW w:w="4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F30B29" w14:textId="77777777" w:rsidR="00885322" w:rsidRDefault="00000000">
            <w:pPr>
              <w:spacing w:after="0"/>
            </w:pPr>
            <w:r>
              <w:rPr>
                <w:sz w:val="20"/>
                <w:szCs w:val="20"/>
              </w:rPr>
              <w:t>Reuse the same legal and technical engine for new donor and beneficiary types.</w:t>
            </w:r>
          </w:p>
        </w:tc>
      </w:tr>
    </w:tbl>
    <w:p w14:paraId="3071C3A0" w14:textId="77777777" w:rsidR="00885322" w:rsidRDefault="00000000">
      <w:pPr>
        <w:pStyle w:val="Heading2"/>
      </w:pPr>
      <w:bookmarkStart w:id="9" w:name="_Toc230644784"/>
      <w:r>
        <w:t>3.3 What Makes Scaling Possible</w:t>
      </w:r>
      <w:bookmarkEnd w:id="9"/>
    </w:p>
    <w:p w14:paraId="176A92C4" w14:textId="77777777" w:rsidR="00885322" w:rsidRDefault="00000000">
      <w:pPr>
        <w:pStyle w:val="ListParagraph"/>
        <w:numPr>
          <w:ilvl w:val="0"/>
          <w:numId w:val="2"/>
        </w:numPr>
        <w:spacing w:after="60"/>
      </w:pPr>
      <w:r>
        <w:rPr>
          <w:b/>
          <w:bCs/>
        </w:rPr>
        <w:t xml:space="preserve">A repeatable “zone playbook”. </w:t>
      </w:r>
      <w:r>
        <w:t>Each new zone follows the same documented steps: recruit pioneer bakeries, sign students via campus partners, run a launch event.</w:t>
      </w:r>
    </w:p>
    <w:p w14:paraId="6E8D212C" w14:textId="77777777" w:rsidR="00885322" w:rsidRDefault="00000000">
      <w:pPr>
        <w:pStyle w:val="ListParagraph"/>
        <w:numPr>
          <w:ilvl w:val="0"/>
          <w:numId w:val="2"/>
        </w:numPr>
        <w:spacing w:after="60"/>
      </w:pPr>
      <w:r>
        <w:rPr>
          <w:b/>
          <w:bCs/>
        </w:rPr>
        <w:t xml:space="preserve">A technical architecture built for it. </w:t>
      </w:r>
      <w:r>
        <w:t>The REST + PostGIS + WebSockets stack is designed for geofenced, multi-zone operation; adding a zone is a configuration, not a rebuild.</w:t>
      </w:r>
    </w:p>
    <w:p w14:paraId="373E8920" w14:textId="77777777" w:rsidR="00885322" w:rsidRDefault="00000000">
      <w:pPr>
        <w:pStyle w:val="ListParagraph"/>
        <w:numPr>
          <w:ilvl w:val="0"/>
          <w:numId w:val="2"/>
        </w:numPr>
        <w:spacing w:after="60"/>
      </w:pPr>
      <w:r>
        <w:rPr>
          <w:b/>
          <w:bCs/>
        </w:rPr>
        <w:t xml:space="preserve">Local ambassadors. </w:t>
      </w:r>
      <w:r>
        <w:t>Each city needs people on the ground; a student-ambassador programme makes growth human and credible.</w:t>
      </w:r>
    </w:p>
    <w:p w14:paraId="751F5914" w14:textId="77777777" w:rsidR="00885322" w:rsidRDefault="00000000">
      <w:pPr>
        <w:pStyle w:val="ListParagraph"/>
        <w:numPr>
          <w:ilvl w:val="0"/>
          <w:numId w:val="2"/>
        </w:numPr>
        <w:spacing w:after="60"/>
      </w:pPr>
      <w:r>
        <w:rPr>
          <w:b/>
          <w:bCs/>
        </w:rPr>
        <w:lastRenderedPageBreak/>
        <w:t xml:space="preserve">Self-service onboarding. </w:t>
      </w:r>
      <w:r>
        <w:t>As Vif matures, bakeries should be able to join and verify themselves, removing the founders as a bottleneck.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5322" w14:paraId="01E958A1" w14:textId="77777777">
        <w:tblPrEx>
          <w:tblCellMar>
            <w:top w:w="0" w:type="dxa"/>
            <w:bottom w:w="0" w:type="dxa"/>
          </w:tblCellMar>
        </w:tblPrEx>
        <w:tc>
          <w:tcPr>
            <w:tcW w:w="9360" w:type="dxa"/>
            <w:tcBorders>
              <w:left w:val="single" w:sz="18" w:space="0" w:color="C55A11"/>
            </w:tcBorders>
            <w:shd w:val="clear" w:color="auto" w:fill="EEF3FA"/>
            <w:tcMar>
              <w:top w:w="140" w:type="dxa"/>
              <w:left w:w="200" w:type="dxa"/>
              <w:bottom w:w="140" w:type="dxa"/>
              <w:right w:w="200" w:type="dxa"/>
            </w:tcMar>
          </w:tcPr>
          <w:p w14:paraId="4EA946E8" w14:textId="77777777" w:rsidR="00885322" w:rsidRDefault="00000000">
            <w:pPr>
              <w:spacing w:after="80"/>
            </w:pPr>
            <w:r>
              <w:rPr>
                <w:b/>
                <w:bCs/>
                <w:color w:val="1F3864"/>
              </w:rPr>
              <w:t>Scaling risk to watch</w:t>
            </w:r>
          </w:p>
          <w:p w14:paraId="4F1208D3" w14:textId="77777777" w:rsidR="00885322" w:rsidRDefault="00000000">
            <w:pPr>
              <w:rPr>
                <w:sz w:val="20"/>
                <w:szCs w:val="20"/>
              </w:rPr>
            </w:pPr>
            <w:r>
              <w:rPr>
                <w:b/>
                <w:bCs/>
                <w:color w:val="1F3864"/>
              </w:rPr>
              <w:t xml:space="preserve">The biggest scaling danger is growing demand faster than supply. </w:t>
            </w:r>
            <w:r>
              <w:t>If students arrive in a zone before bakeries do, the app feels empty and reputation suffers. Growth must always be supply-led: bakeries first, students second, in every new zone.</w:t>
            </w:r>
          </w:p>
        </w:tc>
      </w:tr>
    </w:tbl>
    <w:p w14:paraId="6FF9C106" w14:textId="77777777" w:rsidR="00885322" w:rsidRDefault="00000000">
      <w:pPr>
        <w:pStyle w:val="Heading1"/>
      </w:pPr>
      <w:bookmarkStart w:id="10" w:name="_Toc230644785"/>
      <w:r>
        <w:t>4. Financial Sustainability</w:t>
      </w:r>
      <w:bookmarkEnd w:id="10"/>
    </w:p>
    <w:p w14:paraId="5B6EE749" w14:textId="77777777" w:rsidR="00885322" w:rsidRDefault="00000000">
      <w:r>
        <w:t>Vif is free for students by design — that is non-negotiable and central to its mission. “Free for students” is not the same as “no revenue”, however. For the change to last, Vif must be able to cover its own costs without ever charging a hungry student.</w:t>
      </w:r>
    </w:p>
    <w:p w14:paraId="48ABBFD9" w14:textId="77777777" w:rsidR="00885322" w:rsidRDefault="00000000">
      <w:pPr>
        <w:pStyle w:val="Heading2"/>
      </w:pPr>
      <w:bookmarkStart w:id="11" w:name="_Toc230644786"/>
      <w:r>
        <w:t>4.1 Cost Structure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85322" w14:paraId="7FC782DB"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7FEBC9FC" w14:textId="77777777" w:rsidR="00885322" w:rsidRDefault="00000000">
            <w:r>
              <w:rPr>
                <w:b/>
                <w:bCs/>
                <w:color w:val="FFFFFF"/>
                <w:sz w:val="20"/>
                <w:szCs w:val="20"/>
              </w:rPr>
              <w:t>Cost category</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13B0C6CE" w14:textId="77777777" w:rsidR="00885322" w:rsidRDefault="00000000">
            <w:r>
              <w:rPr>
                <w:b/>
                <w:bCs/>
                <w:color w:val="FFFFFF"/>
                <w:sz w:val="20"/>
                <w:szCs w:val="20"/>
              </w:rPr>
              <w:t>Examples</w:t>
            </w:r>
          </w:p>
        </w:tc>
      </w:tr>
      <w:tr w:rsidR="00885322" w14:paraId="2363E40F"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F40A57" w14:textId="77777777" w:rsidR="00885322" w:rsidRDefault="00000000">
            <w:pPr>
              <w:spacing w:after="0"/>
            </w:pPr>
            <w:r>
              <w:rPr>
                <w:sz w:val="20"/>
                <w:szCs w:val="20"/>
              </w:rPr>
              <w:t>Technical / hosting</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3D6BF8" w14:textId="77777777" w:rsidR="00885322" w:rsidRDefault="00000000">
            <w:pPr>
              <w:spacing w:after="0"/>
            </w:pPr>
            <w:r>
              <w:rPr>
                <w:sz w:val="20"/>
                <w:szCs w:val="20"/>
              </w:rPr>
              <w:t>Cloud servers, database, push-notification service, map service.</w:t>
            </w:r>
          </w:p>
        </w:tc>
      </w:tr>
      <w:tr w:rsidR="00885322" w14:paraId="00E11550"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A30DA8E" w14:textId="77777777" w:rsidR="00885322" w:rsidRDefault="00000000">
            <w:pPr>
              <w:spacing w:after="0"/>
            </w:pPr>
            <w:r>
              <w:rPr>
                <w:sz w:val="20"/>
                <w:szCs w:val="20"/>
              </w:rPr>
              <w:t>Compliance &amp; legal</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4F3D61E3" w14:textId="77777777" w:rsidR="00885322" w:rsidRDefault="00000000">
            <w:pPr>
              <w:spacing w:after="0"/>
            </w:pPr>
            <w:r>
              <w:rPr>
                <w:sz w:val="20"/>
                <w:szCs w:val="20"/>
              </w:rPr>
              <w:t>Data-protection compliance, food-safety governance, association convention.</w:t>
            </w:r>
          </w:p>
        </w:tc>
      </w:tr>
      <w:tr w:rsidR="00885322" w14:paraId="5958AF5D"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FB5B5A" w14:textId="77777777" w:rsidR="00885322" w:rsidRDefault="00000000">
            <w:pPr>
              <w:spacing w:after="0"/>
            </w:pPr>
            <w:r>
              <w:rPr>
                <w:sz w:val="20"/>
                <w:szCs w:val="20"/>
              </w:rPr>
              <w:t>Operations &amp; growth</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EC7BDE" w14:textId="77777777" w:rsidR="00885322" w:rsidRDefault="00000000">
            <w:pPr>
              <w:spacing w:after="0"/>
            </w:pPr>
            <w:r>
              <w:rPr>
                <w:sz w:val="20"/>
                <w:szCs w:val="20"/>
              </w:rPr>
              <w:t>Ambassadors, communication materials, launch events, support.</w:t>
            </w:r>
          </w:p>
        </w:tc>
      </w:tr>
      <w:tr w:rsidR="00885322" w14:paraId="01A3F589"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A4C7A12" w14:textId="77777777" w:rsidR="00885322" w:rsidRDefault="00000000">
            <w:pPr>
              <w:spacing w:after="0"/>
            </w:pPr>
            <w:r>
              <w:rPr>
                <w:sz w:val="20"/>
                <w:szCs w:val="20"/>
              </w:rPr>
              <w:t>Maintenance</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2F3E4F9" w14:textId="77777777" w:rsidR="00885322" w:rsidRDefault="00000000">
            <w:pPr>
              <w:spacing w:after="0"/>
            </w:pPr>
            <w:r>
              <w:rPr>
                <w:sz w:val="20"/>
                <w:szCs w:val="20"/>
              </w:rPr>
              <w:t>Bug fixing, security updates, OCR-model improvement.</w:t>
            </w:r>
          </w:p>
        </w:tc>
      </w:tr>
    </w:tbl>
    <w:p w14:paraId="0A0F2A6A" w14:textId="77777777" w:rsidR="00885322" w:rsidRDefault="00000000">
      <w:pPr>
        <w:pStyle w:val="Heading2"/>
      </w:pPr>
      <w:bookmarkStart w:id="12" w:name="_Toc230644787"/>
      <w:r>
        <w:t>4.2 Possible Revenue Models (Mission-Compatible)</w:t>
      </w:r>
      <w:bookmarkEnd w:id="12"/>
    </w:p>
    <w:p w14:paraId="02DAED58" w14:textId="77777777" w:rsidR="00885322" w:rsidRDefault="00000000">
      <w:r>
        <w:t>Several revenue options are compatible with the mission. The principle: revenue may come from those who gain economic or reputational value — never from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60"/>
        <w:gridCol w:w="3400"/>
      </w:tblGrid>
      <w:tr w:rsidR="00885322" w14:paraId="3E295B0E" w14:textId="77777777">
        <w:tblPrEx>
          <w:tblCellMar>
            <w:top w:w="0" w:type="dxa"/>
            <w:bottom w:w="0" w:type="dxa"/>
          </w:tblCellMar>
        </w:tblPrEx>
        <w:trPr>
          <w:tblHeader/>
        </w:trPr>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3CFF6DD" w14:textId="77777777" w:rsidR="00885322" w:rsidRDefault="00000000">
            <w:r>
              <w:rPr>
                <w:b/>
                <w:bCs/>
                <w:color w:val="FFFFFF"/>
                <w:sz w:val="20"/>
                <w:szCs w:val="20"/>
              </w:rPr>
              <w:t>Model</w:t>
            </w:r>
          </w:p>
        </w:tc>
        <w:tc>
          <w:tcPr>
            <w:tcW w:w="40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7C3E4CB8" w14:textId="77777777" w:rsidR="00885322" w:rsidRDefault="00000000">
            <w:r>
              <w:rPr>
                <w:b/>
                <w:bCs/>
                <w:color w:val="FFFFFF"/>
                <w:sz w:val="20"/>
                <w:szCs w:val="20"/>
              </w:rPr>
              <w:t>Description</w:t>
            </w:r>
          </w:p>
        </w:tc>
        <w:tc>
          <w:tcPr>
            <w:tcW w:w="3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7D123287" w14:textId="77777777" w:rsidR="00885322" w:rsidRDefault="00000000">
            <w:r>
              <w:rPr>
                <w:b/>
                <w:bCs/>
                <w:color w:val="FFFFFF"/>
                <w:sz w:val="20"/>
                <w:szCs w:val="20"/>
              </w:rPr>
              <w:t>Mission fit</w:t>
            </w:r>
          </w:p>
        </w:tc>
      </w:tr>
      <w:tr w:rsidR="00885322" w14:paraId="35163627"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970539" w14:textId="77777777" w:rsidR="00885322" w:rsidRDefault="00000000">
            <w:pPr>
              <w:spacing w:after="0"/>
            </w:pPr>
            <w:r>
              <w:rPr>
                <w:sz w:val="20"/>
                <w:szCs w:val="20"/>
              </w:rPr>
              <w:t>Optional baker premium</w:t>
            </w:r>
          </w:p>
        </w:tc>
        <w:tc>
          <w:tcPr>
            <w:tcW w:w="4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B02D14" w14:textId="77777777" w:rsidR="00885322" w:rsidRDefault="00000000">
            <w:pPr>
              <w:spacing w:after="0"/>
            </w:pPr>
            <w:r>
              <w:rPr>
                <w:sz w:val="20"/>
                <w:szCs w:val="20"/>
              </w:rPr>
              <w:t>A low-cost premium tier for bakeries: richer analytics, advanced dashboards, multi-shop management.</w:t>
            </w:r>
          </w:p>
        </w:tc>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BE3C24" w14:textId="77777777" w:rsidR="00885322" w:rsidRDefault="00000000">
            <w:pPr>
              <w:spacing w:after="0"/>
            </w:pPr>
            <w:r>
              <w:rPr>
                <w:sz w:val="20"/>
                <w:szCs w:val="20"/>
              </w:rPr>
              <w:t>Strong — paid by businesses that gain value; basic donation stays free.</w:t>
            </w:r>
          </w:p>
        </w:tc>
      </w:tr>
      <w:tr w:rsidR="00885322" w14:paraId="211D3177"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028406C" w14:textId="77777777" w:rsidR="00885322" w:rsidRDefault="00000000">
            <w:pPr>
              <w:spacing w:after="0"/>
            </w:pPr>
            <w:r>
              <w:rPr>
                <w:sz w:val="20"/>
                <w:szCs w:val="20"/>
              </w:rPr>
              <w:t>Public &amp; anti-waste grants</w:t>
            </w:r>
          </w:p>
        </w:tc>
        <w:tc>
          <w:tcPr>
            <w:tcW w:w="4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33C494D" w14:textId="77777777" w:rsidR="00885322" w:rsidRDefault="00000000">
            <w:pPr>
              <w:spacing w:after="0"/>
            </w:pPr>
            <w:r>
              <w:rPr>
                <w:sz w:val="20"/>
                <w:szCs w:val="20"/>
              </w:rPr>
              <w:t>Funding from public bodies and foundations active on food waste and student precarity.</w:t>
            </w:r>
          </w:p>
        </w:tc>
        <w:tc>
          <w:tcPr>
            <w:tcW w:w="3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AD4CF31" w14:textId="77777777" w:rsidR="00885322" w:rsidRDefault="00000000">
            <w:pPr>
              <w:spacing w:after="0"/>
            </w:pPr>
            <w:r>
              <w:rPr>
                <w:sz w:val="20"/>
                <w:szCs w:val="20"/>
              </w:rPr>
              <w:t>Strong — directly aligned with Vif’s social mission.</w:t>
            </w:r>
          </w:p>
        </w:tc>
      </w:tr>
      <w:tr w:rsidR="00885322" w14:paraId="14389B4F"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FF7194" w14:textId="77777777" w:rsidR="00885322" w:rsidRDefault="00000000">
            <w:pPr>
              <w:spacing w:after="0"/>
            </w:pPr>
            <w:r>
              <w:rPr>
                <w:sz w:val="20"/>
                <w:szCs w:val="20"/>
              </w:rPr>
              <w:t>Institutional partnerships</w:t>
            </w:r>
          </w:p>
        </w:tc>
        <w:tc>
          <w:tcPr>
            <w:tcW w:w="4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B52252" w14:textId="77777777" w:rsidR="00885322" w:rsidRDefault="00000000">
            <w:pPr>
              <w:spacing w:after="0"/>
            </w:pPr>
            <w:r>
              <w:rPr>
                <w:sz w:val="20"/>
                <w:szCs w:val="20"/>
              </w:rPr>
              <w:t>Universities, CROUS or city authorities sponsoring Vif as a student-welfare tool.</w:t>
            </w:r>
          </w:p>
        </w:tc>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F25877" w14:textId="77777777" w:rsidR="00885322" w:rsidRDefault="00000000">
            <w:pPr>
              <w:spacing w:after="0"/>
            </w:pPr>
            <w:r>
              <w:rPr>
                <w:sz w:val="20"/>
                <w:szCs w:val="20"/>
              </w:rPr>
              <w:t>Strong — they benefit from healthier, supported students.</w:t>
            </w:r>
          </w:p>
        </w:tc>
      </w:tr>
      <w:tr w:rsidR="00885322" w14:paraId="7868DD75" w14:textId="77777777">
        <w:tblPrEx>
          <w:tblCellMar>
            <w:top w:w="0" w:type="dxa"/>
            <w:bottom w:w="0" w:type="dxa"/>
          </w:tblCellMar>
        </w:tblPrEx>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AAAE384" w14:textId="77777777" w:rsidR="00885322" w:rsidRDefault="00000000">
            <w:pPr>
              <w:spacing w:after="0"/>
            </w:pPr>
            <w:r>
              <w:rPr>
                <w:sz w:val="20"/>
                <w:szCs w:val="20"/>
              </w:rPr>
              <w:lastRenderedPageBreak/>
              <w:t>Ethical sponsorship / CSR</w:t>
            </w:r>
          </w:p>
        </w:tc>
        <w:tc>
          <w:tcPr>
            <w:tcW w:w="4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8E7132C" w14:textId="77777777" w:rsidR="00885322" w:rsidRDefault="00000000">
            <w:pPr>
              <w:spacing w:after="0"/>
            </w:pPr>
            <w:r>
              <w:rPr>
                <w:sz w:val="20"/>
                <w:szCs w:val="20"/>
              </w:rPr>
              <w:t>Sponsorship from mission-aligned organisations, with strict rules and no influence on the service.</w:t>
            </w:r>
          </w:p>
        </w:tc>
        <w:tc>
          <w:tcPr>
            <w:tcW w:w="3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03D75F1F" w14:textId="77777777" w:rsidR="00885322" w:rsidRDefault="00000000">
            <w:pPr>
              <w:spacing w:after="0"/>
            </w:pPr>
            <w:r>
              <w:rPr>
                <w:sz w:val="20"/>
                <w:szCs w:val="20"/>
              </w:rPr>
              <w:t>Medium — acceptable if it never compromises neutrality or the student experience.</w:t>
            </w:r>
          </w:p>
        </w:tc>
      </w:tr>
    </w:tbl>
    <w:p w14:paraId="6A04D05B" w14:textId="77777777" w:rsidR="00885322" w:rsidRDefault="00000000">
      <w:pPr>
        <w:pStyle w:val="Heading2"/>
      </w:pPr>
      <w:bookmarkStart w:id="13" w:name="_Toc230644788"/>
      <w:r>
        <w:t>4.3 Cost-Planning Note</w:t>
      </w:r>
      <w:bookmarkEnd w:id="13"/>
    </w:p>
    <w:p w14:paraId="55BA20D4" w14:textId="77777777" w:rsidR="00885322" w:rsidRDefault="00000000">
      <w:r>
        <w:t>A detailed cost projection (one-time vs. recurring costs, and break-even modelling against the chosen revenue mix) is developed in the Final Capstone Report. Milestone 3 establishes the principle: Vif must reach a point where recurring revenue covers recurring cost, so that the change survives beyond the founding team and beyond grant funding.</w:t>
      </w:r>
    </w:p>
    <w:p w14:paraId="608A42D3" w14:textId="77777777" w:rsidR="00885322" w:rsidRDefault="00000000">
      <w:pPr>
        <w:pStyle w:val="Heading1"/>
      </w:pPr>
      <w:bookmarkStart w:id="14" w:name="_Toc230644789"/>
      <w:r>
        <w:t>5. Long-Term Vision &amp; Future Ideas</w:t>
      </w:r>
      <w:bookmarkEnd w:id="14"/>
    </w:p>
    <w:p w14:paraId="33328261" w14:textId="77777777" w:rsidR="00885322" w:rsidRDefault="00000000">
      <w:pPr>
        <w:pStyle w:val="Heading2"/>
      </w:pPr>
      <w:bookmarkStart w:id="15" w:name="_Toc230644790"/>
      <w:r>
        <w:t>5.1 The Three-Horizon View</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5322" w14:paraId="40A8530C"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33C08207" w14:textId="77777777" w:rsidR="00885322" w:rsidRDefault="00000000">
            <w:r>
              <w:rPr>
                <w:b/>
                <w:bCs/>
                <w:color w:val="FFFFFF"/>
                <w:sz w:val="20"/>
                <w:szCs w:val="20"/>
              </w:rPr>
              <w:t>Horizon</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7B49289F" w14:textId="77777777" w:rsidR="00885322" w:rsidRDefault="00000000">
            <w:r>
              <w:rPr>
                <w:b/>
                <w:bCs/>
                <w:color w:val="FFFFFF"/>
                <w:sz w:val="20"/>
                <w:szCs w:val="20"/>
              </w:rPr>
              <w:t>Ambition</w:t>
            </w:r>
          </w:p>
        </w:tc>
      </w:tr>
      <w:tr w:rsidR="00885322" w14:paraId="796BB74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86D3CC" w14:textId="77777777" w:rsidR="00885322" w:rsidRDefault="00000000">
            <w:pPr>
              <w:spacing w:after="0"/>
            </w:pPr>
            <w:r>
              <w:rPr>
                <w:sz w:val="20"/>
                <w:szCs w:val="20"/>
              </w:rPr>
              <w:t>Horizon 1 — Now</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77E3D2" w14:textId="77777777" w:rsidR="00885322" w:rsidRDefault="00000000">
            <w:pPr>
              <w:spacing w:after="0"/>
            </w:pPr>
            <w:r>
              <w:rPr>
                <w:sz w:val="20"/>
                <w:szCs w:val="20"/>
              </w:rPr>
              <w:t>A working, loved pilot: real bakeries and real students in one zone, with the tax mechanism proven.</w:t>
            </w:r>
          </w:p>
        </w:tc>
      </w:tr>
      <w:tr w:rsidR="00885322" w14:paraId="2BAA60F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3463A771" w14:textId="77777777" w:rsidR="00885322" w:rsidRDefault="00000000">
            <w:pPr>
              <w:spacing w:after="0"/>
            </w:pPr>
            <w:r>
              <w:rPr>
                <w:sz w:val="20"/>
                <w:szCs w:val="20"/>
              </w:rPr>
              <w:t>Horizon 2 — Growth</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6E1B62CE" w14:textId="77777777" w:rsidR="00885322" w:rsidRDefault="00000000">
            <w:pPr>
              <w:spacing w:after="0"/>
            </w:pPr>
            <w:r>
              <w:rPr>
                <w:sz w:val="20"/>
                <w:szCs w:val="20"/>
              </w:rPr>
              <w:t>Vif present in several French student cities; financially self-sustaining; a recognised name in the anti-waste space.</w:t>
            </w:r>
          </w:p>
        </w:tc>
      </w:tr>
      <w:tr w:rsidR="00885322" w14:paraId="542BAB7D"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578FF8" w14:textId="77777777" w:rsidR="00885322" w:rsidRDefault="00000000">
            <w:pPr>
              <w:spacing w:after="0"/>
            </w:pPr>
            <w:r>
              <w:rPr>
                <w:sz w:val="20"/>
                <w:szCs w:val="20"/>
              </w:rPr>
              <w:t>Horizon 3 — Vision</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3AF091" w14:textId="77777777" w:rsidR="00885322" w:rsidRDefault="00000000">
            <w:pPr>
              <w:spacing w:after="0"/>
            </w:pPr>
            <w:r>
              <w:rPr>
                <w:sz w:val="20"/>
                <w:szCs w:val="20"/>
              </w:rPr>
              <w:t>The default real-time bridge between food surplus and food need — a piece of social infrastructure, not just an app.</w:t>
            </w:r>
          </w:p>
        </w:tc>
      </w:tr>
    </w:tbl>
    <w:p w14:paraId="2A5EB8D2" w14:textId="77777777" w:rsidR="00885322" w:rsidRDefault="00000000">
      <w:pPr>
        <w:pStyle w:val="Heading2"/>
      </w:pPr>
      <w:bookmarkStart w:id="16" w:name="_Toc230644791"/>
      <w:r>
        <w:t>5.2 Future Feature Ideas</w:t>
      </w:r>
      <w:bookmarkEnd w:id="16"/>
    </w:p>
    <w:p w14:paraId="0EE52509" w14:textId="77777777" w:rsidR="00885322" w:rsidRDefault="00000000">
      <w:pPr>
        <w:pStyle w:val="ListParagraph"/>
        <w:numPr>
          <w:ilvl w:val="0"/>
          <w:numId w:val="2"/>
        </w:numPr>
        <w:spacing w:after="60"/>
      </w:pPr>
      <w:r>
        <w:rPr>
          <w:b/>
          <w:bCs/>
        </w:rPr>
        <w:t xml:space="preserve">Baker impact dashboard. </w:t>
      </w:r>
      <w:r>
        <w:t>A richer view of waste avoided, meals provided and tax recovered over time.</w:t>
      </w:r>
    </w:p>
    <w:p w14:paraId="07CA8E75" w14:textId="77777777" w:rsidR="00885322" w:rsidRDefault="00000000">
      <w:pPr>
        <w:pStyle w:val="ListParagraph"/>
        <w:numPr>
          <w:ilvl w:val="0"/>
          <w:numId w:val="2"/>
        </w:numPr>
        <w:spacing w:after="60"/>
      </w:pPr>
      <w:r>
        <w:rPr>
          <w:b/>
          <w:bCs/>
        </w:rPr>
        <w:t xml:space="preserve">Predictive surplus. </w:t>
      </w:r>
      <w:r>
        <w:t>Learning a bakery’s typical end-of-day surplus to pre-alert students before the Pulse is even posted.</w:t>
      </w:r>
    </w:p>
    <w:p w14:paraId="00C7DD39" w14:textId="77777777" w:rsidR="00885322" w:rsidRDefault="00000000">
      <w:pPr>
        <w:pStyle w:val="ListParagraph"/>
        <w:numPr>
          <w:ilvl w:val="0"/>
          <w:numId w:val="2"/>
        </w:numPr>
        <w:spacing w:after="60"/>
      </w:pPr>
      <w:r>
        <w:rPr>
          <w:b/>
          <w:bCs/>
        </w:rPr>
        <w:t xml:space="preserve">Verified open data on impact. </w:t>
      </w:r>
      <w:r>
        <w:t>Aggregated, anonymised statistics shared with cities and researchers studying food waste and student precarity.</w:t>
      </w:r>
    </w:p>
    <w:p w14:paraId="0E7E8876" w14:textId="77777777" w:rsidR="00885322" w:rsidRDefault="00000000">
      <w:pPr>
        <w:pStyle w:val="ListParagraph"/>
        <w:numPr>
          <w:ilvl w:val="0"/>
          <w:numId w:val="2"/>
        </w:numPr>
        <w:spacing w:after="60"/>
      </w:pPr>
      <w:r>
        <w:rPr>
          <w:b/>
          <w:bCs/>
        </w:rPr>
        <w:t xml:space="preserve">Wider donor types. </w:t>
      </w:r>
      <w:r>
        <w:t>Extending the same engine to small grocers, caterers and canteens, all under the same legal framework.</w:t>
      </w:r>
    </w:p>
    <w:p w14:paraId="2745C58D" w14:textId="77777777" w:rsidR="00885322" w:rsidRDefault="00000000">
      <w:pPr>
        <w:pStyle w:val="ListParagraph"/>
        <w:numPr>
          <w:ilvl w:val="0"/>
          <w:numId w:val="2"/>
        </w:numPr>
        <w:spacing w:after="60"/>
      </w:pPr>
      <w:r>
        <w:rPr>
          <w:b/>
          <w:bCs/>
        </w:rPr>
        <w:t xml:space="preserve">European Student Card integration at scale. </w:t>
      </w:r>
      <w:r>
        <w:t>Deeper use of the ESC standard to make verification instant across borders.</w:t>
      </w:r>
    </w:p>
    <w:p w14:paraId="3AB8776B" w14:textId="77777777" w:rsidR="00885322" w:rsidRDefault="00000000">
      <w:pPr>
        <w:pStyle w:val="Heading2"/>
      </w:pPr>
      <w:bookmarkStart w:id="17" w:name="_Toc230644792"/>
      <w:r>
        <w:t>5.3 Guardrails for the Future</w:t>
      </w:r>
      <w:bookmarkEnd w:id="17"/>
    </w:p>
    <w:p w14:paraId="51CA271D" w14:textId="77777777" w:rsidR="00885322" w:rsidRDefault="00000000">
      <w:r>
        <w:lastRenderedPageBreak/>
        <w:t>As Vif grows, three things must never be traded away. They are the conditions under which growth remains true to the project:</w:t>
      </w:r>
    </w:p>
    <w:p w14:paraId="534B6098" w14:textId="77777777" w:rsidR="00885322" w:rsidRDefault="00000000">
      <w:pPr>
        <w:pStyle w:val="ListParagraph"/>
        <w:numPr>
          <w:ilvl w:val="0"/>
          <w:numId w:val="3"/>
        </w:numPr>
        <w:spacing w:after="60"/>
      </w:pPr>
      <w:r>
        <w:rPr>
          <w:b/>
          <w:bCs/>
        </w:rPr>
        <w:t>Students never pay. Free access for students is permanent.</w:t>
      </w:r>
    </w:p>
    <w:p w14:paraId="0DC597FD" w14:textId="77777777" w:rsidR="00885322" w:rsidRDefault="00000000">
      <w:pPr>
        <w:pStyle w:val="ListParagraph"/>
        <w:numPr>
          <w:ilvl w:val="0"/>
          <w:numId w:val="3"/>
        </w:numPr>
        <w:spacing w:after="60"/>
      </w:pPr>
      <w:r>
        <w:rPr>
          <w:b/>
          <w:bCs/>
        </w:rPr>
        <w:t>Dignity is preserved. Vif always remains “saving good food”, never “receiving charity”.</w:t>
      </w:r>
    </w:p>
    <w:p w14:paraId="7064868B" w14:textId="77777777" w:rsidR="00885322" w:rsidRDefault="00000000">
      <w:pPr>
        <w:pStyle w:val="ListParagraph"/>
        <w:numPr>
          <w:ilvl w:val="0"/>
          <w:numId w:val="3"/>
        </w:numPr>
        <w:spacing w:after="60"/>
      </w:pPr>
      <w:r>
        <w:rPr>
          <w:b/>
          <w:bCs/>
        </w:rPr>
        <w:t>Legal and food-safety rigour scales with the platform. Growth never outpaces compliance.</w:t>
      </w:r>
    </w:p>
    <w:p w14:paraId="5B8A8731" w14:textId="77777777" w:rsidR="00885322" w:rsidRDefault="00000000">
      <w:pPr>
        <w:pStyle w:val="Heading1"/>
      </w:pPr>
      <w:bookmarkStart w:id="18" w:name="_Toc230644793"/>
      <w:r>
        <w:t>6. Sustainability Risks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5260"/>
      </w:tblGrid>
      <w:tr w:rsidR="00885322" w14:paraId="1FE391EC" w14:textId="77777777">
        <w:tblPrEx>
          <w:tblCellMar>
            <w:top w:w="0" w:type="dxa"/>
            <w:bottom w:w="0" w:type="dxa"/>
          </w:tblCellMar>
        </w:tblPrEx>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6C715703" w14:textId="77777777" w:rsidR="00885322" w:rsidRDefault="00000000">
            <w:r>
              <w:rPr>
                <w:b/>
                <w:bCs/>
                <w:color w:val="FFFFFF"/>
                <w:sz w:val="20"/>
                <w:szCs w:val="20"/>
              </w:rPr>
              <w:t>Risk</w:t>
            </w:r>
          </w:p>
        </w:tc>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532403BA" w14:textId="77777777" w:rsidR="00885322" w:rsidRDefault="00000000">
            <w:r>
              <w:rPr>
                <w:b/>
                <w:bCs/>
                <w:color w:val="FFFFFF"/>
                <w:sz w:val="20"/>
                <w:szCs w:val="20"/>
              </w:rPr>
              <w:t>Impact</w:t>
            </w:r>
          </w:p>
        </w:tc>
        <w:tc>
          <w:tcPr>
            <w:tcW w:w="52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20" w:type="dxa"/>
              <w:bottom w:w="90" w:type="dxa"/>
              <w:right w:w="120" w:type="dxa"/>
            </w:tcMar>
            <w:vAlign w:val="center"/>
          </w:tcPr>
          <w:p w14:paraId="27AFD74E" w14:textId="77777777" w:rsidR="00885322" w:rsidRDefault="00000000">
            <w:r>
              <w:rPr>
                <w:b/>
                <w:bCs/>
                <w:color w:val="FFFFFF"/>
                <w:sz w:val="20"/>
                <w:szCs w:val="20"/>
              </w:rPr>
              <w:t>Mitigation</w:t>
            </w:r>
          </w:p>
        </w:tc>
      </w:tr>
      <w:tr w:rsidR="00885322" w14:paraId="0D4B0D9C"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61C241" w14:textId="77777777" w:rsidR="00885322" w:rsidRDefault="00000000">
            <w:pPr>
              <w:spacing w:after="0"/>
            </w:pPr>
            <w:r>
              <w:rPr>
                <w:sz w:val="20"/>
                <w:szCs w:val="20"/>
              </w:rPr>
              <w:t>Founder dependency — project dies when the team leaves</w:t>
            </w:r>
          </w:p>
        </w:tc>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66284E" w14:textId="77777777" w:rsidR="00885322" w:rsidRDefault="00000000">
            <w:pPr>
              <w:spacing w:after="0"/>
            </w:pPr>
            <w:r>
              <w:rPr>
                <w:sz w:val="20"/>
                <w:szCs w:val="20"/>
              </w:rPr>
              <w:t>High</w:t>
            </w:r>
          </w:p>
        </w:tc>
        <w:tc>
          <w:tcPr>
            <w:tcW w:w="52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25195E" w14:textId="77777777" w:rsidR="00885322" w:rsidRDefault="00000000">
            <w:pPr>
              <w:spacing w:after="0"/>
            </w:pPr>
            <w:r>
              <w:rPr>
                <w:sz w:val="20"/>
                <w:szCs w:val="20"/>
              </w:rPr>
              <w:t>Documented processes; institutional partnerships; self-service onboarding; a durable legal structure.</w:t>
            </w:r>
          </w:p>
        </w:tc>
      </w:tr>
      <w:tr w:rsidR="00885322" w14:paraId="79F5EBAE"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355C0B6" w14:textId="77777777" w:rsidR="00885322" w:rsidRDefault="00000000">
            <w:pPr>
              <w:spacing w:after="0"/>
            </w:pPr>
            <w:r>
              <w:rPr>
                <w:sz w:val="20"/>
                <w:szCs w:val="20"/>
              </w:rPr>
              <w:t>Demand outgrows supply during scaling</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5BCED1F1" w14:textId="77777777" w:rsidR="00885322" w:rsidRDefault="00000000">
            <w:pPr>
              <w:spacing w:after="0"/>
            </w:pPr>
            <w:r>
              <w:rPr>
                <w:sz w:val="20"/>
                <w:szCs w:val="20"/>
              </w:rPr>
              <w:t>High</w:t>
            </w:r>
          </w:p>
        </w:tc>
        <w:tc>
          <w:tcPr>
            <w:tcW w:w="52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285903DD" w14:textId="77777777" w:rsidR="00885322" w:rsidRDefault="00000000">
            <w:pPr>
              <w:spacing w:after="0"/>
            </w:pPr>
            <w:r>
              <w:rPr>
                <w:sz w:val="20"/>
                <w:szCs w:val="20"/>
              </w:rPr>
              <w:t>Strict supply-led growth; never open a zone before bakery coverage exists.</w:t>
            </w:r>
          </w:p>
        </w:tc>
      </w:tr>
      <w:tr w:rsidR="00885322" w14:paraId="5565042D"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5F6D77" w14:textId="77777777" w:rsidR="00885322" w:rsidRDefault="00000000">
            <w:pPr>
              <w:spacing w:after="0"/>
            </w:pPr>
            <w:r>
              <w:rPr>
                <w:sz w:val="20"/>
                <w:szCs w:val="20"/>
              </w:rPr>
              <w:t>No sustainable revenue — costs exceed funding</w:t>
            </w:r>
          </w:p>
        </w:tc>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F766CA" w14:textId="77777777" w:rsidR="00885322" w:rsidRDefault="00000000">
            <w:pPr>
              <w:spacing w:after="0"/>
            </w:pPr>
            <w:r>
              <w:rPr>
                <w:sz w:val="20"/>
                <w:szCs w:val="20"/>
              </w:rPr>
              <w:t>High</w:t>
            </w:r>
          </w:p>
        </w:tc>
        <w:tc>
          <w:tcPr>
            <w:tcW w:w="52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2F3730" w14:textId="77777777" w:rsidR="00885322" w:rsidRDefault="00000000">
            <w:pPr>
              <w:spacing w:after="0"/>
            </w:pPr>
            <w:r>
              <w:rPr>
                <w:sz w:val="20"/>
                <w:szCs w:val="20"/>
              </w:rPr>
              <w:t>Diversified revenue mix (baker premium, grants, institutional partners); reach recurring break-even.</w:t>
            </w:r>
          </w:p>
        </w:tc>
      </w:tr>
      <w:tr w:rsidR="00885322" w14:paraId="581D715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F5E2717" w14:textId="77777777" w:rsidR="00885322" w:rsidRDefault="00000000">
            <w:pPr>
              <w:spacing w:after="0"/>
            </w:pPr>
            <w:r>
              <w:rPr>
                <w:sz w:val="20"/>
                <w:szCs w:val="20"/>
              </w:rPr>
              <w:t>Regulatory change in tax or food-donation law</w:t>
            </w:r>
          </w:p>
        </w:tc>
        <w:tc>
          <w:tcPr>
            <w:tcW w:w="11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7A0E50AE" w14:textId="77777777" w:rsidR="00885322" w:rsidRDefault="00000000">
            <w:pPr>
              <w:spacing w:after="0"/>
            </w:pPr>
            <w:r>
              <w:rPr>
                <w:sz w:val="20"/>
                <w:szCs w:val="20"/>
              </w:rPr>
              <w:t>Medium</w:t>
            </w:r>
          </w:p>
        </w:tc>
        <w:tc>
          <w:tcPr>
            <w:tcW w:w="52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tcPr>
          <w:p w14:paraId="123A0D50" w14:textId="77777777" w:rsidR="00885322" w:rsidRDefault="00000000">
            <w:pPr>
              <w:spacing w:after="0"/>
            </w:pPr>
            <w:r>
              <w:rPr>
                <w:sz w:val="20"/>
                <w:szCs w:val="20"/>
              </w:rPr>
              <w:t>Monitor the legal framework; keep the association partnership and compliance documentation current.</w:t>
            </w:r>
          </w:p>
        </w:tc>
      </w:tr>
      <w:tr w:rsidR="00885322" w14:paraId="7D685CAE"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C91975A" w14:textId="77777777" w:rsidR="00885322" w:rsidRDefault="00000000">
            <w:pPr>
              <w:spacing w:after="0"/>
            </w:pPr>
            <w:r>
              <w:rPr>
                <w:sz w:val="20"/>
                <w:szCs w:val="20"/>
              </w:rPr>
              <w:t>Loss of trust after a food-safety incident</w:t>
            </w:r>
          </w:p>
        </w:tc>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6850DA" w14:textId="77777777" w:rsidR="00885322" w:rsidRDefault="00000000">
            <w:pPr>
              <w:spacing w:after="0"/>
            </w:pPr>
            <w:r>
              <w:rPr>
                <w:sz w:val="20"/>
                <w:szCs w:val="20"/>
              </w:rPr>
              <w:t>High</w:t>
            </w:r>
          </w:p>
        </w:tc>
        <w:tc>
          <w:tcPr>
            <w:tcW w:w="52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F2B075" w14:textId="77777777" w:rsidR="00885322" w:rsidRDefault="00000000">
            <w:pPr>
              <w:spacing w:after="0"/>
            </w:pPr>
            <w:r>
              <w:rPr>
                <w:sz w:val="20"/>
                <w:szCs w:val="20"/>
              </w:rPr>
              <w:t>Maintain strict item-category rules, clear Terms of Use and traceability; treat safety as non-negotiable.</w:t>
            </w:r>
          </w:p>
        </w:tc>
      </w:tr>
    </w:tbl>
    <w:p w14:paraId="27B879CC" w14:textId="77777777" w:rsidR="00885322" w:rsidRDefault="00000000">
      <w:pPr>
        <w:pStyle w:val="Heading1"/>
      </w:pPr>
      <w:bookmarkStart w:id="19" w:name="_Toc230644794"/>
      <w:r>
        <w:t>7. Milestone 3 Deliverables</w:t>
      </w:r>
      <w:bookmarkEnd w:id="19"/>
    </w:p>
    <w:p w14:paraId="6B2540E0" w14:textId="77777777" w:rsidR="00885322" w:rsidRDefault="00000000">
      <w:r>
        <w:t>By the end of Milestone 3 the project should be able to demonstrate:</w:t>
      </w:r>
    </w:p>
    <w:p w14:paraId="0F36D34E" w14:textId="77777777" w:rsidR="00885322" w:rsidRDefault="00000000">
      <w:pPr>
        <w:pStyle w:val="ListParagraph"/>
        <w:numPr>
          <w:ilvl w:val="0"/>
          <w:numId w:val="3"/>
        </w:numPr>
        <w:spacing w:after="60"/>
      </w:pPr>
      <w:r>
        <w:t>A plan for sustaining adoption — turning use into habit for both bakers and students.</w:t>
      </w:r>
    </w:p>
    <w:p w14:paraId="4555099D" w14:textId="77777777" w:rsidR="00885322" w:rsidRDefault="00000000">
      <w:pPr>
        <w:pStyle w:val="ListParagraph"/>
        <w:numPr>
          <w:ilvl w:val="0"/>
          <w:numId w:val="3"/>
        </w:numPr>
        <w:spacing w:after="60"/>
      </w:pPr>
      <w:r>
        <w:t>A staged, supply-led scaling strategy from pilot to national.</w:t>
      </w:r>
    </w:p>
    <w:p w14:paraId="6A5EA14D" w14:textId="77777777" w:rsidR="00885322" w:rsidRDefault="00000000">
      <w:pPr>
        <w:pStyle w:val="ListParagraph"/>
        <w:numPr>
          <w:ilvl w:val="0"/>
          <w:numId w:val="3"/>
        </w:numPr>
        <w:spacing w:after="60"/>
      </w:pPr>
      <w:r>
        <w:t>A financial-sustainability model that keeps Vif free for students.</w:t>
      </w:r>
    </w:p>
    <w:p w14:paraId="4B5EFBEF" w14:textId="77777777" w:rsidR="00885322" w:rsidRDefault="00000000">
      <w:pPr>
        <w:pStyle w:val="ListParagraph"/>
        <w:numPr>
          <w:ilvl w:val="0"/>
          <w:numId w:val="3"/>
        </w:numPr>
        <w:spacing w:after="60"/>
      </w:pPr>
      <w:r>
        <w:t>A long-term vision, a future-feature roadmap and explicit guardrails.</w:t>
      </w:r>
    </w:p>
    <w:p w14:paraId="15F3EE6C" w14:textId="77777777" w:rsidR="00885322" w:rsidRDefault="00000000">
      <w:pPr>
        <w:pStyle w:val="ListParagraph"/>
        <w:numPr>
          <w:ilvl w:val="0"/>
          <w:numId w:val="3"/>
        </w:numPr>
        <w:spacing w:after="60"/>
      </w:pPr>
      <w:r>
        <w:t>A sustainability risk register.</w:t>
      </w:r>
    </w:p>
    <w:p w14:paraId="4A0E5C9B" w14:textId="77777777" w:rsidR="00885322" w:rsidRDefault="00885322">
      <w:pPr>
        <w:spacing w:after="60"/>
      </w:pPr>
    </w:p>
    <w:p w14:paraId="24038911" w14:textId="77777777" w:rsidR="00885322" w:rsidRDefault="00000000">
      <w:r>
        <w:t>Together, the three milestones describe the full change journey — defining it, implementing it and sustaining it. The Final Capstone Report synthesises this journey with the management strategy, the models used, the cost planning, the stakeholders and the outcomes.</w:t>
      </w:r>
    </w:p>
    <w:sectPr w:rsidR="008853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AE0D" w14:textId="77777777" w:rsidR="00B60126" w:rsidRDefault="00B60126">
      <w:pPr>
        <w:spacing w:after="0" w:line="240" w:lineRule="auto"/>
      </w:pPr>
      <w:r>
        <w:separator/>
      </w:r>
    </w:p>
  </w:endnote>
  <w:endnote w:type="continuationSeparator" w:id="0">
    <w:p w14:paraId="6D5901CF" w14:textId="77777777" w:rsidR="00B60126" w:rsidRDefault="00B6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7C8B" w14:textId="77777777" w:rsidR="00885322" w:rsidRDefault="00000000">
    <w:pPr>
      <w:pBdr>
        <w:top w:val="single" w:sz="4" w:space="4" w:color="BFBFBF"/>
      </w:pBdr>
      <w:tabs>
        <w:tab w:val="right" w:pos="9360"/>
      </w:tabs>
    </w:pPr>
    <w:r>
      <w:rPr>
        <w:color w:val="595959"/>
        <w:sz w:val="16"/>
        <w:szCs w:val="16"/>
      </w:rPr>
      <w:t>EPITECH Capstone — Confidential Draft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F453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F4536">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AE2D3" w14:textId="77777777" w:rsidR="00B60126" w:rsidRDefault="00B60126">
      <w:pPr>
        <w:spacing w:after="0" w:line="240" w:lineRule="auto"/>
      </w:pPr>
      <w:r>
        <w:separator/>
      </w:r>
    </w:p>
  </w:footnote>
  <w:footnote w:type="continuationSeparator" w:id="0">
    <w:p w14:paraId="5FF08CC5" w14:textId="77777777" w:rsidR="00B60126" w:rsidRDefault="00B6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0BE5" w14:textId="77777777" w:rsidR="00885322" w:rsidRDefault="00000000">
    <w:pPr>
      <w:pBdr>
        <w:bottom w:val="single" w:sz="4" w:space="4" w:color="BFBFBF"/>
      </w:pBdr>
      <w:tabs>
        <w:tab w:val="right" w:pos="9360"/>
      </w:tabs>
    </w:pPr>
    <w:r>
      <w:rPr>
        <w:b/>
        <w:bCs/>
        <w:color w:val="1F3864"/>
        <w:sz w:val="18"/>
        <w:szCs w:val="18"/>
      </w:rPr>
      <w:t>Project Vif</w:t>
    </w:r>
    <w:r>
      <w:rPr>
        <w:color w:val="595959"/>
        <w:sz w:val="18"/>
        <w:szCs w:val="18"/>
      </w:rPr>
      <w:tab/>
      <w:t>Milestone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5332E"/>
    <w:multiLevelType w:val="hybridMultilevel"/>
    <w:tmpl w:val="493E36EE"/>
    <w:lvl w:ilvl="0" w:tplc="916443C2">
      <w:start w:val="1"/>
      <w:numFmt w:val="bullet"/>
      <w:lvlText w:val="•"/>
      <w:lvlJc w:val="left"/>
      <w:pPr>
        <w:ind w:left="460" w:hanging="280"/>
      </w:pPr>
    </w:lvl>
    <w:lvl w:ilvl="1" w:tplc="D5D29862">
      <w:start w:val="1"/>
      <w:numFmt w:val="bullet"/>
      <w:lvlText w:val="–"/>
      <w:lvlJc w:val="left"/>
      <w:pPr>
        <w:ind w:left="860" w:hanging="280"/>
      </w:pPr>
    </w:lvl>
    <w:lvl w:ilvl="2" w:tplc="531232E2">
      <w:numFmt w:val="decimal"/>
      <w:lvlText w:val=""/>
      <w:lvlJc w:val="left"/>
    </w:lvl>
    <w:lvl w:ilvl="3" w:tplc="8E722BC4">
      <w:numFmt w:val="decimal"/>
      <w:lvlText w:val=""/>
      <w:lvlJc w:val="left"/>
    </w:lvl>
    <w:lvl w:ilvl="4" w:tplc="5A40BAC8">
      <w:numFmt w:val="decimal"/>
      <w:lvlText w:val=""/>
      <w:lvlJc w:val="left"/>
    </w:lvl>
    <w:lvl w:ilvl="5" w:tplc="166C964E">
      <w:numFmt w:val="decimal"/>
      <w:lvlText w:val=""/>
      <w:lvlJc w:val="left"/>
    </w:lvl>
    <w:lvl w:ilvl="6" w:tplc="986ABDEE">
      <w:numFmt w:val="decimal"/>
      <w:lvlText w:val=""/>
      <w:lvlJc w:val="left"/>
    </w:lvl>
    <w:lvl w:ilvl="7" w:tplc="04D477BE">
      <w:numFmt w:val="decimal"/>
      <w:lvlText w:val=""/>
      <w:lvlJc w:val="left"/>
    </w:lvl>
    <w:lvl w:ilvl="8" w:tplc="304C2932">
      <w:numFmt w:val="decimal"/>
      <w:lvlText w:val=""/>
      <w:lvlJc w:val="left"/>
    </w:lvl>
  </w:abstractNum>
  <w:abstractNum w:abstractNumId="1" w15:restartNumberingAfterBreak="0">
    <w:nsid w:val="2BD4242D"/>
    <w:multiLevelType w:val="hybridMultilevel"/>
    <w:tmpl w:val="1D800338"/>
    <w:lvl w:ilvl="0" w:tplc="F1002164">
      <w:start w:val="1"/>
      <w:numFmt w:val="decimal"/>
      <w:lvlText w:val="%1."/>
      <w:lvlJc w:val="left"/>
      <w:pPr>
        <w:ind w:left="460" w:hanging="280"/>
      </w:pPr>
    </w:lvl>
    <w:lvl w:ilvl="1" w:tplc="5750E8E0">
      <w:numFmt w:val="decimal"/>
      <w:lvlText w:val=""/>
      <w:lvlJc w:val="left"/>
    </w:lvl>
    <w:lvl w:ilvl="2" w:tplc="73A641A0">
      <w:numFmt w:val="decimal"/>
      <w:lvlText w:val=""/>
      <w:lvlJc w:val="left"/>
    </w:lvl>
    <w:lvl w:ilvl="3" w:tplc="120492E4">
      <w:numFmt w:val="decimal"/>
      <w:lvlText w:val=""/>
      <w:lvlJc w:val="left"/>
    </w:lvl>
    <w:lvl w:ilvl="4" w:tplc="CF5CBA9C">
      <w:numFmt w:val="decimal"/>
      <w:lvlText w:val=""/>
      <w:lvlJc w:val="left"/>
    </w:lvl>
    <w:lvl w:ilvl="5" w:tplc="760061D2">
      <w:numFmt w:val="decimal"/>
      <w:lvlText w:val=""/>
      <w:lvlJc w:val="left"/>
    </w:lvl>
    <w:lvl w:ilvl="6" w:tplc="4D426FE4">
      <w:numFmt w:val="decimal"/>
      <w:lvlText w:val=""/>
      <w:lvlJc w:val="left"/>
    </w:lvl>
    <w:lvl w:ilvl="7" w:tplc="E2767166">
      <w:numFmt w:val="decimal"/>
      <w:lvlText w:val=""/>
      <w:lvlJc w:val="left"/>
    </w:lvl>
    <w:lvl w:ilvl="8" w:tplc="F672FB7E">
      <w:numFmt w:val="decimal"/>
      <w:lvlText w:val=""/>
      <w:lvlJc w:val="left"/>
    </w:lvl>
  </w:abstractNum>
  <w:abstractNum w:abstractNumId="2" w15:restartNumberingAfterBreak="0">
    <w:nsid w:val="5791193C"/>
    <w:multiLevelType w:val="hybridMultilevel"/>
    <w:tmpl w:val="10724C8C"/>
    <w:lvl w:ilvl="0" w:tplc="0DC46F8E">
      <w:start w:val="1"/>
      <w:numFmt w:val="bullet"/>
      <w:lvlText w:val="●"/>
      <w:lvlJc w:val="left"/>
      <w:pPr>
        <w:ind w:left="720" w:hanging="360"/>
      </w:pPr>
    </w:lvl>
    <w:lvl w:ilvl="1" w:tplc="F5CAE186">
      <w:start w:val="1"/>
      <w:numFmt w:val="bullet"/>
      <w:lvlText w:val="○"/>
      <w:lvlJc w:val="left"/>
      <w:pPr>
        <w:ind w:left="1440" w:hanging="360"/>
      </w:pPr>
    </w:lvl>
    <w:lvl w:ilvl="2" w:tplc="5B425448">
      <w:start w:val="1"/>
      <w:numFmt w:val="bullet"/>
      <w:lvlText w:val="■"/>
      <w:lvlJc w:val="left"/>
      <w:pPr>
        <w:ind w:left="2160" w:hanging="360"/>
      </w:pPr>
    </w:lvl>
    <w:lvl w:ilvl="3" w:tplc="A1826416">
      <w:start w:val="1"/>
      <w:numFmt w:val="bullet"/>
      <w:lvlText w:val="●"/>
      <w:lvlJc w:val="left"/>
      <w:pPr>
        <w:ind w:left="2880" w:hanging="360"/>
      </w:pPr>
    </w:lvl>
    <w:lvl w:ilvl="4" w:tplc="F4EEFEF2">
      <w:start w:val="1"/>
      <w:numFmt w:val="bullet"/>
      <w:lvlText w:val="○"/>
      <w:lvlJc w:val="left"/>
      <w:pPr>
        <w:ind w:left="3600" w:hanging="360"/>
      </w:pPr>
    </w:lvl>
    <w:lvl w:ilvl="5" w:tplc="1E7852E6">
      <w:start w:val="1"/>
      <w:numFmt w:val="bullet"/>
      <w:lvlText w:val="■"/>
      <w:lvlJc w:val="left"/>
      <w:pPr>
        <w:ind w:left="4320" w:hanging="360"/>
      </w:pPr>
    </w:lvl>
    <w:lvl w:ilvl="6" w:tplc="9DDA435E">
      <w:start w:val="1"/>
      <w:numFmt w:val="bullet"/>
      <w:lvlText w:val="●"/>
      <w:lvlJc w:val="left"/>
      <w:pPr>
        <w:ind w:left="5040" w:hanging="360"/>
      </w:pPr>
    </w:lvl>
    <w:lvl w:ilvl="7" w:tplc="E3EA4AEC">
      <w:start w:val="1"/>
      <w:numFmt w:val="bullet"/>
      <w:lvlText w:val="●"/>
      <w:lvlJc w:val="left"/>
      <w:pPr>
        <w:ind w:left="5760" w:hanging="360"/>
      </w:pPr>
    </w:lvl>
    <w:lvl w:ilvl="8" w:tplc="AFE6B138">
      <w:start w:val="1"/>
      <w:numFmt w:val="bullet"/>
      <w:lvlText w:val="●"/>
      <w:lvlJc w:val="left"/>
      <w:pPr>
        <w:ind w:left="6480" w:hanging="360"/>
      </w:pPr>
    </w:lvl>
  </w:abstractNum>
  <w:num w:numId="1" w16cid:durableId="721094675">
    <w:abstractNumId w:val="2"/>
    <w:lvlOverride w:ilvl="0">
      <w:startOverride w:val="1"/>
    </w:lvlOverride>
  </w:num>
  <w:num w:numId="2" w16cid:durableId="1541473571">
    <w:abstractNumId w:val="0"/>
    <w:lvlOverride w:ilvl="0">
      <w:startOverride w:val="1"/>
    </w:lvlOverride>
  </w:num>
  <w:num w:numId="3" w16cid:durableId="506409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322"/>
    <w:rsid w:val="000F4536"/>
    <w:rsid w:val="005B1B93"/>
    <w:rsid w:val="00885322"/>
    <w:rsid w:val="00B6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482C9"/>
  <w15:docId w15:val="{979E8E77-1B87-4BA1-B8FB-77BEBFB4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pPr>
  </w:style>
  <w:style w:type="paragraph" w:styleId="Heading1">
    <w:name w:val="heading 1"/>
    <w:basedOn w:val="Normal"/>
    <w:next w:val="Normal"/>
    <w:uiPriority w:val="9"/>
    <w:qFormat/>
    <w:pPr>
      <w:pBdr>
        <w:bottom w:val="single" w:sz="6" w:space="4" w:color="2E75B6"/>
      </w:pBdr>
      <w:spacing w:before="360" w:after="160"/>
      <w:outlineLvl w:val="0"/>
    </w:pPr>
    <w:rPr>
      <w:b/>
      <w:bCs/>
      <w:color w:val="1F3864"/>
      <w:sz w:val="30"/>
      <w:szCs w:val="30"/>
    </w:rPr>
  </w:style>
  <w:style w:type="paragraph" w:styleId="Heading2">
    <w:name w:val="heading 2"/>
    <w:basedOn w:val="Normal"/>
    <w:next w:val="Normal"/>
    <w:uiPriority w:val="9"/>
    <w:unhideWhenUsed/>
    <w:qFormat/>
    <w:pPr>
      <w:spacing w:before="240" w:after="100"/>
      <w:outlineLvl w:val="1"/>
    </w:pPr>
    <w:rPr>
      <w:b/>
      <w:bCs/>
      <w:color w:val="2E75B6"/>
      <w:sz w:val="25"/>
      <w:szCs w:val="25"/>
    </w:rPr>
  </w:style>
  <w:style w:type="paragraph" w:styleId="Heading3">
    <w:name w:val="heading 3"/>
    <w:basedOn w:val="Normal"/>
    <w:next w:val="Normal"/>
    <w:uiPriority w:val="9"/>
    <w:semiHidden/>
    <w:unhideWhenUsed/>
    <w:qFormat/>
    <w:pPr>
      <w:spacing w:before="180" w:after="80"/>
      <w:outlineLvl w:val="2"/>
    </w:pPr>
    <w:rPr>
      <w:b/>
      <w:bCs/>
      <w:color w:val="C55A1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bCs/>
      <w:color w:val="1F3864"/>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4536"/>
    <w:pPr>
      <w:spacing w:after="100"/>
    </w:pPr>
  </w:style>
  <w:style w:type="paragraph" w:styleId="TOC2">
    <w:name w:val="toc 2"/>
    <w:basedOn w:val="Normal"/>
    <w:next w:val="Normal"/>
    <w:autoRedefine/>
    <w:uiPriority w:val="39"/>
    <w:unhideWhenUsed/>
    <w:rsid w:val="000F453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1738</Words>
  <Characters>9911</Characters>
  <Application>Microsoft Office Word</Application>
  <DocSecurity>0</DocSecurity>
  <Lines>82</Lines>
  <Paragraphs>23</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muhammad Mueez</cp:lastModifiedBy>
  <cp:revision>2</cp:revision>
  <dcterms:created xsi:type="dcterms:W3CDTF">2026-05-25T21:23:00Z</dcterms:created>
  <dcterms:modified xsi:type="dcterms:W3CDTF">2026-05-25T21:39:00Z</dcterms:modified>
</cp:coreProperties>
</file>