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Google Sans" w:cs="Google Sans" w:eastAsia="Google Sans" w:hAnsi="Google Sans"/>
          <w:color w:val="2c3e50"/>
          <w:rtl w:val="0"/>
        </w:rPr>
        <w:t xml:space="preserve">Research &amp; Draft "Terms of Use" regarding food safety.</w:t>
      </w:r>
      <w:r w:rsidDel="00000000" w:rsidR="00000000" w:rsidRPr="00000000">
        <w:rPr>
          <w:rtl w:val="0"/>
        </w:rPr>
      </w:r>
    </w:p>
    <w:p w:rsidR="00000000" w:rsidDel="00000000" w:rsidP="00000000" w:rsidRDefault="00000000" w:rsidRPr="00000000" w14:paraId="00000002">
      <w:pPr>
        <w:widowControl w:val="1"/>
        <w:spacing w:after="240" w:line="276" w:lineRule="auto"/>
        <w:rPr/>
      </w:pPr>
      <w:r w:rsidDel="00000000" w:rsidR="00000000" w:rsidRPr="00000000">
        <w:rPr>
          <w:b w:val="1"/>
          <w:bCs w:val="1"/>
          <w:rtl w:val="0"/>
        </w:rPr>
        <w:t xml:space="preserve">Lead Engineer:</w:t>
      </w:r>
      <w:r w:rsidDel="00000000" w:rsidR="00000000" w:rsidRPr="00000000">
        <w:rPr>
          <w:rtl w:val="0"/>
        </w:rPr>
        <w:t xml:space="preserve"> Rao Muhammad Mueez</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comprehensive document outlines the operational, legal, and technical requirements for the </w:t>
      </w:r>
      <w:r w:rsidDel="00000000" w:rsidR="00000000" w:rsidRPr="00000000">
        <w:rPr>
          <w:rFonts w:ascii="Google Sans" w:cs="Google Sans" w:eastAsia="Google Sans" w:hAnsi="Google Sans"/>
          <w:b w:val="1"/>
          <w:bCs w:val="1"/>
          <w:rtl w:val="0"/>
        </w:rPr>
        <w:t xml:space="preserve">Vif</w:t>
      </w:r>
      <w:r w:rsidDel="00000000" w:rsidR="00000000" w:rsidRPr="00000000">
        <w:rPr>
          <w:rFonts w:ascii="Google Sans" w:cs="Google Sans" w:eastAsia="Google Sans" w:hAnsi="Google Sans"/>
          <w:rtl w:val="0"/>
        </w:rPr>
        <w:t xml:space="preserve"> project located in Paris, France. It serves to establish a foundational understanding of data privacy rules (GDPR/CNIL), student identification validation protocols, and strict food safety compliance required for redistributing bakery surplus to students.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color w:val="34495e"/>
        </w:rPr>
      </w:pPr>
      <w:r w:rsidDel="00000000" w:rsidR="00000000" w:rsidRPr="00000000">
        <w:rPr>
          <w:rFonts w:ascii="Google Sans" w:cs="Google Sans" w:eastAsia="Google Sans" w:hAnsi="Google Sans"/>
          <w:color w:val="34495e"/>
          <w:rtl w:val="0"/>
        </w:rPr>
        <w:t xml:space="preserve">1. Data Processing and Storage Regulations (GDPR &amp; CNIL)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operate the Vif platform in France, the collection, processing, and storage of personal data—specifically student identities and bakery stakeholder details—must stringently comply with the General Data Protection Regulation (GDPR) and the operational guidelines set forth by the Commission Nationale de l'Informatique et des Libertés (CNIL).</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Lawfulness of Processing and Legal Basis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Defining the Legal Basis:</w:t>
      </w:r>
      <w:r w:rsidDel="00000000" w:rsidR="00000000" w:rsidRPr="00000000">
        <w:rPr>
          <w:rFonts w:ascii="Google Sans" w:cs="Google Sans" w:eastAsia="Google Sans" w:hAnsi="Google Sans"/>
          <w:rtl w:val="0"/>
        </w:rPr>
        <w:t xml:space="preserve"> Any data processing requires a clearly defined legal basis under Article 6 of the GDPR. For the Vif application, the processing of student data will primarily rely on </w:t>
      </w:r>
      <w:r w:rsidDel="00000000" w:rsidR="00000000" w:rsidRPr="00000000">
        <w:rPr>
          <w:rFonts w:ascii="Google Sans" w:cs="Google Sans" w:eastAsia="Google Sans" w:hAnsi="Google Sans"/>
          <w:i w:val="1"/>
          <w:iCs w:val="1"/>
          <w:rtl w:val="0"/>
        </w:rPr>
        <w:t xml:space="preserve">User Consent</w:t>
      </w:r>
      <w:r w:rsidDel="00000000" w:rsidR="00000000" w:rsidRPr="00000000">
        <w:rPr>
          <w:rFonts w:ascii="Google Sans" w:cs="Google Sans" w:eastAsia="Google Sans" w:hAnsi="Google Sans"/>
          <w:rtl w:val="0"/>
        </w:rPr>
        <w:t xml:space="preserve">, while the processing of bakery data may rely on </w:t>
      </w:r>
      <w:r w:rsidDel="00000000" w:rsidR="00000000" w:rsidRPr="00000000">
        <w:rPr>
          <w:rFonts w:ascii="Google Sans" w:cs="Google Sans" w:eastAsia="Google Sans" w:hAnsi="Google Sans"/>
          <w:i w:val="1"/>
          <w:iCs w:val="1"/>
          <w:rtl w:val="0"/>
        </w:rPr>
        <w:t xml:space="preserve">Contractual Necessity</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i w:val="1"/>
          <w:iCs w:val="1"/>
          <w:rtl w:val="0"/>
        </w:rPr>
        <w:t xml:space="preserve">Legitimate Interest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Criteria for Valid Consent:</w:t>
      </w:r>
      <w:r w:rsidDel="00000000" w:rsidR="00000000" w:rsidRPr="00000000">
        <w:rPr>
          <w:rFonts w:ascii="Google Sans" w:cs="Google Sans" w:eastAsia="Google Sans" w:hAnsi="Google Sans"/>
          <w:rtl w:val="0"/>
        </w:rPr>
        <w:t xml:space="preserve"> Consent must be freely given, specific, informed, and unambiguous. Before the student ID scan is initiated via the React Native application, the app must present a clear, accessible privacy policy detailing exactly what data is captured and for what purpose.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1.2 Data Minimization and Secure Storage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Privacy by Design:</w:t>
      </w:r>
      <w:r w:rsidDel="00000000" w:rsidR="00000000" w:rsidRPr="00000000">
        <w:rPr>
          <w:rFonts w:ascii="Google Sans" w:cs="Google Sans" w:eastAsia="Google Sans" w:hAnsi="Google Sans"/>
          <w:rtl w:val="0"/>
        </w:rPr>
        <w:t xml:space="preserve"> As recommended by the CNIL for mobile applications, security and data minimization must be integrated into the architecture from the start. Only collect data strictly necessary for the service provision.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Handling ID Scans:</w:t>
      </w:r>
      <w:r w:rsidDel="00000000" w:rsidR="00000000" w:rsidRPr="00000000">
        <w:rPr>
          <w:rFonts w:ascii="Google Sans" w:cs="Google Sans" w:eastAsia="Google Sans" w:hAnsi="Google Sans"/>
          <w:rtl w:val="0"/>
        </w:rPr>
        <w:t xml:space="preserve"> For student verification, the application must avoid storing full, high-resolution images of ID cards permanently. The recommended flow is to extract the necessary text (via OCR) to verify active student status, log the successful verification event, and immediately securely discard the image payload.</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Storage Limitation:</w:t>
      </w:r>
      <w:r w:rsidDel="00000000" w:rsidR="00000000" w:rsidRPr="00000000">
        <w:rPr>
          <w:rFonts w:ascii="Google Sans" w:cs="Google Sans" w:eastAsia="Google Sans" w:hAnsi="Google Sans"/>
          <w:rtl w:val="0"/>
        </w:rPr>
        <w:t xml:space="preserve"> Define strict retention periods. For example, student status should ideally be re-verified at the start of each academic year, and inactive accounts should be anonymized or deleted from the database to avoid indefinite data retention.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1.3 Facilitating User Rights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Vif platform must provide intuitive, automated mechanisms within the mobile interface for users to exercise their rights over their data:</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Right of Access (Article 15):</w:t>
      </w:r>
      <w:r w:rsidDel="00000000" w:rsidR="00000000" w:rsidRPr="00000000">
        <w:rPr>
          <w:rFonts w:ascii="Google Sans" w:cs="Google Sans" w:eastAsia="Google Sans" w:hAnsi="Google Sans"/>
          <w:rtl w:val="0"/>
        </w:rPr>
        <w:t xml:space="preserve"> Allowing users to see what data the Vif app holds about them.</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Right to Rectification (Article 16):</w:t>
      </w:r>
      <w:r w:rsidDel="00000000" w:rsidR="00000000" w:rsidRPr="00000000">
        <w:rPr>
          <w:rFonts w:ascii="Google Sans" w:cs="Google Sans" w:eastAsia="Google Sans" w:hAnsi="Google Sans"/>
          <w:rtl w:val="0"/>
        </w:rPr>
        <w:t xml:space="preserve"> Allowing users to update inaccurate profile information.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Right to Erasure (Article 17):</w:t>
      </w:r>
      <w:r w:rsidDel="00000000" w:rsidR="00000000" w:rsidRPr="00000000">
        <w:rPr>
          <w:rFonts w:ascii="Google Sans" w:cs="Google Sans" w:eastAsia="Google Sans" w:hAnsi="Google Sans"/>
          <w:rtl w:val="0"/>
        </w:rPr>
        <w:t xml:space="preserve"> Implementing a "delete my account" feature that permanently scrubs personal identifiers from the database.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rFonts w:ascii="Google Sans" w:cs="Google Sans" w:eastAsia="Google Sans" w:hAnsi="Google Sans"/>
          <w:color w:val="34495e"/>
        </w:rPr>
      </w:pPr>
      <w:r w:rsidDel="00000000" w:rsidR="00000000" w:rsidRPr="00000000">
        <w:rPr>
          <w:rFonts w:ascii="Google Sans" w:cs="Google Sans" w:eastAsia="Google Sans" w:hAnsi="Google Sans"/>
          <w:color w:val="34495e"/>
          <w:rtl w:val="0"/>
        </w:rPr>
        <w:t xml:space="preserve">2. Student ID Card Verification Protocol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Verifying a French student ID card digitally is complex because there is no single centralized, public API for all universities. The Vif project will utilize an Optical Character Recognition (OCR) pipeline and advanced document authentication techniques to ensure the validity of the submitted credentials.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Advanced Validation Techniques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Verification Mechanism</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Technical Execution &amp; Purpose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Format &amp; Validity Checks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OCR engine extracts the expiration date or academic year (e.g., "2025/2026") from the card. The backend compares this against the current date to ensure the student is currently enrolled.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European Student Card (ESC) Integration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student possesses an ESC-compliant card, the system can parse the European Student Card Number (ESCN) or the standard ESC QR code to cross-check validity against known European formats.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Presentation Attack Detection (PAD)</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anti-spoofing techniques using the mobile camera to detect screen recapture, photocopies, or digital alterations (identifying holograms or optical variable devices).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Cross-Validation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Programmatically matching the extracted name from the ID card OCR against the self-reported name registered on the Vif mobile app account to prevent account sharing.</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2.2 Proposed System Architecture Flow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50" w:before="225" w:line="300" w:lineRule="auto"/>
        <w:ind w:left="225" w:right="225" w:firstLine="0"/>
        <w:rPr>
          <w:rFonts w:ascii="Arial" w:cs="Arial" w:eastAsia="Arial" w:hAnsi="Arial"/>
          <w:color w:val="000000"/>
          <w:shd w:fill="f8f9fa" w:val="clear"/>
        </w:rPr>
      </w:pPr>
      <w:r w:rsidDel="00000000" w:rsidR="00000000" w:rsidRPr="00000000">
        <w:rPr>
          <w:rFonts w:ascii="Arial" w:cs="Arial" w:eastAsia="Arial" w:hAnsi="Arial"/>
          <w:color w:val="000000"/>
          <w:shd w:fill="f8f9fa" w:val="clear"/>
          <w:rtl w:val="0"/>
        </w:rPr>
        <w:t xml:space="preserve">// Asynchronous Validation Flow for FastAPI &amp; React Native</w:t>
        <w:br w:type="textWrapping"/>
        <w:t xml:space="preserve">1. User presents Student ID to the React Native Vision-Camera interface.</w:t>
        <w:br w:type="textWrapping"/>
        <w:t xml:space="preserve">2. App captures a high-resolution frame and securely transmits to backend.</w:t>
        <w:br w:type="textWrapping"/>
        <w:t xml:space="preserve">3. Backend OCR pipeline extracts: { FirstName, LastName, Institution, AcademicYear }.</w:t>
        <w:br w:type="textWrapping"/>
        <w:t xml:space="preserve">4. Validation Engine verifies: AcademicYear == CurrentYear &amp; Name matches DB profile.</w:t>
        <w:br w:type="textWrapping"/>
        <w:t xml:space="preserve">5. If valid -&gt; Update PostgreSQL Record (is_verified: True, valid_until: End of Academic Year).</w:t>
        <w:br w:type="textWrapping"/>
        <w:t xml:space="preserve">6. Discard image payload immediately to comply with GDPR data minimization</w:t>
      </w:r>
      <w:r w:rsidDel="00000000" w:rsidR="00000000" w:rsidRPr="00000000">
        <w:rPr>
          <w:shd w:fill="f8f9fa" w:val="clear"/>
          <w:rtl w:val="0"/>
        </w:rPr>
        <w:t xml:space="preserve">.</w:t>
      </w:r>
      <w:r w:rsidDel="00000000" w:rsidR="00000000" w:rsidRPr="00000000">
        <w:rPr>
          <w:rFonts w:ascii="Arial" w:cs="Arial" w:eastAsia="Arial" w:hAnsi="Arial"/>
          <w:color w:val="000000"/>
          <w:shd w:fill="f8f9fa" w:val="clear"/>
          <w:rtl w:val="0"/>
        </w:rPr>
        <w:br w:type="textWrapping"/>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color w:val="34495e"/>
        </w:rPr>
      </w:pPr>
      <w:r w:rsidDel="00000000" w:rsidR="00000000" w:rsidRPr="00000000">
        <w:rPr>
          <w:rFonts w:ascii="Google Sans" w:cs="Google Sans" w:eastAsia="Google Sans" w:hAnsi="Google Sans"/>
          <w:color w:val="34495e"/>
          <w:rtl w:val="0"/>
        </w:rPr>
        <w:t xml:space="preserve">3. Food Safety &amp; Donation Regulations (France)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Vif acts as an intermediary facilitating the donation of surplus food to students, participating bakeries and the platform itself must strictly adhere to the French regulatory framework for food safety, notably the principles of the "Loi Garot" and European hygiene standards (Regulation EC No 852/2004).</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Regulatory Framework &amp; Tax Compliance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Traceability Requirement:</w:t>
      </w:r>
      <w:r w:rsidDel="00000000" w:rsidR="00000000" w:rsidRPr="00000000">
        <w:rPr>
          <w:rFonts w:ascii="Google Sans" w:cs="Google Sans" w:eastAsia="Google Sans" w:hAnsi="Google Sans"/>
          <w:rtl w:val="0"/>
        </w:rPr>
        <w:t xml:space="preserve"> Donating establishments must maintain physical and accounting traceability of the food distributed. The Vif database tracking "Pulses" and claims will assist in meeting this requirement.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Habilitated Associations:</w:t>
      </w:r>
      <w:r w:rsidDel="00000000" w:rsidR="00000000" w:rsidRPr="00000000">
        <w:rPr>
          <w:rFonts w:ascii="Google Sans" w:cs="Google Sans" w:eastAsia="Google Sans" w:hAnsi="Google Sans"/>
          <w:rtl w:val="0"/>
        </w:rPr>
        <w:t xml:space="preserve"> For the bakery to legally benefit from the 60% corporate tax deduction (Article 238 bis CGI), the donation must go through an authorized "Organisme d'Intérêt Général." The Vif platform must operate under a formal convention (legal agreement) with such an association, detailing the procedures.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3.2 Safety Rules for Specific Bakery Items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 all bakery surplus can be donated safely. Strict hygiene and temperature conditions apply based on the nature of the items: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ecf0f1"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Food Category</w:t>
            </w:r>
          </w:p>
        </w:tc>
        <w:tc>
          <w:tcPr>
            <w:shd w:fill="ecf0f1"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Safety Requirement &amp; Viability for Donation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Dry Bakery (Breads, Baguettes, Viennoiseries)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Highly suitable for donation. Does not require strict cold chain preservation and poses a low microbiological risk.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Perishable Goods (Sandwiches, Quiches, Salads)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strictly respect the cold chain. If they carry a "Date Limite de Consommation" (DLC), they must generally be donated with at least 48 hours remaining, unless the organization/student can consume them immediately/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High-Risk Pastries (Crème Pâtissière, Chantilly, Raw Milk)</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Donation is often restricted or heavily regulated due to the high risk of rapid bacterial growth. These are not recommended for donation unless unbroken cold chain transport is fully guaranteed.</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3.3 Draft "Terms of Use" Provisions (Food Safety Section)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protect the platform and ensure public health, the following clauses must be included in the Terms of Use for Bakeries interacting with the Vif app:</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Quality &amp; Hygiene Assurance: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"The Partner Bakery formally guarantees that all surplus items offered via the Vif 'Flash-Gift' system conform to prevailing hygiene and food safety standards under Regulation (EC) No 852/2004. Items deemed unfit for human consumption, or highly sensitive goods where the cold chain has been compromised, must strictly not be offered."</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Allergen Transparency: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"The Partner Bakery remains responsible for ensuring that basic allergen information is available upon request at the physical point of collection, in compliance with EU Regulation 1169/2011."</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Transfer of Responsibility: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"Upon successful scan of the Secure QR Handshake in-store, the physical and sanitary responsibility of the food item is transferred directly to the Student. The Student acknowledges that donated items are highly perishable and should be consumed promptly."</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rFonts w:ascii="Google Sans" w:cs="Google Sans" w:eastAsia="Google Sans" w:hAnsi="Google Sans"/>
          <w:color w:val="34495e"/>
        </w:rPr>
      </w:pPr>
      <w:r w:rsidDel="00000000" w:rsidR="00000000" w:rsidRPr="00000000">
        <w:rPr>
          <w:rFonts w:ascii="Google Sans" w:cs="Google Sans" w:eastAsia="Google Sans" w:hAnsi="Google Sans"/>
          <w:color w:val="34495e"/>
          <w:rtl w:val="0"/>
        </w:rPr>
        <w:t xml:space="preserve">References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hyperlink r:id="rId6">
        <w:r w:rsidDel="00000000" w:rsidR="00000000" w:rsidRPr="00000000">
          <w:rPr>
            <w:rFonts w:ascii="Google Sans" w:cs="Google Sans" w:eastAsia="Google Sans" w:hAnsi="Google Sans"/>
            <w:color w:val="0000ee"/>
            <w:u w:val="single"/>
            <w:rtl w:val="0"/>
          </w:rPr>
          <w:t xml:space="preserve">Ensuring the lawfulness of the data processing - Defining a legal basis | CNIL</w:t>
        </w:r>
      </w:hyperlink>
      <w:r w:rsidDel="00000000" w:rsidR="00000000" w:rsidRPr="00000000">
        <w:rPr>
          <w:rtl w:val="0"/>
        </w:rPr>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hyperlink r:id="rId7">
        <w:r w:rsidDel="00000000" w:rsidR="00000000" w:rsidRPr="00000000">
          <w:rPr>
            <w:rFonts w:ascii="Google Sans" w:cs="Google Sans" w:eastAsia="Google Sans" w:hAnsi="Google Sans"/>
            <w:color w:val="0000ee"/>
            <w:u w:val="single"/>
            <w:rtl w:val="0"/>
          </w:rPr>
          <w:t xml:space="preserve">GDPR developer's guide - CNIL</w:t>
        </w:r>
      </w:hyperlink>
      <w:r w:rsidDel="00000000" w:rsidR="00000000" w:rsidRPr="00000000">
        <w:rPr>
          <w:rtl w:val="0"/>
        </w:rPr>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hyperlink r:id="rId8">
        <w:r w:rsidDel="00000000" w:rsidR="00000000" w:rsidRPr="00000000">
          <w:rPr>
            <w:rFonts w:ascii="Google Sans" w:cs="Google Sans" w:eastAsia="Google Sans" w:hAnsi="Google Sans"/>
            <w:color w:val="0000ee"/>
            <w:u w:val="single"/>
            <w:rtl w:val="0"/>
          </w:rPr>
          <w:t xml:space="preserve">Ensuring and facilitating the exercise of data subjects' rights - CNIL</w:t>
        </w:r>
      </w:hyperlink>
      <w:r w:rsidDel="00000000" w:rsidR="00000000" w:rsidRPr="00000000">
        <w:rPr>
          <w:rtl w:val="0"/>
        </w:rPr>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hyperlink r:id="rId9">
        <w:r w:rsidDel="00000000" w:rsidR="00000000" w:rsidRPr="00000000">
          <w:rPr>
            <w:rFonts w:ascii="Google Sans" w:cs="Google Sans" w:eastAsia="Google Sans" w:hAnsi="Google Sans"/>
            <w:color w:val="0000ee"/>
            <w:u w:val="single"/>
            <w:rtl w:val="0"/>
          </w:rPr>
          <w:t xml:space="preserve">Verifying a French biometric ID card: complete guide in 4 checks</w:t>
        </w:r>
      </w:hyperlink>
      <w:r w:rsidDel="00000000" w:rsidR="00000000" w:rsidRPr="00000000">
        <w:rPr>
          <w:rtl w:val="0"/>
        </w:rPr>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hyperlink r:id="rId10">
        <w:r w:rsidDel="00000000" w:rsidR="00000000" w:rsidRPr="00000000">
          <w:rPr>
            <w:rFonts w:ascii="Google Sans" w:cs="Google Sans" w:eastAsia="Google Sans" w:hAnsi="Google Sans"/>
            <w:color w:val="0000ee"/>
            <w:u w:val="single"/>
            <w:rtl w:val="0"/>
          </w:rPr>
          <w:t xml:space="preserve">European Student Card Public - Confluence</w:t>
        </w:r>
      </w:hyperlink>
      <w:r w:rsidDel="00000000" w:rsidR="00000000" w:rsidRPr="00000000">
        <w:rPr>
          <w:rtl w:val="0"/>
        </w:rPr>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hyperlink r:id="rId11">
        <w:r w:rsidDel="00000000" w:rsidR="00000000" w:rsidRPr="00000000">
          <w:rPr>
            <w:rFonts w:ascii="Google Sans" w:cs="Google Sans" w:eastAsia="Google Sans" w:hAnsi="Google Sans"/>
            <w:color w:val="0000ee"/>
            <w:u w:val="single"/>
            <w:rtl w:val="0"/>
          </w:rPr>
          <w:t xml:space="preserve">Titre VII : Hygiène de l'alimentation (Articles ANNEXE ART. 125 à ANNEXE ART. 152) - Légifrance</w:t>
        </w:r>
      </w:hyperlink>
      <w:r w:rsidDel="00000000" w:rsidR="00000000" w:rsidRPr="00000000">
        <w:rPr>
          <w:rtl w:val="0"/>
        </w:rPr>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hyperlink r:id="rId12">
        <w:r w:rsidDel="00000000" w:rsidR="00000000" w:rsidRPr="00000000">
          <w:rPr>
            <w:rFonts w:ascii="Google Sans" w:cs="Google Sans" w:eastAsia="Google Sans" w:hAnsi="Google Sans"/>
            <w:color w:val="0000ee"/>
            <w:u w:val="single"/>
            <w:rtl w:val="0"/>
          </w:rPr>
          <w:t xml:space="preserve">Réglementation applicable aux dons en matière de sécurité sanitaire des aliments - DRAAF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egifrance.gouv.fr/codes/section_lc/LEGITEXT000006070308/LEGISCTA000006115696/" TargetMode="External"/><Relationship Id="rId10" Type="http://schemas.openxmlformats.org/officeDocument/2006/relationships/hyperlink" Target="https://esci-sd.atlassian.net/wiki/spaces/ESCP/pages/459341826/As+a+student+how+do+I+know+if+my+student+card+is+a+European+Student+Card" TargetMode="External"/><Relationship Id="rId12" Type="http://schemas.openxmlformats.org/officeDocument/2006/relationships/hyperlink" Target="https://draaf.paca.agriculture.gouv.fr/IMG/pdf/IT_2017-551_SSA_des_dons_alimentaires_cle0d2a9b.pdf" TargetMode="External"/><Relationship Id="rId9" Type="http://schemas.openxmlformats.org/officeDocument/2006/relationships/hyperlink" Target="https://trustdochub.com/en/verify-french-biometric-identity-card/" TargetMode="External"/><Relationship Id="rId5" Type="http://schemas.openxmlformats.org/officeDocument/2006/relationships/styles" Target="styles.xml"/><Relationship Id="rId6" Type="http://schemas.openxmlformats.org/officeDocument/2006/relationships/hyperlink" Target="https://www.cnil.fr/en/ensuring-lawfulness-data-processing-legal-basis" TargetMode="External"/><Relationship Id="rId7" Type="http://schemas.openxmlformats.org/officeDocument/2006/relationships/hyperlink" Target="https://www.cnil.fr/en/gdpr-developers-guide" TargetMode="External"/><Relationship Id="rId8" Type="http://schemas.openxmlformats.org/officeDocument/2006/relationships/hyperlink" Target="https://www.cnil.fr/en/ensuring-and-facilitating-exercise-data-subjects-righ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