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Arial" w:cs="Arial" w:eastAsia="Arial" w:hAnsi="Arial"/>
          <w:b/>
          <w:bCs/>
          <w:color w:val="C55A11"/>
          <w:sz w:val="30"/>
          <w:szCs w:val="30"/>
        </w:rPr>
        <w:t xml:space="preserve">PROJECT VIF</w:t>
      </w:r>
    </w:p>
    <w:p>
      <w:pPr>
        <w:spacing w:after="700"/>
        <w:jc w:val="center"/>
      </w:pPr>
      <w:r>
        <w:rPr>
          <w:i/>
          <w:iCs/>
          <w:color w:val="595959"/>
          <w:sz w:val="22"/>
          <w:szCs w:val="22"/>
        </w:rPr>
        <w:t xml:space="preserve">The Real-Time Student Food Bridge</w:t>
      </w:r>
    </w:p>
    <w:p>
      <w:pPr>
        <w:spacing w:after="140"/>
        <w:jc w:val="center"/>
      </w:pPr>
      <w:r>
        <w:rPr>
          <w:b/>
          <w:bCs/>
          <w:color w:val="2E75B6"/>
          <w:sz w:val="24"/>
          <w:szCs w:val="24"/>
        </w:rPr>
        <w:t xml:space="preserve">MASTER REFERENCE</w:t>
      </w:r>
    </w:p>
    <w:p>
      <w:pPr>
        <w:spacing w:after="60" w:line="540" w:lineRule="atLeast"/>
        <w:jc w:val="center"/>
      </w:pPr>
      <w:r>
        <w:rPr>
          <w:b/>
          <w:bCs/>
          <w:color w:val="1F3864"/>
          <w:sz w:val="48"/>
          <w:szCs w:val="48"/>
        </w:rPr>
        <w:t xml:space="preserve">Documentation Index</w:t>
      </w:r>
    </w:p>
    <w:p>
      <w:pPr>
        <w:pBdr>
          <w:bottom w:val="single" w:color="C55A11" w:sz="12" w:space="10"/>
        </w:pBdr>
        <w:spacing w:after="120" w:line="540" w:lineRule="atLeast"/>
        <w:jc w:val="center"/>
      </w:pPr>
      <w:r>
        <w:rPr>
          <w:b/>
          <w:bCs/>
          <w:color w:val="1F3864"/>
          <w:sz w:val="48"/>
          <w:szCs w:val="48"/>
        </w:rPr>
        <w:t xml:space="preserve">&amp; Master Map</w:t>
      </w:r>
    </w:p>
    <w:p>
      <w:pPr>
        <w:spacing w:after="1600" w:before="200"/>
        <w:jc w:val="center"/>
      </w:pPr>
      <w:r>
        <w:rPr>
          <w:color w:val="595959"/>
          <w:sz w:val="24"/>
          <w:szCs w:val="24"/>
        </w:rPr>
        <w:t xml:space="preserve">The Complete Project Vif Documentation Set —
Contents, Structure and Authorship</w:t>
      </w:r>
    </w:p>
    <w:p>
      <w:pPr>
        <w:spacing w:after="60"/>
        <w:jc w:val="center"/>
      </w:pPr>
      <w:r>
        <w:rPr>
          <w:b/>
          <w:bCs/>
          <w:color w:val="1F3864"/>
          <w:sz w:val="22"/>
          <w:szCs w:val="22"/>
        </w:rPr>
        <w:t xml:space="preserve">EPITECH — Capstone / Innovative Project</w:t>
      </w:r>
    </w:p>
    <w:p>
      <w:pPr>
        <w:spacing w:after="40"/>
        <w:jc w:val="center"/>
      </w:pPr>
      <w:r>
        <w:rPr>
          <w:color w:val="595959"/>
          <w:sz w:val="22"/>
          <w:szCs w:val="22"/>
        </w:rPr>
        <w:t xml:space="preserve">Lead Engineer: Rao Muhammad Mueez</w:t>
      </w:r>
    </w:p>
    <w:p>
      <w:pPr>
        <w:spacing w:after="600"/>
        <w:jc w:val="center"/>
      </w:pPr>
      <w:r>
        <w:rPr>
          <w:color w:val="595959"/>
          <w:sz w:val="22"/>
          <w:szCs w:val="22"/>
        </w:rPr>
        <w:t xml:space="preserve">Paris, France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of This Document</w:t>
      </w:r>
    </w:p>
    <w:p>
      <w:r>
        <w:t xml:space="preserve">Project Vif is supported by an extensive documentation set spanning technical, legal, business and management domains. This document is the master index to that set. It lists every document, explains what each one covers, shows how they fit together, and records authorship and contribution.</w:t>
      </w:r>
    </w:p>
    <w:p>
      <w:r>
        <w:t xml:space="preserve">For a reader or a jury, this index is the recommended starting point: it gives the full picture of the project’s documentation in one place and shows how to navigate it.</w:t>
      </w:r>
    </w:p>
    <w:p>
      <w:pPr>
        <w:pStyle w:val="Heading1"/>
      </w:pPr>
      <w:r>
        <w:t xml:space="preserve">2. How the Documentation Is Organised</w:t>
      </w:r>
    </w:p>
    <w:p>
      <w:r>
        <w:t xml:space="preserve">The documentation is grouped into four families. Each answers a different question about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Family</w:t>
            </w:r>
          </w:p>
        </w:tc>
        <w:tc>
          <w:tcPr>
            <w:tcW w:type="dxa" w:w="43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Question it answers</w:t>
            </w:r>
          </w:p>
        </w:tc>
        <w:tc>
          <w:tcPr>
            <w:tcW w:type="dxa" w:w="2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Primary audience</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Management &amp; Strategy</w:t>
            </w:r>
          </w:p>
        </w:tc>
        <w:tc>
          <w:tcPr>
            <w:tcW w:type="dxa" w:w="4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Why does Vif exist, how is it run, and how does it last?</w:t>
            </w:r>
          </w:p>
        </w:tc>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Jury, project team, partners</w:t>
            </w:r>
          </w:p>
        </w:tc>
      </w:tr>
      <w:tr>
        <w:tc>
          <w:tcPr>
            <w:tcW w:type="dxa" w:w="2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Technical</w:t>
            </w:r>
          </w:p>
        </w:tc>
        <w:tc>
          <w:tcPr>
            <w:tcW w:type="dxa" w:w="4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How is the system designed, built and verified?</w:t>
            </w:r>
          </w:p>
        </w:tc>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Engineering team, technical reviewers</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Legal &amp; Compliance</w:t>
            </w:r>
          </w:p>
        </w:tc>
        <w:tc>
          <w:tcPr>
            <w:tcW w:type="dxa" w:w="4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How does Vif respect tax, food-safety and data law?</w:t>
            </w:r>
          </w:p>
        </w:tc>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Partners, authorities, jury</w:t>
            </w:r>
          </w:p>
        </w:tc>
      </w:tr>
      <w:tr>
        <w:tc>
          <w:tcPr>
            <w:tcW w:type="dxa" w:w="2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User &amp; Reference</w:t>
            </w:r>
          </w:p>
        </w:tc>
        <w:tc>
          <w:tcPr>
            <w:tcW w:type="dxa" w:w="4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How is Vif used, and what do its terms mean?</w:t>
            </w:r>
          </w:p>
        </w:tc>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End users, all readers</w:t>
            </w:r>
          </w:p>
        </w:tc>
      </w:tr>
    </w:tbl>
    <w:p>
      <w:pPr>
        <w:pStyle w:val="Heading1"/>
      </w:pPr>
      <w:r>
        <w:t xml:space="preserve">3. Complete Document Register</w:t>
      </w:r>
    </w:p>
    <w:p>
      <w:r>
        <w:t xml:space="preserve">The tables below list every document in the set, grouped by family. The “Role” column records the documentation responsibility.</w:t>
      </w:r>
    </w:p>
    <w:p>
      <w:pPr>
        <w:pStyle w:val="Heading2"/>
      </w:pPr>
      <w:r>
        <w:t xml:space="preserve">3.1 Management &amp; Strategy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Document</w:t>
            </w:r>
          </w:p>
        </w:tc>
        <w:tc>
          <w:tcPr>
            <w:tcW w:type="dxa" w:w="46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What it covers</w:t>
            </w:r>
          </w:p>
        </w:tc>
        <w:tc>
          <w:tcPr>
            <w:tcW w:type="dxa" w:w="20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Role</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Project Charter</w:t>
            </w:r>
          </w:p>
        </w:tc>
        <w:tc>
          <w:tcPr>
            <w:tcW w:type="dxa" w:w="4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founding document: scope, objectives, constraints, success criteria.</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Milestone 1 — Change Management &amp; Stakeholder Strategy</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need for change, stakeholders, resistance, communication strategy.</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Milestone 2 — Change Implementation &amp; Project Management</w:t>
            </w:r>
          </w:p>
        </w:tc>
        <w:tc>
          <w:tcPr>
            <w:tcW w:type="dxa" w:w="4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Methodology, team, sprint roadmap, pilot rollout, delivery risks.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Milestone 3 — Sustainability &amp; Scaling Strategy</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Sustaining adoption, scaling, financial viability, long-term vision.</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Final Capstone Report</w:t>
            </w:r>
          </w:p>
        </w:tc>
        <w:tc>
          <w:tcPr>
            <w:tcW w:type="dxa" w:w="4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Synthesis: management strategy, models, cost planning, stakeholders, outcomes.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Business Model &amp; Cost Plan</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Business Model Canvas, revenue model, cost planning, break-even.</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Communication &amp; Awareness Plan</w:t>
            </w:r>
          </w:p>
        </w:tc>
        <w:tc>
          <w:tcPr>
            <w:tcW w:type="dxa" w:w="4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Campaign strategy, messaging, poster mockups, events, timeline.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Consolidated Risk Register</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All project risks in one rated, owned master register.</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Lead</w:t>
            </w:r>
          </w:p>
        </w:tc>
      </w:tr>
    </w:tbl>
    <w:p>
      <w:pPr>
        <w:pStyle w:val="Heading2"/>
      </w:pPr>
      <w:r>
        <w:t xml:space="preserve">3.2 Technical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Document</w:t>
            </w:r>
          </w:p>
        </w:tc>
        <w:tc>
          <w:tcPr>
            <w:tcW w:type="dxa" w:w="40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What it covers</w:t>
            </w:r>
          </w:p>
        </w:tc>
        <w:tc>
          <w:tcPr>
            <w:tcW w:type="dxa" w:w="26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Role</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Vif API Specification &amp; Technical Architecture</w:t>
            </w:r>
          </w:p>
        </w:tc>
        <w:tc>
          <w:tcPr>
            <w:tcW w:type="dxa" w:w="40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Architecture, endpoints, authentication, data model overview.</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Documentation Lead, with the engineering team</w:t>
            </w:r>
          </w:p>
        </w:tc>
      </w:tr>
      <w:tr>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Functional Specification (SRS)</w:t>
            </w:r>
          </w:p>
        </w:tc>
        <w:tc>
          <w:tcPr>
            <w:tcW w:type="dxa" w:w="40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Functional and non-functional requirements, use cases, traceability.</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Database Schema &amp; Data Dictionary</w:t>
            </w:r>
          </w:p>
        </w:tc>
        <w:tc>
          <w:tcPr>
            <w:tcW w:type="dxa" w:w="40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Full data model, entities, fields, relationships, integrity rules.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Documentation Lead, with the engineering team</w:t>
            </w:r>
          </w:p>
        </w:tc>
      </w:tr>
      <w:tr>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Test Plan &amp; QA Strategy</w:t>
            </w:r>
          </w:p>
        </w:tc>
        <w:tc>
          <w:tcPr>
            <w:tcW w:type="dxa" w:w="40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Test levels, test cases, OCR stress testing, acceptance criteria.</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Threat Model &amp; Security Audit Plan</w:t>
            </w:r>
          </w:p>
        </w:tc>
        <w:tc>
          <w:tcPr>
            <w:tcW w:type="dxa" w:w="40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STRIDE analysis, mitigations, security audit schedule.</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Documentation Lead, with the engineering team</w:t>
            </w:r>
          </w:p>
        </w:tc>
      </w:tr>
    </w:tbl>
    <w:p>
      <w:pPr>
        <w:pStyle w:val="Heading2"/>
      </w:pPr>
      <w:r>
        <w:t xml:space="preserve">3.3 Legal &amp; Compliance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Document</w:t>
            </w:r>
          </w:p>
        </w:tc>
        <w:tc>
          <w:tcPr>
            <w:tcW w:type="dxa" w:w="46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What it covers</w:t>
            </w:r>
          </w:p>
        </w:tc>
        <w:tc>
          <w:tcPr>
            <w:tcW w:type="dxa" w:w="20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Role</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Legal &amp; Strategic Agreements</w:t>
            </w:r>
          </w:p>
        </w:tc>
        <w:tc>
          <w:tcPr>
            <w:tcW w:type="dxa" w:w="4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Tax recovery logic (238 bis), food-safety SLA, data processing agreement.</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Research &amp; Draft Terms of Use</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Compliance research on GDPR, ID verification and food safety.</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Lead</w:t>
            </w:r>
          </w:p>
        </w:tc>
      </w:tr>
    </w:tbl>
    <w:p>
      <w:pPr>
        <w:pStyle w:val="Heading2"/>
      </w:pPr>
      <w:r>
        <w:t xml:space="preserve">3.4 User &amp;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Document</w:t>
            </w:r>
          </w:p>
        </w:tc>
        <w:tc>
          <w:tcPr>
            <w:tcW w:type="dxa" w:w="46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What it covers</w:t>
            </w:r>
          </w:p>
        </w:tc>
        <w:tc>
          <w:tcPr>
            <w:tcW w:type="dxa" w:w="20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Role</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Personas &amp; User Journeys</w:t>
            </w:r>
          </w:p>
        </w:tc>
        <w:tc>
          <w:tcPr>
            <w:tcW w:type="dxa" w:w="4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User personas and step-by-step journey maps.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User Manual &amp; Onboarding Guide</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Plain-language usage guide for students and bakeries.</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Glossary &amp; Acronyms</w:t>
            </w:r>
          </w:p>
        </w:tc>
        <w:tc>
          <w:tcPr>
            <w:tcW w:type="dxa" w:w="4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Reference for all terms, concepts and abbreviations.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Documentation Lead</w:t>
            </w:r>
          </w:p>
        </w:tc>
      </w:tr>
      <w:tr>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Index &amp; Master Map</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This document — the master index to the whole set.</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Lead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A" w:val="clear"/>
            <w:tcMar>
              <w:top w:type="dxa" w:w="140"/>
              <w:left w:type="dxa" w:w="200"/>
              <w:bottom w:type="dxa" w:w="140"/>
              <w:right w:type="dxa" w:w="200"/>
            </w:tcMar>
          </w:tcPr>
          <w:p>
            <w:pPr>
              <w:spacing w:after="80"/>
            </w:pPr>
            <w:r>
              <w:rPr>
                <w:b/>
                <w:bCs/>
                <w:color w:val="1F3864"/>
                <w:sz w:val="22"/>
                <w:szCs w:val="22"/>
              </w:rPr>
              <w:t xml:space="preserve">Note on authorship</w:t>
            </w:r>
          </w:p>
          <w:p>
            <w:pPr>
              <w:rPr>
                <w:sz w:val="20"/>
                <w:szCs w:val="20"/>
              </w:rPr>
            </w:pPr>
            <w:r>
              <w:rPr>
                <w:b/>
                <w:bCs/>
                <w:color w:val="1F3864"/>
              </w:rPr>
              <w:t xml:space="preserve">Rao Muhammad Mueez served as Lead Engineer and Documentation Lead for Project Vif, </w:t>
            </w:r>
            <w:r>
              <w:t xml:space="preserve">owning the structure, consistency and authorship of the documentation set across all four families. Documents marked “with the engineering team” contain technical content developed jointly with the feature owners; the documentation itself — its writing, organisation and integration into the set — was led centrally to keep the whole set coherent.</w:t>
            </w:r>
          </w:p>
        </w:tc>
      </w:tr>
    </w:tbl>
    <w:p>
      <w:pPr>
        <w:pStyle w:val="Heading1"/>
      </w:pPr>
      <w:r>
        <w:t xml:space="preserve">4. How the Documents Connect</w:t>
      </w:r>
    </w:p>
    <w:p>
      <w:r>
        <w:t xml:space="preserve">The documentation set is not a pile of separate files — it is an interconnected whole. The main relationships:</w:t>
      </w:r>
    </w:p>
    <w:p>
      <w:pPr>
        <w:pStyle w:val="ListParagraph"/>
        <w:numPr>
          <w:ilvl w:val="0"/>
          <w:numId w:val="2"/>
        </w:numPr>
        <w:spacing w:after="60"/>
      </w:pPr>
      <w:r>
        <w:rPr>
          <w:b/>
          <w:bCs/>
        </w:rPr>
        <w:t xml:space="preserve">The Project Charter </w:t>
      </w:r>
      <w:r>
        <w:t xml:space="preserve">sits above everything; all other documents elaborate the scope and objectives it defines.</w:t>
      </w:r>
    </w:p>
    <w:p>
      <w:pPr>
        <w:pStyle w:val="ListParagraph"/>
        <w:numPr>
          <w:ilvl w:val="0"/>
          <w:numId w:val="2"/>
        </w:numPr>
        <w:spacing w:after="60"/>
      </w:pPr>
      <w:r>
        <w:rPr>
          <w:b/>
          <w:bCs/>
        </w:rPr>
        <w:t xml:space="preserve">The three Milestones </w:t>
      </w:r>
      <w:r>
        <w:t xml:space="preserve">tell the change story in sequence and feed into the Final Capstone Report, which synthesises them.</w:t>
      </w:r>
    </w:p>
    <w:p>
      <w:pPr>
        <w:pStyle w:val="ListParagraph"/>
        <w:numPr>
          <w:ilvl w:val="0"/>
          <w:numId w:val="2"/>
        </w:numPr>
        <w:spacing w:after="60"/>
      </w:pPr>
      <w:r>
        <w:rPr>
          <w:b/>
          <w:bCs/>
        </w:rPr>
        <w:t xml:space="preserve">The Functional Specification </w:t>
      </w:r>
      <w:r>
        <w:t xml:space="preserve">defines requirements that the API Specification and Database Schema implement, and that the Test Plan verifies — a traceable chain.</w:t>
      </w:r>
    </w:p>
    <w:p>
      <w:pPr>
        <w:pStyle w:val="ListParagraph"/>
        <w:numPr>
          <w:ilvl w:val="0"/>
          <w:numId w:val="2"/>
        </w:numPr>
        <w:spacing w:after="60"/>
      </w:pPr>
      <w:r>
        <w:rPr>
          <w:b/>
          <w:bCs/>
        </w:rPr>
        <w:t xml:space="preserve">The Personas </w:t>
      </w:r>
      <w:r>
        <w:t xml:space="preserve">feed the Communication Plan’s messaging and Milestone 1’s resistance analysis.</w:t>
      </w:r>
    </w:p>
    <w:p>
      <w:pPr>
        <w:pStyle w:val="ListParagraph"/>
        <w:numPr>
          <w:ilvl w:val="0"/>
          <w:numId w:val="2"/>
        </w:numPr>
        <w:spacing w:after="60"/>
      </w:pPr>
      <w:r>
        <w:rPr>
          <w:b/>
          <w:bCs/>
        </w:rPr>
        <w:t xml:space="preserve">The Risk Register </w:t>
      </w:r>
      <w:r>
        <w:t xml:space="preserve">consolidates risks first raised in the Milestones, the Threat Model and the Test Plan.</w:t>
      </w:r>
    </w:p>
    <w:p>
      <w:pPr>
        <w:pStyle w:val="ListParagraph"/>
        <w:numPr>
          <w:ilvl w:val="0"/>
          <w:numId w:val="2"/>
        </w:numPr>
        <w:spacing w:after="60"/>
      </w:pPr>
      <w:r>
        <w:rPr>
          <w:b/>
          <w:bCs/>
        </w:rPr>
        <w:t xml:space="preserve">The Glossary </w:t>
      </w:r>
      <w:r>
        <w:t xml:space="preserve">supports every document by defining shared vocabulary.</w:t>
      </w:r>
    </w:p>
    <w:p>
      <w:pPr>
        <w:pStyle w:val="Heading1"/>
      </w:pPr>
      <w:r>
        <w:t xml:space="preserve">5. Recommended Reading Order</w:t>
      </w:r>
    </w:p>
    <w:p>
      <w:r>
        <w:t xml:space="preserve">For a reader approaching Project Vif for the first time, the following order gives the clearest understanding:</w:t>
      </w:r>
    </w:p>
    <w:p>
      <w:pPr>
        <w:pStyle w:val="ListParagraph"/>
        <w:numPr>
          <w:ilvl w:val="0"/>
          <w:numId w:val="3"/>
        </w:numPr>
        <w:spacing w:after="60"/>
      </w:pPr>
      <w:r>
        <w:t xml:space="preserve">Documentation Index &amp; Master Map (this document) — to see the whole picture.</w:t>
      </w:r>
    </w:p>
    <w:p>
      <w:pPr>
        <w:pStyle w:val="ListParagraph"/>
        <w:numPr>
          <w:ilvl w:val="0"/>
          <w:numId w:val="3"/>
        </w:numPr>
        <w:spacing w:after="60"/>
      </w:pPr>
      <w:r>
        <w:t xml:space="preserve">Project Charter — to understand what the project is.</w:t>
      </w:r>
    </w:p>
    <w:p>
      <w:pPr>
        <w:pStyle w:val="ListParagraph"/>
        <w:numPr>
          <w:ilvl w:val="0"/>
          <w:numId w:val="3"/>
        </w:numPr>
        <w:spacing w:after="60"/>
      </w:pPr>
      <w:r>
        <w:t xml:space="preserve">Final Capstone Report — for the complete synthesis.</w:t>
      </w:r>
    </w:p>
    <w:p>
      <w:pPr>
        <w:pStyle w:val="ListParagraph"/>
        <w:numPr>
          <w:ilvl w:val="0"/>
          <w:numId w:val="3"/>
        </w:numPr>
        <w:spacing w:after="60"/>
      </w:pPr>
      <w:r>
        <w:t xml:space="preserve">Milestones 1, 2 and 3 — for the full change-management story.</w:t>
      </w:r>
    </w:p>
    <w:p>
      <w:pPr>
        <w:pStyle w:val="ListParagraph"/>
        <w:numPr>
          <w:ilvl w:val="0"/>
          <w:numId w:val="3"/>
        </w:numPr>
        <w:spacing w:after="60"/>
      </w:pPr>
      <w:r>
        <w:t xml:space="preserve">Personas &amp; User Journeys, then the User Manual — to understand the users and the product.</w:t>
      </w:r>
    </w:p>
    <w:p>
      <w:pPr>
        <w:pStyle w:val="ListParagraph"/>
        <w:numPr>
          <w:ilvl w:val="0"/>
          <w:numId w:val="3"/>
        </w:numPr>
        <w:spacing w:after="60"/>
      </w:pPr>
      <w:r>
        <w:t xml:space="preserve">Functional Specification, API Specification, Database Schema, Test Plan — for the technical depth.</w:t>
      </w:r>
    </w:p>
    <w:p>
      <w:pPr>
        <w:pStyle w:val="ListParagraph"/>
        <w:numPr>
          <w:ilvl w:val="0"/>
          <w:numId w:val="3"/>
        </w:numPr>
        <w:spacing w:after="60"/>
      </w:pPr>
      <w:r>
        <w:t xml:space="preserve">Legal &amp; Strategic Agreements, Terms of Use research, Threat Model — for compliance and security.</w:t>
      </w:r>
    </w:p>
    <w:p>
      <w:pPr>
        <w:pStyle w:val="ListParagraph"/>
        <w:numPr>
          <w:ilvl w:val="0"/>
          <w:numId w:val="3"/>
        </w:numPr>
        <w:spacing w:after="60"/>
      </w:pPr>
      <w:r>
        <w:t xml:space="preserve">Business Model &amp; Cost Plan, Communication Plan, Risk Register — for business and operational depth.</w:t>
      </w:r>
    </w:p>
    <w:p>
      <w:pPr>
        <w:pStyle w:val="ListParagraph"/>
        <w:numPr>
          <w:ilvl w:val="0"/>
          <w:numId w:val="3"/>
        </w:numPr>
        <w:spacing w:after="60"/>
      </w:pPr>
      <w:r>
        <w:t xml:space="preserve">Glossary — to consult whenever a term needs clarifying.</w:t>
      </w:r>
    </w:p>
    <w:p>
      <w:pPr>
        <w:pStyle w:val="Heading1"/>
      </w:pPr>
      <w:r>
        <w:t xml:space="preserve">6. Documentation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Family</w:t>
            </w:r>
          </w:p>
        </w:tc>
        <w:tc>
          <w:tcPr>
            <w:tcW w:type="dxa" w:w="468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Number of documents</w:t>
            </w:r>
          </w:p>
        </w:tc>
      </w:tr>
      <w:tr>
        <w:tc>
          <w:tcPr>
            <w:tcW w:type="dxa" w:w="4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Management &amp; Strategy</w:t>
            </w:r>
          </w:p>
        </w:tc>
        <w:tc>
          <w:tcPr>
            <w:tcW w:type="dxa" w:w="4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8</w:t>
            </w:r>
          </w:p>
        </w:tc>
      </w:tr>
      <w:tr>
        <w:tc>
          <w:tcPr>
            <w:tcW w:type="dxa" w:w="4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Technical</w:t>
            </w:r>
          </w:p>
        </w:tc>
        <w:tc>
          <w:tcPr>
            <w:tcW w:type="dxa" w:w="4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5</w:t>
            </w:r>
          </w:p>
        </w:tc>
      </w:tr>
      <w:tr>
        <w:tc>
          <w:tcPr>
            <w:tcW w:type="dxa" w:w="4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Legal &amp; Compliance</w:t>
            </w:r>
          </w:p>
        </w:tc>
        <w:tc>
          <w:tcPr>
            <w:tcW w:type="dxa" w:w="4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2</w:t>
            </w:r>
          </w:p>
        </w:tc>
      </w:tr>
      <w:tr>
        <w:tc>
          <w:tcPr>
            <w:tcW w:type="dxa" w:w="4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User &amp; Reference</w:t>
            </w:r>
          </w:p>
        </w:tc>
        <w:tc>
          <w:tcPr>
            <w:tcW w:type="dxa" w:w="468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4</w:t>
            </w:r>
          </w:p>
        </w:tc>
      </w:tr>
      <w:tr>
        <w:tc>
          <w:tcPr>
            <w:tcW w:type="dxa" w:w="4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Total</w:t>
            </w:r>
          </w:p>
        </w:tc>
        <w:tc>
          <w:tcPr>
            <w:tcW w:type="dxa" w:w="4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19</w:t>
            </w:r>
          </w:p>
        </w:tc>
      </w:tr>
    </w:tbl>
    <w:p>
      <w:r>
        <w:t xml:space="preserve">The breadth of this set — covering management, engineering, law and user experience — reflects a deliberate effort to document Project Vif to a professional standard across every dimension, not only the technical one.</w:t>
      </w:r>
    </w:p>
    <w:p>
      <w:pPr>
        <w:pStyle w:val="Heading1"/>
      </w:pPr>
      <w:r>
        <w:t xml:space="preserve">7. Maintaining the Documentation</w:t>
      </w:r>
    </w:p>
    <w:p>
      <w:pPr>
        <w:pStyle w:val="ListParagraph"/>
        <w:numPr>
          <w:ilvl w:val="0"/>
          <w:numId w:val="2"/>
        </w:numPr>
        <w:spacing w:after="60"/>
      </w:pPr>
      <w:r>
        <w:t xml:space="preserve">When the project changes, the Project Charter is updated first; dependent documents follow.</w:t>
      </w:r>
    </w:p>
    <w:p>
      <w:pPr>
        <w:pStyle w:val="ListParagraph"/>
        <w:numPr>
          <w:ilvl w:val="0"/>
          <w:numId w:val="2"/>
        </w:numPr>
        <w:spacing w:after="60"/>
      </w:pPr>
      <w:r>
        <w:t xml:space="preserve">New terms are added to the Glossary rather than re-explained elsewhere.</w:t>
      </w:r>
    </w:p>
    <w:p>
      <w:pPr>
        <w:pStyle w:val="ListParagraph"/>
        <w:numPr>
          <w:ilvl w:val="0"/>
          <w:numId w:val="2"/>
        </w:numPr>
        <w:spacing w:after="60"/>
      </w:pPr>
      <w:r>
        <w:t xml:space="preserve">New risks are added to the Consolidated Risk Register.</w:t>
      </w:r>
    </w:p>
    <w:p>
      <w:pPr>
        <w:pStyle w:val="ListParagraph"/>
        <w:numPr>
          <w:ilvl w:val="0"/>
          <w:numId w:val="2"/>
        </w:numPr>
        <w:spacing w:after="60"/>
      </w:pPr>
      <w:r>
        <w:t xml:space="preserve">This index is updated whenever a document is added or significantly revised.</w:t>
      </w:r>
    </w:p>
    <w:p>
      <w:pPr>
        <w:pStyle w:val="Heading1"/>
      </w:pPr>
      <w:r>
        <w:t xml:space="preserve">8. Summary</w:t>
      </w:r>
    </w:p>
    <w:p>
      <w:r>
        <w:t xml:space="preserve">Project Vif is supported by a documentation set of nineteen documents across four families, written and organised to a professional, jury-ready standard. This index is the map to that set: it shows what exists, how it connects, in what order to read it, and who led its creation. It is both a navigation tool and evidence of the breadth and rigour of the project’s documentation effort.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EPITECH Capstone — Confidential Draft</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b/>
        <w:bCs/>
        <w:color w:val="1F3864"/>
        <w:sz w:val="18"/>
        <w:szCs w:val="18"/>
      </w:rPr>
      <w:t xml:space="preserve">Project Vif</w:t>
    </w:r>
    <w:r>
      <w:rPr>
        <w:color w:val="595959"/>
        <w:sz w:val="18"/>
        <w:szCs w:val="18"/>
      </w:rPr>
      <w:t xml:space="preserve">	Documentation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C55A11"/>
      <w:sz w:val="23"/>
      <w:szCs w:val="23"/>
    </w:rPr>
  </w:style>
  <w:style w:type="paragraph" w:styleId="Normal">
    <w:name w:val="Normal"/>
    <w:pPr>
      <w:spacing w:after="120" w:line="288"/>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2026-05-26T05:24:59.163Z</dcterms:created>
  <dcterms:modified xsi:type="dcterms:W3CDTF">2026-05-26T05:24:59.163Z</dcterms:modified>
</cp:coreProperties>
</file>

<file path=docProps/custom.xml><?xml version="1.0" encoding="utf-8"?>
<Properties xmlns="http://schemas.openxmlformats.org/officeDocument/2006/custom-properties" xmlns:vt="http://schemas.openxmlformats.org/officeDocument/2006/docPropsVTypes"/>
</file>