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pPr>
      <w:r>
        <w:rPr>
          <w:rFonts w:ascii="Arial" w:cs="Arial" w:eastAsia="Arial" w:hAnsi="Arial"/>
          <w:b/>
          <w:bCs/>
          <w:color w:val="1B6CA8"/>
          <w:sz w:val="52"/>
          <w:szCs w:val="52"/>
        </w:rPr>
        <w:t xml:space="preserve">VIF PROJECT</w:t>
      </w:r>
    </w:p>
    <w:p>
      <w:pPr>
        <w:pBdr>
          <w:bottom w:val="single" w:color="E07B28" w:sz="12" w:space="1"/>
        </w:pBdr>
        <w:spacing w:after="80"/>
      </w:pPr>
      <w:r>
        <w:rPr>
          <w:sz w:val="4"/>
          <w:szCs w:val="4"/>
        </w:rPr>
        <w:t xml:space="preserve"/>
      </w:r>
    </w:p>
    <w:p>
      <w:pPr>
        <w:spacing w:after="120" w:before="240"/>
      </w:pPr>
      <w:r>
        <w:rPr>
          <w:rFonts w:ascii="Arial" w:cs="Arial" w:eastAsia="Arial" w:hAnsi="Arial"/>
          <w:b/>
          <w:bCs/>
          <w:color w:val="1A1A2E"/>
          <w:sz w:val="44"/>
          <w:szCs w:val="44"/>
        </w:rPr>
        <w:t xml:space="preserve">Mission Report</w:t>
      </w:r>
    </w:p>
    <w:p>
      <w:pPr>
        <w:spacing w:after="480"/>
      </w:pPr>
      <w:r>
        <w:rPr>
          <w:rFonts w:ascii="Arial" w:cs="Arial" w:eastAsia="Arial" w:hAnsi="Arial"/>
          <w:i/>
          <w:iCs/>
          <w:color w:val="666666"/>
          <w:sz w:val="28"/>
          <w:szCs w:val="28"/>
        </w:rPr>
        <w:t xml:space="preserve">Complete Change Management Strategy for the VIF Digital Transformation</w:t>
      </w:r>
    </w:p>
    <w:p>
      <w:pPr>
        <w:spacing w:after="120"/>
      </w:pPr>
      <w:r>
        <w:rPr>
          <w:rFonts w:ascii="Arial" w:cs="Arial" w:eastAsia="Arial" w:hAnsi="Arial"/>
          <w:b/>
          <w:bCs/>
          <w:color w:val="E07B28"/>
          <w:sz w:val="24"/>
          <w:szCs w:val="24"/>
        </w:rPr>
        <w:t xml:space="preserve">Deliverable 1 — Full Mission Report</w:t>
      </w:r>
    </w:p>
    <w:p>
      <w:pPr>
        <w:spacing w:after="120"/>
      </w:pPr>
      <w:r>
        <w:rPr>
          <w:rFonts w:ascii="Arial" w:cs="Arial" w:eastAsia="Arial" w:hAnsi="Arial"/>
          <w:color w:val="666666"/>
          <w:sz w:val="22"/>
          <w:szCs w:val="22"/>
        </w:rPr>
        <w:t xml:space="preserve">Academic Institution: EPITECH Paris (MSc IT)</w:t>
      </w:r>
    </w:p>
    <w:p>
      <w:pPr>
        <w:spacing w:after="120"/>
      </w:pPr>
      <w:r>
        <w:rPr>
          <w:rFonts w:ascii="Arial" w:cs="Arial" w:eastAsia="Arial" w:hAnsi="Arial"/>
          <w:color w:val="666666"/>
          <w:sz w:val="22"/>
          <w:szCs w:val="22"/>
        </w:rPr>
        <w:t xml:space="preserve">Client: Yoyo (Zero Digital Transformation Experience)</w:t>
      </w:r>
    </w:p>
    <w:p>
      <w:pPr>
        <w:spacing w:after="120"/>
      </w:pPr>
      <w:r>
        <w:rPr>
          <w:rFonts w:ascii="Arial" w:cs="Arial" w:eastAsia="Arial" w:hAnsi="Arial"/>
          <w:color w:val="666666"/>
          <w:sz w:val="22"/>
          <w:szCs w:val="22"/>
        </w:rPr>
        <w:t xml:space="preserve">Date: May 2026</w:t>
      </w:r>
    </w:p>
    <w:p>
      <w:pPr>
        <w:spacing w:after="120"/>
      </w:pPr>
      <w:r>
        <w:rPr>
          <w:rFonts w:ascii="Arial" w:cs="Arial" w:eastAsia="Arial" w:hAnsi="Arial"/>
          <w:color w:val="666666"/>
          <w:sz w:val="22"/>
          <w:szCs w:val="22"/>
        </w:rPr>
        <w:t xml:space="preserve">Document Version: 1.0</w:t>
      </w:r>
    </w:p>
    <w:p>
      <w:r>
        <w:br w:type="page"/>
      </w:r>
    </w:p>
    <w:p>
      <w:pPr>
        <w:pStyle w:val="Heading1"/>
        <w:spacing w:after="120" w:before="360"/>
      </w:pPr>
      <w:r>
        <w:rPr>
          <w:rFonts w:ascii="Arial" w:cs="Arial" w:eastAsia="Arial" w:hAnsi="Arial"/>
          <w:b/>
          <w:bCs/>
          <w:color w:val="1B6CA8"/>
          <w:sz w:val="32"/>
          <w:szCs w:val="32"/>
        </w:rPr>
        <w:t xml:space="preserve">Executive Summary</w:t>
      </w:r>
    </w:p>
    <w:p>
      <w:pPr>
        <w:spacing w:after="120"/>
      </w:pPr>
      <w:r>
        <w:rPr>
          <w:rFonts w:ascii="Arial" w:cs="Arial" w:eastAsia="Arial" w:hAnsi="Arial"/>
          <w:b w:val="false"/>
          <w:bCs w:val="false"/>
          <w:i w:val="false"/>
          <w:iCs w:val="false"/>
          <w:color w:val="1A1A2E"/>
          <w:sz w:val="22"/>
          <w:szCs w:val="22"/>
        </w:rPr>
        <w:t xml:space="preserve">This Mission Report compiles the complete change management strategy for VIF — a real-time student food security and automated corporate tax deduction platform designed for the Paris artisan bakery ecosystem. It is written specifically for Yoyo, our client, who is new to digital transformation, and covers the full arc of the change: before, during, and after deployment.</w:t>
      </w:r>
    </w:p>
    <w:p>
      <w:pPr>
        <w:spacing w:after="120"/>
      </w:pPr>
      <w:r>
        <w:rPr>
          <w:rFonts w:ascii="Arial" w:cs="Arial" w:eastAsia="Arial" w:hAnsi="Arial"/>
          <w:b w:val="false"/>
          <w:bCs w:val="false"/>
          <w:i w:val="false"/>
          <w:iCs w:val="false"/>
          <w:color w:val="1A1A2E"/>
          <w:sz w:val="22"/>
          <w:szCs w:val="22"/>
        </w:rPr>
        <w:t xml:space="preserve">VIF solves two simultaneous problems: student food insecurity (a growing crisis in French higher education) and end-of-day food waste in artisan bakeries. By automating the legal intermediary model required under Article 238 bis of the French General Tax Code (CGI), VIF turns surplus bread into a tax saving for bakers and a free meal for a student — all within 20 minutes, with zero paperwork.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Report Structure</w:t>
            </w:r>
          </w:p>
          <w:p>
            <w:pPr>
              <w:spacing w:after="0"/>
            </w:pPr>
            <w:r>
              <w:rPr>
                <w:rFonts w:ascii="Arial" w:cs="Arial" w:eastAsia="Arial" w:hAnsi="Arial"/>
                <w:color w:val="1A1A2E"/>
                <w:sz w:val="20"/>
                <w:szCs w:val="20"/>
              </w:rPr>
              <w:t xml:space="preserve">Section 1: The Problem &amp; The Solution. Section 2: Change Management Model Selection. Section 3: Before — Stakeholder Analysis &amp; Strategy. Section 4: During — Communication Plan. Section 5: After — Sustainability Plan. Section 6: Budget &amp; Timeline. Section 7: Technical Feasibility Summary. Section 8: Legal Feasibility Summary. Section 9: Predicted Outcomes &amp; KPIs.</w:t>
            </w:r>
          </w:p>
        </w:tc>
      </w:tr>
    </w:tbl>
    <w:p>
      <w:pPr>
        <w:spacing w:after="160"/>
      </w:pPr>
    </w:p>
    <w:p>
      <w:pPr>
        <w:pStyle w:val="Heading1"/>
        <w:spacing w:after="120" w:before="360"/>
      </w:pPr>
      <w:r>
        <w:rPr>
          <w:rFonts w:ascii="Arial" w:cs="Arial" w:eastAsia="Arial" w:hAnsi="Arial"/>
          <w:b/>
          <w:bCs/>
          <w:color w:val="1B6CA8"/>
          <w:sz w:val="32"/>
          <w:szCs w:val="32"/>
        </w:rPr>
        <w:t xml:space="preserve">1. The Problem &amp; The Solution</w:t>
      </w:r>
    </w:p>
    <w:p>
      <w:pPr>
        <w:pStyle w:val="Heading2"/>
        <w:spacing w:after="80" w:before="240"/>
      </w:pPr>
      <w:r>
        <w:rPr>
          <w:rFonts w:ascii="Arial" w:cs="Arial" w:eastAsia="Arial" w:hAnsi="Arial"/>
          <w:b/>
          <w:bCs/>
          <w:color w:val="1A1A2E"/>
          <w:sz w:val="26"/>
          <w:szCs w:val="26"/>
        </w:rPr>
        <w:t xml:space="preserve">1.1 The Problem</w:t>
      </w:r>
    </w:p>
    <w:p>
      <w:pPr>
        <w:spacing w:after="120"/>
      </w:pPr>
      <w:r>
        <w:rPr>
          <w:rFonts w:ascii="Arial" w:cs="Arial" w:eastAsia="Arial" w:hAnsi="Arial"/>
          <w:b w:val="false"/>
          <w:bCs w:val="false"/>
          <w:i w:val="false"/>
          <w:iCs w:val="false"/>
          <w:color w:val="1A1A2E"/>
          <w:sz w:val="22"/>
          <w:szCs w:val="22"/>
        </w:rPr>
        <w:t xml:space="preserve">France is experiencing a convergence of two crises that VIF uniquely bridges:</w:t>
      </w:r>
    </w:p>
    <w:p>
      <w:pPr>
        <w:pStyle w:val="ListParagraph"/>
        <w:numPr>
          <w:ilvl w:val="0"/>
          <w:numId w:val="2"/>
        </w:numPr>
        <w:spacing w:after="60"/>
      </w:pPr>
      <w:r>
        <w:rPr>
          <w:rFonts w:ascii="Arial" w:cs="Arial" w:eastAsia="Arial" w:hAnsi="Arial"/>
          <w:color w:val="1A1A2E"/>
          <w:sz w:val="22"/>
          <w:szCs w:val="22"/>
        </w:rPr>
        <w:t xml:space="preserve">Student Food Insecurity: A significant portion of French students regularly skip meals due to inflationary pressure. Existing solutions (food banks, university canteen subsidies) are slow, stigmatising, or underfunded.</w:t>
      </w:r>
    </w:p>
    <w:p>
      <w:pPr>
        <w:pStyle w:val="ListParagraph"/>
        <w:numPr>
          <w:ilvl w:val="0"/>
          <w:numId w:val="2"/>
        </w:numPr>
        <w:spacing w:after="60"/>
      </w:pPr>
      <w:r>
        <w:rPr>
          <w:rFonts w:ascii="Arial" w:cs="Arial" w:eastAsia="Arial" w:hAnsi="Arial"/>
          <w:color w:val="1A1A2E"/>
          <w:sz w:val="22"/>
          <w:szCs w:val="22"/>
        </w:rPr>
        <w:t xml:space="preserve">Artisan Bakery Food Waste: French law (Loi Garot, Loi AGEC) mandates food waste reduction, but small bakeries lack the tools and time to comply efficiently. Donation logistics are complex and the accounting burden of claiming tax deductions is prohibitive.</w:t>
      </w:r>
    </w:p>
    <w:p>
      <w:pPr>
        <w:spacing w:after="160"/>
      </w:pPr>
    </w:p>
    <w:p>
      <w:pPr>
        <w:pStyle w:val="Heading2"/>
        <w:spacing w:after="80" w:before="240"/>
      </w:pPr>
      <w:r>
        <w:rPr>
          <w:rFonts w:ascii="Arial" w:cs="Arial" w:eastAsia="Arial" w:hAnsi="Arial"/>
          <w:b/>
          <w:bCs/>
          <w:color w:val="1A1A2E"/>
          <w:sz w:val="26"/>
          <w:szCs w:val="26"/>
        </w:rPr>
        <w:t xml:space="preserve">1.2 The VIF Solution</w:t>
      </w:r>
    </w:p>
    <w:p>
      <w:pPr>
        <w:spacing w:after="120"/>
      </w:pPr>
      <w:r>
        <w:rPr>
          <w:rFonts w:ascii="Arial" w:cs="Arial" w:eastAsia="Arial" w:hAnsi="Arial"/>
          <w:b w:val="false"/>
          <w:bCs w:val="false"/>
          <w:i w:val="false"/>
          <w:iCs w:val="false"/>
          <w:color w:val="1A1A2E"/>
          <w:sz w:val="22"/>
          <w:szCs w:val="22"/>
        </w:rPr>
        <w:t xml:space="preserve">VIF is a mobile-first, geofenced platform that creates an instantaneous bridge between bakery surplus and nearby students. Its key innovation is the automatic generation of the Cerfa n° 11580*05 tax deduction form — transforming a donation into a financial benefit for the bakery, while feeding a student in need. The platform operates via a legally sound intermediary model using a partner non-profit organisation.</w:t>
      </w:r>
    </w:p>
    <w:p>
      <w:pPr>
        <w:spacing w:after="160"/>
      </w:pPr>
    </w:p>
    <w:p>
      <w:pPr>
        <w:pStyle w:val="Heading1"/>
        <w:spacing w:after="120" w:before="360"/>
      </w:pPr>
      <w:r>
        <w:rPr>
          <w:rFonts w:ascii="Arial" w:cs="Arial" w:eastAsia="Arial" w:hAnsi="Arial"/>
          <w:b/>
          <w:bCs/>
          <w:color w:val="1B6CA8"/>
          <w:sz w:val="32"/>
          <w:szCs w:val="32"/>
        </w:rPr>
        <w:t xml:space="preserve">2. Change Management Model: ADKAR</w:t>
      </w:r>
    </w:p>
    <w:p>
      <w:pPr>
        <w:spacing w:after="120"/>
      </w:pPr>
      <w:r>
        <w:rPr>
          <w:rFonts w:ascii="Arial" w:cs="Arial" w:eastAsia="Arial" w:hAnsi="Arial"/>
          <w:b w:val="false"/>
          <w:bCs w:val="false"/>
          <w:i w:val="false"/>
          <w:iCs w:val="false"/>
          <w:color w:val="1A1A2E"/>
          <w:sz w:val="22"/>
          <w:szCs w:val="22"/>
        </w:rPr>
        <w:t xml:space="preserve">We selected the ADKAR model (Awareness, Desire, Knowledge, Ability, Reinforcement) because it centres on the individual user's journey — critical for a platform serving small business owners and students who have no obligation to adopt VIF. Each phase of our strategy maps to one ADKAR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ADKAR</w:t>
            </w:r>
          </w:p>
        </w:tc>
        <w:tc>
          <w:tcPr>
            <w:tcW w:type="dxa" w:w="75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Our Strategy</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Awareness</w:t>
            </w:r>
          </w:p>
        </w:tc>
        <w:tc>
          <w:tcPr>
            <w:tcW w:type="dxa" w:w="7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Bakery outreach campaign, campus poster programme, student union emails explaining the problem VIF solves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Demonstrate the 60% tax deduction value in euros for bakeries; show students the immediate, dignity-first food access benefit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Knowledge</w:t>
            </w:r>
          </w:p>
        </w:tc>
        <w:tc>
          <w:tcPr>
            <w:tcW w:type="dxa" w:w="7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Onboarding workshops for bakeries; in-app guided tutorial for students; printed quick-start guides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Pilot testing period; WhatsApp support group; campus ambassadors; live drop-in video support sessions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Reinforcement</w:t>
            </w:r>
          </w:p>
        </w:tc>
        <w:tc>
          <w:tcPr>
            <w:tcW w:type="dxa" w:w="7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Automated monthly Cerfa reports; student karma system; impact dashboards; annual partnership reviews</w:t>
            </w:r>
          </w:p>
        </w:tc>
      </w:tr>
    </w:tbl>
    <w:p>
      <w:pPr>
        <w:spacing w:after="160"/>
      </w:pPr>
    </w:p>
    <w:p>
      <w:pPr>
        <w:pStyle w:val="Heading1"/>
        <w:spacing w:after="120" w:before="360"/>
      </w:pPr>
      <w:r>
        <w:rPr>
          <w:rFonts w:ascii="Arial" w:cs="Arial" w:eastAsia="Arial" w:hAnsi="Arial"/>
          <w:b/>
          <w:bCs/>
          <w:color w:val="1B6CA8"/>
          <w:sz w:val="32"/>
          <w:szCs w:val="32"/>
        </w:rPr>
        <w:t xml:space="preserve">3. Before — Stakeholder Analysis &amp; Strategy Summary</w:t>
      </w:r>
    </w:p>
    <w:p>
      <w:pPr>
        <w:pStyle w:val="Heading2"/>
        <w:spacing w:after="80" w:before="240"/>
      </w:pPr>
      <w:r>
        <w:rPr>
          <w:rFonts w:ascii="Arial" w:cs="Arial" w:eastAsia="Arial" w:hAnsi="Arial"/>
          <w:b/>
          <w:bCs/>
          <w:color w:val="1A1A2E"/>
          <w:sz w:val="26"/>
          <w:szCs w:val="26"/>
        </w:rPr>
        <w:t xml:space="preserve">3.1 Key Stakeholders</w:t>
      </w:r>
    </w:p>
    <w:p>
      <w:pPr>
        <w:spacing w:after="120"/>
      </w:pPr>
      <w:r>
        <w:rPr>
          <w:rFonts w:ascii="Arial" w:cs="Arial" w:eastAsia="Arial" w:hAnsi="Arial"/>
          <w:b w:val="false"/>
          <w:bCs w:val="false"/>
          <w:i w:val="false"/>
          <w:iCs w:val="false"/>
          <w:color w:val="1A1A2E"/>
          <w:sz w:val="22"/>
          <w:szCs w:val="22"/>
        </w:rPr>
        <w:t xml:space="preserve">The full stakeholder analysis is contained in Milestone 1, Document 1. In summary, the five most critical stakeholders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60"/>
        <w:gridCol w:w="1800"/>
        <w:gridCol w:w="2640"/>
      </w:tblGrid>
      <w:tr>
        <w:tc>
          <w:tcPr>
            <w:tcW w:type="dxa" w:w="2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7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Change Readiness</w:t>
            </w:r>
          </w:p>
        </w:tc>
        <w:tc>
          <w:tcPr>
            <w:tcW w:type="dxa" w:w="26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Primary Risk</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Artisan Bakeries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Surplus provider + Cerfa claimant</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Low (2/5)</w:t>
            </w:r>
          </w:p>
        </w:tc>
        <w:tc>
          <w:tcPr>
            <w:tcW w:type="dxa" w:w="26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Technology resistance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 beneficiaries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 (3/5)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awareness, trust barrier</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Non-Profit Partner</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Legal intermediary</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High (4/5)</w:t>
            </w:r>
          </w:p>
        </w:tc>
        <w:tc>
          <w:tcPr>
            <w:tcW w:type="dxa" w:w="26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Legal liability if model is incorrect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 Team / Yoyo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builders and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High (5/5)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Delivery pressure, scope creep</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CNIL / Regulatory</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Data protection overseer</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N/A</w:t>
            </w:r>
          </w:p>
        </w:tc>
        <w:tc>
          <w:tcPr>
            <w:tcW w:type="dxa" w:w="26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GDPR non-compliance</w:t>
            </w:r>
          </w:p>
        </w:tc>
      </w:tr>
    </w:tbl>
    <w:p>
      <w:pPr>
        <w:spacing w:after="160"/>
      </w:pPr>
    </w:p>
    <w:p>
      <w:pPr>
        <w:pStyle w:val="Heading2"/>
        <w:spacing w:after="80" w:before="240"/>
      </w:pPr>
      <w:r>
        <w:rPr>
          <w:rFonts w:ascii="Arial" w:cs="Arial" w:eastAsia="Arial" w:hAnsi="Arial"/>
          <w:b/>
          <w:bCs/>
          <w:color w:val="1A1A2E"/>
          <w:sz w:val="26"/>
          <w:szCs w:val="26"/>
        </w:rPr>
        <w:t xml:space="preserve">3.2 Change Strategy Summary</w:t>
      </w:r>
    </w:p>
    <w:p>
      <w:pPr>
        <w:spacing w:after="120"/>
      </w:pPr>
      <w:r>
        <w:rPr>
          <w:rFonts w:ascii="Arial" w:cs="Arial" w:eastAsia="Arial" w:hAnsi="Arial"/>
          <w:b w:val="false"/>
          <w:bCs w:val="false"/>
          <w:i w:val="false"/>
          <w:iCs w:val="false"/>
          <w:color w:val="1A1A2E"/>
          <w:sz w:val="22"/>
          <w:szCs w:val="22"/>
        </w:rPr>
        <w:t xml:space="preserve">Our strategy uses a phased rollout: Preparation (Weeks 1-2), Awareness (Weeks 3-4), Onboarding (Weeks 5-8), Pilot (Weeks 9-10), Rollout (Weeks 11-16), and Reinforcement (ongoing). The strategy prioritises bakery adoption first, as they are the content supply that makes the platform valuable for students.</w:t>
      </w:r>
    </w:p>
    <w:p>
      <w:pPr>
        <w:spacing w:after="160"/>
      </w:pPr>
    </w:p>
    <w:p>
      <w:pPr>
        <w:pStyle w:val="Heading1"/>
        <w:spacing w:after="120" w:before="360"/>
      </w:pPr>
      <w:r>
        <w:rPr>
          <w:rFonts w:ascii="Arial" w:cs="Arial" w:eastAsia="Arial" w:hAnsi="Arial"/>
          <w:b/>
          <w:bCs/>
          <w:color w:val="1B6CA8"/>
          <w:sz w:val="32"/>
          <w:szCs w:val="32"/>
        </w:rPr>
        <w:t xml:space="preserve">4. During — Communication Plan Summary</w:t>
      </w:r>
    </w:p>
    <w:p>
      <w:pPr>
        <w:spacing w:after="120"/>
      </w:pPr>
      <w:r>
        <w:rPr>
          <w:rFonts w:ascii="Arial" w:cs="Arial" w:eastAsia="Arial" w:hAnsi="Arial"/>
          <w:b w:val="false"/>
          <w:bCs w:val="false"/>
          <w:i w:val="false"/>
          <w:iCs w:val="false"/>
          <w:color w:val="1A1A2E"/>
          <w:sz w:val="22"/>
          <w:szCs w:val="22"/>
        </w:rPr>
        <w:t xml:space="preserve">During deployment, communication is structured around three parallel tracks: bakeries, students, and the internal team/Yoyo. The full plan is in Milestone 2, Document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5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c>
          <w:tcPr>
            <w:tcW w:type="dxa" w:w="24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Primary Channel</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Bakeries</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WhatsApp support group, daily availability in Week 1, weekly progress emails, in-person drop-in sessions</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WhatsApp +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onboarding flow, campus ambassador support, push notification campaign, FAQ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 Campus</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Yoyo / Internal</w:t>
            </w:r>
          </w:p>
        </w:tc>
        <w:tc>
          <w:tcPr>
            <w:tcW w:type="dxa" w:w="5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Daily standup in Week 1-2, live deployment dashboard, incident alert protocol, weekly PDF report</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Video Call + Email</w:t>
            </w:r>
          </w:p>
        </w:tc>
      </w:tr>
    </w:tbl>
    <w:p>
      <w:pPr>
        <w:spacing w:after="160"/>
      </w:pPr>
    </w:p>
    <w:p>
      <w:pPr>
        <w:pStyle w:val="Heading1"/>
        <w:spacing w:after="120" w:before="360"/>
      </w:pPr>
      <w:r>
        <w:rPr>
          <w:rFonts w:ascii="Arial" w:cs="Arial" w:eastAsia="Arial" w:hAnsi="Arial"/>
          <w:b/>
          <w:bCs/>
          <w:color w:val="1B6CA8"/>
          <w:sz w:val="32"/>
          <w:szCs w:val="32"/>
        </w:rPr>
        <w:t xml:space="preserve">5. After — Sustainability Plan Summary</w:t>
      </w:r>
    </w:p>
    <w:p>
      <w:pPr>
        <w:spacing w:after="120"/>
      </w:pPr>
      <w:r>
        <w:rPr>
          <w:rFonts w:ascii="Arial" w:cs="Arial" w:eastAsia="Arial" w:hAnsi="Arial"/>
          <w:b w:val="false"/>
          <w:bCs w:val="false"/>
          <w:i w:val="false"/>
          <w:iCs w:val="false"/>
          <w:color w:val="1A1A2E"/>
          <w:sz w:val="22"/>
          <w:szCs w:val="22"/>
        </w:rPr>
        <w:t xml:space="preserve">Long-term sustainability is built into the platform's core mechanics, not bolted on as an afterthought. The full plan is in Milestone 3, Document 1.</w:t>
      </w:r>
    </w:p>
    <w:p>
      <w:pPr>
        <w:pStyle w:val="ListParagraph"/>
        <w:numPr>
          <w:ilvl w:val="0"/>
          <w:numId w:val="3"/>
        </w:numPr>
        <w:spacing w:after="60"/>
      </w:pPr>
      <w:r>
        <w:rPr>
          <w:rFonts w:ascii="Arial" w:cs="Arial" w:eastAsia="Arial" w:hAnsi="Arial"/>
          <w:color w:val="1A1A2E"/>
          <w:sz w:val="22"/>
          <w:szCs w:val="22"/>
        </w:rPr>
        <w:t xml:space="preserve">Bakeries: Automated monthly Cerfa emails, annual impact certificate, quarterly feature newsletter.</w:t>
      </w:r>
    </w:p>
    <w:p>
      <w:pPr>
        <w:pStyle w:val="ListParagraph"/>
        <w:numPr>
          <w:ilvl w:val="0"/>
          <w:numId w:val="3"/>
        </w:numPr>
        <w:spacing w:after="60"/>
      </w:pPr>
      <w:r>
        <w:rPr>
          <w:rFonts w:ascii="Arial" w:cs="Arial" w:eastAsia="Arial" w:hAnsi="Arial"/>
          <w:color w:val="1A1A2E"/>
          <w:sz w:val="22"/>
          <w:szCs w:val="22"/>
        </w:rPr>
        <w:t xml:space="preserve">Students: Karma system with perks, monthly impact notifications, optional social sharing.</w:t>
      </w:r>
    </w:p>
    <w:p>
      <w:pPr>
        <w:pStyle w:val="ListParagraph"/>
        <w:numPr>
          <w:ilvl w:val="0"/>
          <w:numId w:val="3"/>
        </w:numPr>
        <w:spacing w:after="60"/>
      </w:pPr>
      <w:r>
        <w:rPr>
          <w:rFonts w:ascii="Arial" w:cs="Arial" w:eastAsia="Arial" w:hAnsi="Arial"/>
          <w:color w:val="1A1A2E"/>
          <w:sz w:val="22"/>
          <w:szCs w:val="22"/>
        </w:rPr>
        <w:t xml:space="preserve">Platform Governance: Dedicated roles for legal compliance, community management, and data analytics.</w:t>
      </w:r>
    </w:p>
    <w:p>
      <w:pPr>
        <w:pStyle w:val="ListParagraph"/>
        <w:numPr>
          <w:ilvl w:val="0"/>
          <w:numId w:val="3"/>
        </w:numPr>
        <w:spacing w:after="60"/>
      </w:pPr>
      <w:r>
        <w:rPr>
          <w:rFonts w:ascii="Arial" w:cs="Arial" w:eastAsia="Arial" w:hAnsi="Arial"/>
          <w:color w:val="1A1A2E"/>
          <w:sz w:val="22"/>
          <w:szCs w:val="22"/>
        </w:rPr>
        <w:t xml:space="preserve">Issue Mitigation: Pre-defined escalation protocols for technical, legal, and behavioural risks.</w:t>
      </w:r>
    </w:p>
    <w:p>
      <w:pPr>
        <w:spacing w:after="160"/>
      </w:pPr>
    </w:p>
    <w:p>
      <w:pPr>
        <w:pStyle w:val="Heading1"/>
        <w:spacing w:after="120" w:before="360"/>
      </w:pPr>
      <w:r>
        <w:rPr>
          <w:rFonts w:ascii="Arial" w:cs="Arial" w:eastAsia="Arial" w:hAnsi="Arial"/>
          <w:b/>
          <w:bCs/>
          <w:color w:val="1B6CA8"/>
          <w:sz w:val="32"/>
          <w:szCs w:val="32"/>
        </w:rPr>
        <w:t xml:space="preserve">6. Budget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Cost Estimate (EUR)</w:t>
            </w:r>
          </w:p>
        </w:tc>
      </w:tr>
      <w:tr>
        <w:tc>
          <w:tcPr>
            <w:tcW w:type="dxa" w:w="6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Cloud Hosting (Year 1)</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1,440</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Legal Review (Cerfa Validation)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1,150 (midpoint)</w:t>
            </w:r>
          </w:p>
        </w:tc>
      </w:tr>
      <w:tr>
        <w:tc>
          <w:tcPr>
            <w:tcW w:type="dxa" w:w="6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Bakery Onboarding Events (x3)</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450 (midpoint)</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Campus Ambassador Programme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750 (midpoint)</w:t>
            </w:r>
          </w:p>
        </w:tc>
      </w:tr>
      <w:tr>
        <w:tc>
          <w:tcPr>
            <w:tcW w:type="dxa" w:w="6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Design &amp; Branding</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600 (midpoint)</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Contingency (10%)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439</w:t>
            </w:r>
          </w:p>
        </w:tc>
      </w:tr>
      <w:tr>
        <w:tc>
          <w:tcPr>
            <w:tcW w:type="dxa" w:w="6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TOTAL — Year 1 (estimated)</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~4,829 EUR</w:t>
            </w:r>
          </w:p>
        </w:tc>
      </w:tr>
    </w:tbl>
    <w:p>
      <w:pPr>
        <w:spacing w:after="160"/>
      </w:pPr>
    </w:p>
    <w:p>
      <w:pPr>
        <w:spacing w:after="120"/>
      </w:pPr>
      <w:r>
        <w:rPr>
          <w:rFonts w:ascii="Arial" w:cs="Arial" w:eastAsia="Arial" w:hAnsi="Arial"/>
          <w:b w:val="false"/>
          <w:bCs w:val="false"/>
          <w:i w:val="false"/>
          <w:iCs w:val="false"/>
          <w:color w:val="1A1A2E"/>
          <w:sz w:val="22"/>
          <w:szCs w:val="22"/>
        </w:rPr>
        <w:t xml:space="preserve">Full timeline spans 16 weeks from preparation to citywide rollout, with continuous reinforcement thereafter. See the Change Strategy document (Milestone 1, Document 2) for the complete phase breakdown.</w:t>
      </w:r>
    </w:p>
    <w:p>
      <w:pPr>
        <w:spacing w:after="160"/>
      </w:pPr>
    </w:p>
    <w:p>
      <w:pPr>
        <w:pStyle w:val="Heading1"/>
        <w:spacing w:after="120" w:before="360"/>
      </w:pPr>
      <w:r>
        <w:rPr>
          <w:rFonts w:ascii="Arial" w:cs="Arial" w:eastAsia="Arial" w:hAnsi="Arial"/>
          <w:b/>
          <w:bCs/>
          <w:color w:val="1B6CA8"/>
          <w:sz w:val="32"/>
          <w:szCs w:val="32"/>
        </w:rPr>
        <w:t xml:space="preserve">7. Technical Feasibility Summary</w:t>
      </w:r>
    </w:p>
    <w:p>
      <w:pPr>
        <w:spacing w:after="120"/>
      </w:pPr>
      <w:r>
        <w:rPr>
          <w:rFonts w:ascii="Arial" w:cs="Arial" w:eastAsia="Arial" w:hAnsi="Arial"/>
          <w:b w:val="false"/>
          <w:bCs w:val="false"/>
          <w:i w:val="false"/>
          <w:iCs w:val="false"/>
          <w:color w:val="1A1A2E"/>
          <w:sz w:val="22"/>
          <w:szCs w:val="22"/>
        </w:rPr>
        <w:t xml:space="preserve">VIF is built on a proven, modern technical stack designed for low-latency spatial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Mobile App</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React Native (Expo)</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Cross-platform student and bakery interfaces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API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FastAPI (Python 3.11+)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Asynchronous request handling, spatial queries</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PostgreSQL + PostGIS</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Relational data storage + geospatial calculations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 / Timer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20-minute reservation countdown, WebSocket state</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Push Notifications</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Firebase Cloud Messaging</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Real-time Pulse alerts to student devices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SIRET Verification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INSEE Sirene API (OAuth2)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bakery business authentication</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 ID Verification</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Tesseract OCR + RegEx</w:t>
            </w:r>
          </w:p>
        </w:tc>
        <w:tc>
          <w:tcPr>
            <w:tcW w:type="dxa" w:w="43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Dual-layer student identity validation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Tax PDF Generation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ReportLab / FPDF (Python)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Cerfa 11580*05 document creation</w:t>
            </w:r>
          </w:p>
        </w:tc>
      </w:tr>
    </w:tbl>
    <w:p>
      <w:pPr>
        <w:spacing w:after="160"/>
      </w:pPr>
    </w:p>
    <w:p>
      <w:pPr>
        <w:spacing w:after="120"/>
      </w:pPr>
      <w:r>
        <w:rPr>
          <w:rFonts w:ascii="Arial" w:cs="Arial" w:eastAsia="Arial" w:hAnsi="Arial"/>
          <w:b w:val="false"/>
          <w:bCs w:val="false"/>
          <w:i w:val="false"/>
          <w:iCs w:val="false"/>
          <w:color w:val="1A1A2E"/>
          <w:sz w:val="22"/>
          <w:szCs w:val="22"/>
        </w:rPr>
        <w:t xml:space="preserve">The Technical KPIs validated by this stack are: geospatial lookup under 200ms, zero race conditions in simultaneous reservation processing, and tax PDF pixel-perfect compliance with government layout.</w:t>
      </w:r>
    </w:p>
    <w:p>
      <w:pPr>
        <w:spacing w:after="160"/>
      </w:pPr>
    </w:p>
    <w:p>
      <w:pPr>
        <w:pStyle w:val="Heading1"/>
        <w:spacing w:after="120" w:before="360"/>
      </w:pPr>
      <w:r>
        <w:rPr>
          <w:rFonts w:ascii="Arial" w:cs="Arial" w:eastAsia="Arial" w:hAnsi="Arial"/>
          <w:b/>
          <w:bCs/>
          <w:color w:val="1B6CA8"/>
          <w:sz w:val="32"/>
          <w:szCs w:val="32"/>
        </w:rPr>
        <w:t xml:space="preserve">8. Legal Feasibility Summary</w:t>
      </w:r>
    </w:p>
    <w:p>
      <w:pPr>
        <w:spacing w:after="120"/>
      </w:pPr>
      <w:r>
        <w:rPr>
          <w:rFonts w:ascii="Arial" w:cs="Arial" w:eastAsia="Arial" w:hAnsi="Arial"/>
          <w:b w:val="false"/>
          <w:bCs w:val="false"/>
          <w:i w:val="false"/>
          <w:iCs w:val="false"/>
          <w:color w:val="1A1A2E"/>
          <w:sz w:val="22"/>
          <w:szCs w:val="22"/>
        </w:rPr>
        <w:t xml:space="preserve">VIF's legal model is built around Article 238 bis of the French General Tax Code (CGI), enabling companies to deduct 60% of the cost price of in-kind food donations from their corporate tax liability.</w:t>
      </w:r>
    </w:p>
    <w:p>
      <w:pPr>
        <w:spacing w:after="120"/>
      </w:pPr>
      <w:r>
        <w:rPr>
          <w:rFonts w:ascii="Arial" w:cs="Arial" w:eastAsia="Arial" w:hAnsi="Arial"/>
          <w:b w:val="false"/>
          <w:bCs w:val="false"/>
          <w:i w:val="false"/>
          <w:iCs w:val="false"/>
          <w:color w:val="1A1A2E"/>
          <w:sz w:val="22"/>
          <w:szCs w:val="22"/>
        </w:rPr>
        <w:t xml:space="preserve">The key legal innovation is the Intermediary Model:</w:t>
      </w:r>
    </w:p>
    <w:p>
      <w:pPr>
        <w:pStyle w:val="ListParagraph"/>
        <w:numPr>
          <w:ilvl w:val="0"/>
          <w:numId w:val="4"/>
        </w:numPr>
        <w:spacing w:after="60"/>
      </w:pPr>
      <w:r>
        <w:rPr>
          <w:rFonts w:ascii="Arial" w:cs="Arial" w:eastAsia="Arial" w:hAnsi="Arial"/>
          <w:color w:val="1A1A2E"/>
          <w:sz w:val="22"/>
          <w:szCs w:val="22"/>
        </w:rPr>
        <w:t xml:space="preserve">The bakery legally assigns surplus food to a partner non-profit organisation (Organisme d'Interet General) via the VIF platform.</w:t>
      </w:r>
    </w:p>
    <w:p>
      <w:pPr>
        <w:pStyle w:val="ListParagraph"/>
        <w:numPr>
          <w:ilvl w:val="0"/>
          <w:numId w:val="4"/>
        </w:numPr>
        <w:spacing w:after="60"/>
      </w:pPr>
      <w:r>
        <w:rPr>
          <w:rFonts w:ascii="Arial" w:cs="Arial" w:eastAsia="Arial" w:hAnsi="Arial"/>
          <w:color w:val="1A1A2E"/>
          <w:sz w:val="22"/>
          <w:szCs w:val="22"/>
        </w:rPr>
        <w:t xml:space="preserve">The platform distributes the item to the student on behalf of the non-profit.</w:t>
      </w:r>
    </w:p>
    <w:p>
      <w:pPr>
        <w:pStyle w:val="ListParagraph"/>
        <w:numPr>
          <w:ilvl w:val="0"/>
          <w:numId w:val="4"/>
        </w:numPr>
        <w:spacing w:after="60"/>
      </w:pPr>
      <w:r>
        <w:rPr>
          <w:rFonts w:ascii="Arial" w:cs="Arial" w:eastAsia="Arial" w:hAnsi="Arial"/>
          <w:color w:val="1A1A2E"/>
          <w:sz w:val="22"/>
          <w:szCs w:val="22"/>
        </w:rPr>
        <w:t xml:space="preserve">The platform compiles individual transactions and the non-profit co-signs and issues the Cerfa 11580*05 document to the bakery.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Legal Validation Required</w:t>
            </w:r>
          </w:p>
          <w:p>
            <w:pPr>
              <w:spacing w:after="0"/>
            </w:pPr>
            <w:r>
              <w:rPr>
                <w:rFonts w:ascii="Arial" w:cs="Arial" w:eastAsia="Arial" w:hAnsi="Arial"/>
                <w:color w:val="1A1A2E"/>
                <w:sz w:val="20"/>
                <w:szCs w:val="20"/>
              </w:rPr>
              <w:t xml:space="preserve">Before launch, the Cerfa template must be reviewed by a chartered accountant (Expert-Comptable) and the Intermediary Model MOU must be reviewed by a lawyer specialising in French charity law (droit associatif). Budget: 800 — 1,500 EUR. Estimated time: 2-3 weeks.</w:t>
            </w:r>
          </w:p>
        </w:tc>
      </w:tr>
    </w:tbl>
    <w:p>
      <w:pPr>
        <w:spacing w:after="160"/>
      </w:pPr>
    </w:p>
    <w:p>
      <w:pPr>
        <w:pStyle w:val="Heading1"/>
        <w:spacing w:after="120" w:before="360"/>
      </w:pPr>
      <w:r>
        <w:rPr>
          <w:rFonts w:ascii="Arial" w:cs="Arial" w:eastAsia="Arial" w:hAnsi="Arial"/>
          <w:b/>
          <w:bCs/>
          <w:color w:val="1B6CA8"/>
          <w:sz w:val="32"/>
          <w:szCs w:val="32"/>
        </w:rPr>
        <w:t xml:space="preserve">9. Predicted Outcomes &amp; KPIs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620"/>
        <w:gridCol w:w="1620"/>
      </w:tblGrid>
      <w:tr>
        <w:tc>
          <w:tcPr>
            <w:tcW w:type="dxa" w:w="30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6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3-Month Target</w:t>
            </w:r>
          </w:p>
        </w:tc>
        <w:tc>
          <w:tcPr>
            <w:tcW w:type="dxa" w:w="16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c>
          <w:tcPr>
            <w:tcW w:type="dxa" w:w="162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12-Month Target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Active bakeries</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150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Verified students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Cerfa documents issued</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60</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300</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1,200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Avg. tax saving / bakery / year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 EUR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800 EUR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1,500 EUR</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Food waste diverted (kg)</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60 kg</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200 kg</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800 kg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Avg. student karma score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70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75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80</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Claim-to-pickup rate</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&gt; 75%</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&gt; 85%</w:t>
            </w:r>
          </w:p>
        </w:tc>
        <w:tc>
          <w:tcPr>
            <w:tcW w:type="dxa" w:w="16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&gt; 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uptime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99%</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99.5%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99.9%</w:t>
            </w:r>
          </w:p>
        </w:tc>
      </w:tr>
    </w:tbl>
    <w:p>
      <w:pPr>
        <w:spacing w:after="160"/>
      </w:pPr>
    </w:p>
    <w:p>
      <w:pPr>
        <w:pStyle w:val="Heading1"/>
        <w:spacing w:after="120" w:before="360"/>
      </w:pPr>
      <w:r>
        <w:rPr>
          <w:rFonts w:ascii="Arial" w:cs="Arial" w:eastAsia="Arial" w:hAnsi="Arial"/>
          <w:b/>
          <w:bCs/>
          <w:color w:val="1B6CA8"/>
          <w:sz w:val="32"/>
          <w:szCs w:val="32"/>
        </w:rPr>
        <w:t xml:space="preserve">10. Conclusion</w:t>
      </w:r>
    </w:p>
    <w:p>
      <w:pPr>
        <w:spacing w:after="120"/>
      </w:pPr>
      <w:r>
        <w:rPr>
          <w:rFonts w:ascii="Arial" w:cs="Arial" w:eastAsia="Arial" w:hAnsi="Arial"/>
          <w:b w:val="false"/>
          <w:bCs w:val="false"/>
          <w:i w:val="false"/>
          <w:iCs w:val="false"/>
          <w:color w:val="1A1A2E"/>
          <w:sz w:val="22"/>
          <w:szCs w:val="22"/>
        </w:rPr>
        <w:t xml:space="preserve">VIF is not simply a technology project. It is a change management challenge — asking bakeries to trust a new platform with their tax compliance, and asking students to rely on a new app for access to food. This Mission Report demonstrates that we have approached that challenge with the rigour it deserves: a structured ADKAR-based strategy, clear stakeholder analysis, phased communication plans, and robust long-term sustainability mechanisms.</w:t>
      </w:r>
    </w:p>
    <w:p>
      <w:pPr>
        <w:spacing w:after="120"/>
      </w:pPr>
      <w:r>
        <w:rPr>
          <w:rFonts w:ascii="Arial" w:cs="Arial" w:eastAsia="Arial" w:hAnsi="Arial"/>
          <w:b w:val="false"/>
          <w:bCs w:val="false"/>
          <w:i w:val="false"/>
          <w:iCs w:val="false"/>
          <w:color w:val="1A1A2E"/>
          <w:sz w:val="22"/>
          <w:szCs w:val="22"/>
        </w:rPr>
        <w:t xml:space="preserve">For Yoyo, this document is your definitive guide to understanding, overseeing, and championing the VIF transformation. We are confident that with this strategy in place, VIF will achieve both its social mission and its technical ambitions — and will do so in a way that lasts.</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1"/>
      </w:pBdr>
      <w:tabs>
        <w:tab w:val="right" w:pos="9360"/>
      </w:tabs>
      <w:spacing w:before="80"/>
    </w:pPr>
    <w:r>
      <w:rPr>
        <w:rFonts w:ascii="Arial" w:cs="Arial" w:eastAsia="Arial" w:hAnsi="Arial"/>
        <w:color w:val="666666"/>
        <w:sz w:val="16"/>
        <w:szCs w:val="16"/>
      </w:rPr>
      <w:t xml:space="preserve">VIF Change Management  |  EPITECH Paris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6" w:space="1"/>
      </w:pBdr>
      <w:spacing w:after="80"/>
    </w:pPr>
    <w:r>
      <w:rPr>
        <w:rFonts w:ascii="Arial" w:cs="Arial" w:eastAsia="Arial" w:hAnsi="Arial"/>
        <w:b/>
        <w:bCs/>
        <w:color w:val="1B6CA8"/>
        <w:sz w:val="20"/>
        <w:szCs w:val="20"/>
      </w:rPr>
      <w:t xml:space="preserve">VIF</w:t>
    </w:r>
    <w:r>
      <w:rPr>
        <w:rFonts w:ascii="Arial" w:cs="Arial" w:eastAsia="Arial" w:hAnsi="Arial"/>
        <w:color w:val="666666"/>
        <w:sz w:val="18"/>
        <w:szCs w:val="18"/>
      </w:rPr>
      <w:t xml:space="preserve">  |  Mission Report</w:t>
    </w:r>
    <w:r>
      <w:rPr>
        <w:rFonts w:ascii="Arial" w:cs="Arial" w:eastAsia="Arial" w:hAnsi="Arial"/>
        <w:i/>
        <w:iCs/>
        <w:color w:val="666666"/>
        <w:sz w:val="16"/>
        <w:szCs w:val="16"/>
      </w:rPr>
      <w:t xml:space="preserve">  —  Deliverable 1 — Full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6CA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2026-05-26T18:06:01.673Z</dcterms:created>
  <dcterms:modified xsi:type="dcterms:W3CDTF">2026-05-26T18:06:01.673Z</dcterms:modified>
</cp:coreProperties>
</file>

<file path=docProps/custom.xml><?xml version="1.0" encoding="utf-8"?>
<Properties xmlns="http://schemas.openxmlformats.org/officeDocument/2006/custom-properties" xmlns:vt="http://schemas.openxmlformats.org/officeDocument/2006/docPropsVTypes"/>
</file>