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Arial" w:cs="Arial" w:eastAsia="Arial" w:hAnsi="Arial"/>
          <w:b/>
          <w:bCs/>
          <w:color w:val="1B6CA8"/>
          <w:sz w:val="52"/>
          <w:szCs w:val="52"/>
        </w:rPr>
        <w:t xml:space="preserve">VIF PROJECT</w:t>
      </w:r>
    </w:p>
    <w:p>
      <w:pPr>
        <w:pBdr>
          <w:bottom w:val="single" w:color="E07B28" w:sz="12" w:space="1"/>
        </w:pBdr>
        <w:spacing w:after="80"/>
      </w:pPr>
      <w:r>
        <w:rPr>
          <w:sz w:val="4"/>
          <w:szCs w:val="4"/>
        </w:rPr>
        <w:t xml:space="preserve"/>
      </w:r>
    </w:p>
    <w:p>
      <w:pPr>
        <w:spacing w:after="120" w:before="240"/>
      </w:pPr>
      <w:r>
        <w:rPr>
          <w:rFonts w:ascii="Arial" w:cs="Arial" w:eastAsia="Arial" w:hAnsi="Arial"/>
          <w:b/>
          <w:bCs/>
          <w:color w:val="1A1A2E"/>
          <w:sz w:val="44"/>
          <w:szCs w:val="44"/>
        </w:rPr>
        <w:t xml:space="preserve">Stakeholder Analysis Report</w:t>
      </w:r>
    </w:p>
    <w:p>
      <w:pPr>
        <w:spacing w:after="480"/>
      </w:pPr>
      <w:r>
        <w:rPr>
          <w:rFonts w:ascii="Arial" w:cs="Arial" w:eastAsia="Arial" w:hAnsi="Arial"/>
          <w:i/>
          <w:iCs/>
          <w:color w:val="666666"/>
          <w:sz w:val="28"/>
          <w:szCs w:val="28"/>
        </w:rPr>
        <w:t xml:space="preserve">Identifying Key Actors in the VIF Digital Transformation</w:t>
      </w:r>
    </w:p>
    <w:p>
      <w:pPr>
        <w:spacing w:after="120"/>
      </w:pPr>
      <w:r>
        <w:rPr>
          <w:rFonts w:ascii="Arial" w:cs="Arial" w:eastAsia="Arial" w:hAnsi="Arial"/>
          <w:b/>
          <w:bCs/>
          <w:color w:val="E07B28"/>
          <w:sz w:val="24"/>
          <w:szCs w:val="24"/>
        </w:rPr>
        <w:t xml:space="preserve">Milestone 1 (Before) — Document 1 of 3</w:t>
      </w:r>
    </w:p>
    <w:p>
      <w:pPr>
        <w:spacing w:after="120"/>
      </w:pPr>
      <w:r>
        <w:rPr>
          <w:rFonts w:ascii="Arial" w:cs="Arial" w:eastAsia="Arial" w:hAnsi="Arial"/>
          <w:color w:val="666666"/>
          <w:sz w:val="22"/>
          <w:szCs w:val="22"/>
        </w:rPr>
        <w:t xml:space="preserve">Academic Institution: EPITECH Paris (MSc IT)</w:t>
      </w:r>
    </w:p>
    <w:p>
      <w:pPr>
        <w:spacing w:after="120"/>
      </w:pPr>
      <w:r>
        <w:rPr>
          <w:rFonts w:ascii="Arial" w:cs="Arial" w:eastAsia="Arial" w:hAnsi="Arial"/>
          <w:color w:val="666666"/>
          <w:sz w:val="22"/>
          <w:szCs w:val="22"/>
        </w:rPr>
        <w:t xml:space="preserve">Client: Yoyo (Zero Digital Transformation Experience)</w:t>
      </w:r>
    </w:p>
    <w:p>
      <w:pPr>
        <w:spacing w:after="120"/>
      </w:pPr>
      <w:r>
        <w:rPr>
          <w:rFonts w:ascii="Arial" w:cs="Arial" w:eastAsia="Arial" w:hAnsi="Arial"/>
          <w:color w:val="666666"/>
          <w:sz w:val="22"/>
          <w:szCs w:val="22"/>
        </w:rPr>
        <w:t xml:space="preserve">Date: May 2026</w:t>
      </w:r>
    </w:p>
    <w:p>
      <w:pPr>
        <w:spacing w:after="120"/>
      </w:pPr>
      <w:r>
        <w:rPr>
          <w:rFonts w:ascii="Arial" w:cs="Arial" w:eastAsia="Arial" w:hAnsi="Arial"/>
          <w:color w:val="666666"/>
          <w:sz w:val="22"/>
          <w:szCs w:val="22"/>
        </w:rPr>
        <w:t xml:space="preserve">Document Version: 1.0</w:t>
      </w:r>
    </w:p>
    <w:p>
      <w:r>
        <w:br w:type="page"/>
      </w:r>
    </w:p>
    <w:p>
      <w:pPr>
        <w:pStyle w:val="Heading1"/>
        <w:spacing w:after="120" w:before="360"/>
      </w:pPr>
      <w:r>
        <w:rPr>
          <w:rFonts w:ascii="Arial" w:cs="Arial" w:eastAsia="Arial" w:hAnsi="Arial"/>
          <w:b/>
          <w:bCs/>
          <w:color w:val="1B6CA8"/>
          <w:sz w:val="32"/>
          <w:szCs w:val="32"/>
        </w:rPr>
        <w:t xml:space="preserve">1. Purpose of This Document</w:t>
      </w:r>
    </w:p>
    <w:p>
      <w:pPr>
        <w:spacing w:after="120"/>
      </w:pPr>
      <w:r>
        <w:rPr>
          <w:rFonts w:ascii="Arial" w:cs="Arial" w:eastAsia="Arial" w:hAnsi="Arial"/>
          <w:b w:val="false"/>
          <w:bCs w:val="false"/>
          <w:i w:val="false"/>
          <w:iCs w:val="false"/>
          <w:color w:val="1A1A2E"/>
          <w:sz w:val="22"/>
          <w:szCs w:val="22"/>
        </w:rPr>
        <w:t xml:space="preserve">This Stakeholder Analysis identifies all individuals, groups, and organisations affected by or influential in the deployment of the VIF platform. Understanding who the stakeholders are, what they need, and how much influence they hold is essential before any change communication or strategy can be built. This document is written to be fully accessible to Yoyo, our client, who has no prior experience with digital transformation.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What is a Stakeholder?</w:t>
            </w:r>
          </w:p>
          <w:p>
            <w:pPr>
              <w:spacing w:after="0"/>
            </w:pPr>
            <w:r>
              <w:rPr>
                <w:rFonts w:ascii="Arial" w:cs="Arial" w:eastAsia="Arial" w:hAnsi="Arial"/>
                <w:color w:val="1A1A2E"/>
                <w:sz w:val="20"/>
                <w:szCs w:val="20"/>
              </w:rPr>
              <w:t xml:space="preserve">A stakeholder is any person or group who is affected by, or can affect, the success of the VIF project. They can be internal (within the organisation) or external (outside it).</w:t>
            </w:r>
          </w:p>
        </w:tc>
      </w:tr>
    </w:tbl>
    <w:p>
      <w:pPr>
        <w:spacing w:after="160"/>
      </w:pPr>
    </w:p>
    <w:p>
      <w:pPr>
        <w:pStyle w:val="Heading1"/>
        <w:spacing w:after="120" w:before="360"/>
      </w:pPr>
      <w:r>
        <w:rPr>
          <w:rFonts w:ascii="Arial" w:cs="Arial" w:eastAsia="Arial" w:hAnsi="Arial"/>
          <w:b/>
          <w:bCs/>
          <w:color w:val="1B6CA8"/>
          <w:sz w:val="32"/>
          <w:szCs w:val="32"/>
        </w:rPr>
        <w:t xml:space="preserve">2. Stakeholder Identification</w:t>
      </w:r>
    </w:p>
    <w:p>
      <w:pPr>
        <w:pStyle w:val="Heading2"/>
        <w:spacing w:after="80" w:before="240"/>
      </w:pPr>
      <w:r>
        <w:rPr>
          <w:rFonts w:ascii="Arial" w:cs="Arial" w:eastAsia="Arial" w:hAnsi="Arial"/>
          <w:b/>
          <w:bCs/>
          <w:color w:val="1A1A2E"/>
          <w:sz w:val="26"/>
          <w:szCs w:val="26"/>
        </w:rPr>
        <w:t xml:space="preserve">2.1 Internal Stakeholders</w:t>
      </w:r>
    </w:p>
    <w:p>
      <w:pPr>
        <w:spacing w:after="120"/>
      </w:pPr>
      <w:r>
        <w:rPr>
          <w:rFonts w:ascii="Arial" w:cs="Arial" w:eastAsia="Arial" w:hAnsi="Arial"/>
          <w:b w:val="false"/>
          <w:bCs w:val="false"/>
          <w:i w:val="false"/>
          <w:iCs w:val="false"/>
          <w:color w:val="1A1A2E"/>
          <w:sz w:val="22"/>
          <w:szCs w:val="22"/>
        </w:rPr>
        <w:t xml:space="preserve">These are the people working inside the organisations directly involved in developing and deploying VIF.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60"/>
        <w:gridCol w:w="240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1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Department/Entity</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Level of Involvement</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Project Development Team</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Builds and maintains the VIF platform</w:t>
            </w:r>
          </w:p>
        </w:tc>
        <w:tc>
          <w:tcPr>
            <w:tcW w:type="dxa" w:w="24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EPITECH / Development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Very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Engineer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Manages server, APIs, and database logic</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MOD-01 / MOD-02 / MOD-03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High</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Mobile Developer</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Builds the student-facing mobile app</w:t>
            </w:r>
          </w:p>
        </w:tc>
        <w:tc>
          <w:tcPr>
            <w:tcW w:type="dxa" w:w="24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MOD-05</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Legal/Tax Engineer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Ensures Cerfa compliance and tax logic</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DevOps Engineer</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Manages deployment and infrastructure</w:t>
            </w:r>
          </w:p>
        </w:tc>
        <w:tc>
          <w:tcPr>
            <w:tcW w:type="dxa" w:w="24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MOD-02</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Manager (Yoyo)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Client-side oversight of delivery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Yoyo Organisation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Yoyo Finance Team</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Validates tax document outputs</w:t>
            </w:r>
          </w:p>
        </w:tc>
        <w:tc>
          <w:tcPr>
            <w:tcW w:type="dxa" w:w="24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Yoyo Organisation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Academic Jury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Evaluates project for EPITECH graduation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EPITECH Paris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bl>
    <w:p>
      <w:pPr>
        <w:spacing w:after="160"/>
      </w:pPr>
    </w:p>
    <w:p>
      <w:pPr>
        <w:pStyle w:val="Heading2"/>
        <w:spacing w:after="80" w:before="240"/>
      </w:pPr>
      <w:r>
        <w:rPr>
          <w:rFonts w:ascii="Arial" w:cs="Arial" w:eastAsia="Arial" w:hAnsi="Arial"/>
          <w:b/>
          <w:bCs/>
          <w:color w:val="1A1A2E"/>
          <w:sz w:val="26"/>
          <w:szCs w:val="26"/>
        </w:rPr>
        <w:t xml:space="preserve">2.2 External Stakeholders</w:t>
      </w:r>
    </w:p>
    <w:p>
      <w:pPr>
        <w:spacing w:after="120"/>
      </w:pPr>
      <w:r>
        <w:rPr>
          <w:rFonts w:ascii="Arial" w:cs="Arial" w:eastAsia="Arial" w:hAnsi="Arial"/>
          <w:b w:val="false"/>
          <w:bCs w:val="false"/>
          <w:i w:val="false"/>
          <w:iCs w:val="false"/>
          <w:color w:val="1A1A2E"/>
          <w:sz w:val="22"/>
          <w:szCs w:val="22"/>
        </w:rPr>
        <w:t xml:space="preserve">These are parties outside the core team who will use VIF or be impacted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060"/>
        <w:gridCol w:w="2100"/>
      </w:tblGrid>
      <w:tr>
        <w:tc>
          <w:tcPr>
            <w:tcW w:type="dxa" w:w="21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1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Key Interest</w:t>
            </w:r>
          </w:p>
        </w:tc>
        <w:tc>
          <w:tcPr>
            <w:tcW w:type="dxa" w:w="21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Power/Influence</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 (End Users)</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Primary beneficiaries of food drops</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Access to free/discounted food quickly</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 (adoption drives success)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Artisan Bakeries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Food surplus providers &amp; tax claimants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Reduce waste, get tax deductions easily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High (content supply)</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Non-Profit Partner Org</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Legal intermediary for tax deductions</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Mission alignment, compliance</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Very High (legal necessity)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INSEE / French Gov.</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Provides SIRET/SIREN API 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accuracy, security compliance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(regulatory)</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CNIL (Data Authority)</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Enforces GDPR compliance in France</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Privacy of student personal data</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Very High (legal)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University Administrations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Validates student email domains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 student representation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Local Competitors</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Other food-saving apps (Too Good To Go)</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Market positioning</w:t>
            </w:r>
          </w:p>
        </w:tc>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 (indirect)</w:t>
            </w:r>
          </w:p>
        </w:tc>
      </w:tr>
    </w:tbl>
    <w:p>
      <w:pPr>
        <w:spacing w:after="160"/>
      </w:pPr>
    </w:p>
    <w:p>
      <w:pPr>
        <w:pStyle w:val="Heading1"/>
        <w:spacing w:after="120" w:before="360"/>
      </w:pPr>
      <w:r>
        <w:rPr>
          <w:rFonts w:ascii="Arial" w:cs="Arial" w:eastAsia="Arial" w:hAnsi="Arial"/>
          <w:b/>
          <w:bCs/>
          <w:color w:val="1B6CA8"/>
          <w:sz w:val="32"/>
          <w:szCs w:val="32"/>
        </w:rPr>
        <w:t xml:space="preserve">3. Stakeholder Power-Interest Matrix</w:t>
      </w:r>
    </w:p>
    <w:p>
      <w:pPr>
        <w:spacing w:after="120"/>
      </w:pPr>
      <w:r>
        <w:rPr>
          <w:rFonts w:ascii="Arial" w:cs="Arial" w:eastAsia="Arial" w:hAnsi="Arial"/>
          <w:b w:val="false"/>
          <w:bCs w:val="false"/>
          <w:i w:val="false"/>
          <w:iCs w:val="false"/>
          <w:color w:val="1A1A2E"/>
          <w:sz w:val="22"/>
          <w:szCs w:val="22"/>
        </w:rPr>
        <w:t xml:space="preserve">The Power-Interest Matrix helps prioritise how much attention each stakeholder group requires during the change process. It is a standard change management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2400"/>
        <w:gridCol w:w="264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Quadrant</w:t>
            </w:r>
          </w:p>
        </w:tc>
        <w:tc>
          <w:tcPr>
            <w:tcW w:type="dxa" w:w="12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2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Stakeholders</w:t>
            </w:r>
          </w:p>
        </w:tc>
        <w:tc>
          <w:tcPr>
            <w:tcW w:type="dxa" w:w="26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Manage Closely</w:t>
            </w:r>
          </w:p>
        </w:tc>
        <w:tc>
          <w:tcPr>
            <w:tcW w:type="dxa" w:w="12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Bakeries, Non-Profit Partner, Dev Team</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Engage frequently, share updates, seek feedback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Keep Satisfied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INSEE/Gov., CNIL, Academic Jury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 compliance, provide formal reports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Keep Informed</w:t>
            </w:r>
          </w:p>
        </w:tc>
        <w:tc>
          <w:tcPr>
            <w:tcW w:type="dxa" w:w="12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 University Admins</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Regular updates, onboarding guides, FAQs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Competitors, General Public</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 passively, no direct engagement needed</w:t>
            </w:r>
          </w:p>
        </w:tc>
      </w:tr>
    </w:tbl>
    <w:p>
      <w:pPr>
        <w:spacing w:after="160"/>
      </w:pPr>
    </w:p>
    <w:p>
      <w:pPr>
        <w:pStyle w:val="Heading1"/>
        <w:spacing w:after="120" w:before="360"/>
      </w:pPr>
      <w:r>
        <w:rPr>
          <w:rFonts w:ascii="Arial" w:cs="Arial" w:eastAsia="Arial" w:hAnsi="Arial"/>
          <w:b/>
          <w:bCs/>
          <w:color w:val="1B6CA8"/>
          <w:sz w:val="32"/>
          <w:szCs w:val="32"/>
        </w:rPr>
        <w:t xml:space="preserve">4. Stakeholder Needs &amp; Pain Points</w:t>
      </w:r>
    </w:p>
    <w:p>
      <w:pPr>
        <w:pStyle w:val="Heading2"/>
        <w:spacing w:after="80" w:before="240"/>
      </w:pPr>
      <w:r>
        <w:rPr>
          <w:rFonts w:ascii="Arial" w:cs="Arial" w:eastAsia="Arial" w:hAnsi="Arial"/>
          <w:b/>
          <w:bCs/>
          <w:color w:val="1A1A2E"/>
          <w:sz w:val="26"/>
          <w:szCs w:val="26"/>
        </w:rPr>
        <w:t xml:space="preserve">4.1 Students</w:t>
      </w:r>
    </w:p>
    <w:p>
      <w:pPr>
        <w:pStyle w:val="ListParagraph"/>
        <w:numPr>
          <w:ilvl w:val="0"/>
          <w:numId w:val="2"/>
        </w:numPr>
        <w:spacing w:after="60"/>
      </w:pPr>
      <w:r>
        <w:rPr>
          <w:rFonts w:ascii="Arial" w:cs="Arial" w:eastAsia="Arial" w:hAnsi="Arial"/>
          <w:color w:val="1A1A2E"/>
          <w:sz w:val="22"/>
          <w:szCs w:val="22"/>
        </w:rPr>
        <w:t xml:space="preserve">Need: Fast, real-time notification of nearby food availability.</w:t>
      </w:r>
    </w:p>
    <w:p>
      <w:pPr>
        <w:pStyle w:val="ListParagraph"/>
        <w:numPr>
          <w:ilvl w:val="0"/>
          <w:numId w:val="2"/>
        </w:numPr>
        <w:spacing w:after="60"/>
      </w:pPr>
      <w:r>
        <w:rPr>
          <w:rFonts w:ascii="Arial" w:cs="Arial" w:eastAsia="Arial" w:hAnsi="Arial"/>
          <w:color w:val="1A1A2E"/>
          <w:sz w:val="22"/>
          <w:szCs w:val="22"/>
        </w:rPr>
        <w:t xml:space="preserve">Need: Simple, frictionless claim and pickup process.</w:t>
      </w:r>
    </w:p>
    <w:p>
      <w:pPr>
        <w:pStyle w:val="ListParagraph"/>
        <w:numPr>
          <w:ilvl w:val="0"/>
          <w:numId w:val="2"/>
        </w:numPr>
        <w:spacing w:after="60"/>
      </w:pPr>
      <w:r>
        <w:rPr>
          <w:rFonts w:ascii="Arial" w:cs="Arial" w:eastAsia="Arial" w:hAnsi="Arial"/>
          <w:color w:val="1A1A2E"/>
          <w:sz w:val="22"/>
          <w:szCs w:val="22"/>
        </w:rPr>
        <w:t xml:space="preserve">Pain Point: Distrust of new apps — they need a smooth, reliable onboarding experience.</w:t>
      </w:r>
    </w:p>
    <w:p>
      <w:pPr>
        <w:pStyle w:val="ListParagraph"/>
        <w:numPr>
          <w:ilvl w:val="0"/>
          <w:numId w:val="2"/>
        </w:numPr>
        <w:spacing w:after="60"/>
      </w:pPr>
      <w:r>
        <w:rPr>
          <w:rFonts w:ascii="Arial" w:cs="Arial" w:eastAsia="Arial" w:hAnsi="Arial"/>
          <w:color w:val="1A1A2E"/>
          <w:sz w:val="22"/>
          <w:szCs w:val="22"/>
        </w:rPr>
        <w:t xml:space="preserve">Pain Point: Potential shame barrier around claiming free food — UX must be discreet and dignified.</w:t>
      </w:r>
    </w:p>
    <w:p>
      <w:pPr>
        <w:spacing w:after="160"/>
      </w:pPr>
    </w:p>
    <w:p>
      <w:pPr>
        <w:pStyle w:val="Heading2"/>
        <w:spacing w:after="80" w:before="240"/>
      </w:pPr>
      <w:r>
        <w:rPr>
          <w:rFonts w:ascii="Arial" w:cs="Arial" w:eastAsia="Arial" w:hAnsi="Arial"/>
          <w:b/>
          <w:bCs/>
          <w:color w:val="1A1A2E"/>
          <w:sz w:val="26"/>
          <w:szCs w:val="26"/>
        </w:rPr>
        <w:t xml:space="preserve">4.2 Artisan Bakeries</w:t>
      </w:r>
    </w:p>
    <w:p>
      <w:pPr>
        <w:pStyle w:val="ListParagraph"/>
        <w:numPr>
          <w:ilvl w:val="0"/>
          <w:numId w:val="3"/>
        </w:numPr>
        <w:spacing w:after="60"/>
      </w:pPr>
      <w:r>
        <w:rPr>
          <w:rFonts w:ascii="Arial" w:cs="Arial" w:eastAsia="Arial" w:hAnsi="Arial"/>
          <w:color w:val="1A1A2E"/>
          <w:sz w:val="22"/>
          <w:szCs w:val="22"/>
        </w:rPr>
        <w:t xml:space="preserve">Need: Minimal administrative burden — they are small business owners with limited time.</w:t>
      </w:r>
    </w:p>
    <w:p>
      <w:pPr>
        <w:pStyle w:val="ListParagraph"/>
        <w:numPr>
          <w:ilvl w:val="0"/>
          <w:numId w:val="3"/>
        </w:numPr>
        <w:spacing w:after="60"/>
      </w:pPr>
      <w:r>
        <w:rPr>
          <w:rFonts w:ascii="Arial" w:cs="Arial" w:eastAsia="Arial" w:hAnsi="Arial"/>
          <w:color w:val="1A1A2E"/>
          <w:sz w:val="22"/>
          <w:szCs w:val="22"/>
        </w:rPr>
        <w:t xml:space="preserve">Need: Legal certainty that their Cerfa documents will be accepted by tax authorities.</w:t>
      </w:r>
    </w:p>
    <w:p>
      <w:pPr>
        <w:pStyle w:val="ListParagraph"/>
        <w:numPr>
          <w:ilvl w:val="0"/>
          <w:numId w:val="3"/>
        </w:numPr>
        <w:spacing w:after="60"/>
      </w:pPr>
      <w:r>
        <w:rPr>
          <w:rFonts w:ascii="Arial" w:cs="Arial" w:eastAsia="Arial" w:hAnsi="Arial"/>
          <w:color w:val="1A1A2E"/>
          <w:sz w:val="22"/>
          <w:szCs w:val="22"/>
        </w:rPr>
        <w:t xml:space="preserve">Pain Point: End-of-day waste is costly but current donation logistics are too complex.</w:t>
      </w:r>
    </w:p>
    <w:p>
      <w:pPr>
        <w:pStyle w:val="ListParagraph"/>
        <w:numPr>
          <w:ilvl w:val="0"/>
          <w:numId w:val="3"/>
        </w:numPr>
        <w:spacing w:after="60"/>
      </w:pPr>
      <w:r>
        <w:rPr>
          <w:rFonts w:ascii="Arial" w:cs="Arial" w:eastAsia="Arial" w:hAnsi="Arial"/>
          <w:color w:val="1A1A2E"/>
          <w:sz w:val="22"/>
          <w:szCs w:val="22"/>
        </w:rPr>
        <w:t xml:space="preserve">Pain Point: Fear of adopting new technology — they need hands-on onboarding and ongoing support.</w:t>
      </w:r>
    </w:p>
    <w:p>
      <w:pPr>
        <w:spacing w:after="160"/>
      </w:pPr>
    </w:p>
    <w:p>
      <w:pPr>
        <w:pStyle w:val="Heading2"/>
        <w:spacing w:after="80" w:before="240"/>
      </w:pPr>
      <w:r>
        <w:rPr>
          <w:rFonts w:ascii="Arial" w:cs="Arial" w:eastAsia="Arial" w:hAnsi="Arial"/>
          <w:b/>
          <w:bCs/>
          <w:color w:val="1A1A2E"/>
          <w:sz w:val="26"/>
          <w:szCs w:val="26"/>
        </w:rPr>
        <w:t xml:space="preserve">4.3 Non-Profit Partner</w:t>
      </w:r>
    </w:p>
    <w:p>
      <w:pPr>
        <w:pStyle w:val="ListParagraph"/>
        <w:numPr>
          <w:ilvl w:val="0"/>
          <w:numId w:val="4"/>
        </w:numPr>
        <w:spacing w:after="60"/>
      </w:pPr>
      <w:r>
        <w:rPr>
          <w:rFonts w:ascii="Arial" w:cs="Arial" w:eastAsia="Arial" w:hAnsi="Arial"/>
          <w:color w:val="1A1A2E"/>
          <w:sz w:val="22"/>
          <w:szCs w:val="22"/>
        </w:rPr>
        <w:t xml:space="preserve">Need: The platform must correctly implement the legal intermediary model to avoid liability.</w:t>
      </w:r>
    </w:p>
    <w:p>
      <w:pPr>
        <w:pStyle w:val="ListParagraph"/>
        <w:numPr>
          <w:ilvl w:val="0"/>
          <w:numId w:val="4"/>
        </w:numPr>
        <w:spacing w:after="60"/>
      </w:pPr>
      <w:r>
        <w:rPr>
          <w:rFonts w:ascii="Arial" w:cs="Arial" w:eastAsia="Arial" w:hAnsi="Arial"/>
          <w:color w:val="1A1A2E"/>
          <w:sz w:val="22"/>
          <w:szCs w:val="22"/>
        </w:rPr>
        <w:t xml:space="preserve">Need: Transparent auditing of all transactions they co-sign.</w:t>
      </w:r>
    </w:p>
    <w:p>
      <w:pPr>
        <w:pStyle w:val="ListParagraph"/>
        <w:numPr>
          <w:ilvl w:val="0"/>
          <w:numId w:val="4"/>
        </w:numPr>
        <w:spacing w:after="60"/>
      </w:pPr>
      <w:r>
        <w:rPr>
          <w:rFonts w:ascii="Arial" w:cs="Arial" w:eastAsia="Arial" w:hAnsi="Arial"/>
          <w:color w:val="1A1A2E"/>
          <w:sz w:val="22"/>
          <w:szCs w:val="22"/>
        </w:rPr>
        <w:t xml:space="preserve">Pain Point: Risk of reputational damage if the platform issues incorrect tax documents.</w:t>
      </w:r>
    </w:p>
    <w:p>
      <w:pPr>
        <w:spacing w:after="160"/>
      </w:pPr>
    </w:p>
    <w:p>
      <w:pPr>
        <w:pStyle w:val="Heading1"/>
        <w:spacing w:after="120" w:before="360"/>
      </w:pPr>
      <w:r>
        <w:rPr>
          <w:rFonts w:ascii="Arial" w:cs="Arial" w:eastAsia="Arial" w:hAnsi="Arial"/>
          <w:b/>
          <w:bCs/>
          <w:color w:val="1B6CA8"/>
          <w:sz w:val="32"/>
          <w:szCs w:val="32"/>
        </w:rPr>
        <w:t xml:space="preserve">5. Change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Stakeholder Group</w:t>
            </w:r>
          </w:p>
        </w:tc>
        <w:tc>
          <w:tcPr>
            <w:tcW w:type="dxa" w:w="2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Current Awareness</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Likely Resistance Level</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Change Readiness Score (1-5)</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Development Team</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Very High</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Very Low</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5 /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Artisan Bakeries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 5</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Low-Medium</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3 /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Non-Profit Partner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 5</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Yoyo (Client)</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4 /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Academic Jury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 5</w:t>
            </w:r>
          </w:p>
        </w:tc>
      </w:tr>
    </w:tbl>
    <w:p>
      <w:pPr>
        <w:spacing w:after="160"/>
      </w:pPr>
    </w:p>
    <w:p>
      <w:pPr>
        <w:pStyle w:val="Heading1"/>
        <w:spacing w:after="120" w:before="360"/>
      </w:pPr>
      <w:r>
        <w:rPr>
          <w:rFonts w:ascii="Arial" w:cs="Arial" w:eastAsia="Arial" w:hAnsi="Arial"/>
          <w:b/>
          <w:bCs/>
          <w:color w:val="1B6CA8"/>
          <w:sz w:val="32"/>
          <w:szCs w:val="32"/>
        </w:rPr>
        <w:t xml:space="preserve">6. Conclusion &amp; Recommendations</w:t>
      </w:r>
    </w:p>
    <w:p>
      <w:pPr>
        <w:spacing w:after="120"/>
      </w:pPr>
      <w:r>
        <w:rPr>
          <w:rFonts w:ascii="Arial" w:cs="Arial" w:eastAsia="Arial" w:hAnsi="Arial"/>
          <w:b w:val="false"/>
          <w:bCs w:val="false"/>
          <w:i w:val="false"/>
          <w:iCs w:val="false"/>
          <w:color w:val="1A1A2E"/>
          <w:sz w:val="22"/>
          <w:szCs w:val="22"/>
        </w:rPr>
        <w:t xml:space="preserve">The VIF project involves a diverse and complex stakeholder landscape. The most critical relationships to manage are with artisan bakeries and the non-profit partner, as both are essential to the platform's legal and operational functioning. We recommend:</w:t>
      </w:r>
    </w:p>
    <w:p>
      <w:pPr>
        <w:pStyle w:val="ListParagraph"/>
        <w:numPr>
          <w:ilvl w:val="0"/>
          <w:numId w:val="5"/>
        </w:numPr>
        <w:spacing w:after="60"/>
      </w:pPr>
      <w:r>
        <w:rPr>
          <w:rFonts w:ascii="Arial" w:cs="Arial" w:eastAsia="Arial" w:hAnsi="Arial"/>
          <w:color w:val="1A1A2E"/>
          <w:sz w:val="22"/>
          <w:szCs w:val="22"/>
        </w:rPr>
        <w:t xml:space="preserve">Hosting bakery onboarding workshops before launch, with hands-on demos.</w:t>
      </w:r>
    </w:p>
    <w:p>
      <w:pPr>
        <w:pStyle w:val="ListParagraph"/>
        <w:numPr>
          <w:ilvl w:val="0"/>
          <w:numId w:val="5"/>
        </w:numPr>
        <w:spacing w:after="60"/>
      </w:pPr>
      <w:r>
        <w:rPr>
          <w:rFonts w:ascii="Arial" w:cs="Arial" w:eastAsia="Arial" w:hAnsi="Arial"/>
          <w:color w:val="1A1A2E"/>
          <w:sz w:val="22"/>
          <w:szCs w:val="22"/>
        </w:rPr>
        <w:t xml:space="preserve">Establishing a formal MOU (Memorandum of Understanding) with the non-profit partner early.</w:t>
      </w:r>
    </w:p>
    <w:p>
      <w:pPr>
        <w:pStyle w:val="ListParagraph"/>
        <w:numPr>
          <w:ilvl w:val="0"/>
          <w:numId w:val="5"/>
        </w:numPr>
        <w:spacing w:after="60"/>
      </w:pPr>
      <w:r>
        <w:rPr>
          <w:rFonts w:ascii="Arial" w:cs="Arial" w:eastAsia="Arial" w:hAnsi="Arial"/>
          <w:color w:val="1A1A2E"/>
          <w:sz w:val="22"/>
          <w:szCs w:val="22"/>
        </w:rPr>
        <w:t xml:space="preserve">Creating dedicated student onboarding flows with a focus on privacy and dignity.</w:t>
      </w:r>
    </w:p>
    <w:p>
      <w:pPr>
        <w:pStyle w:val="ListParagraph"/>
        <w:numPr>
          <w:ilvl w:val="0"/>
          <w:numId w:val="5"/>
        </w:numPr>
        <w:spacing w:after="60"/>
      </w:pPr>
      <w:r>
        <w:rPr>
          <w:rFonts w:ascii="Arial" w:cs="Arial" w:eastAsia="Arial" w:hAnsi="Arial"/>
          <w:color w:val="1A1A2E"/>
          <w:sz w:val="22"/>
          <w:szCs w:val="22"/>
        </w:rPr>
        <w:t xml:space="preserve">Appointing a single point of contact at Yoyo for regulatory and CNIL-related queries.</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tabs>
        <w:tab w:val="right" w:pos="9360"/>
      </w:tabs>
      <w:spacing w:before="80"/>
    </w:pPr>
    <w:r>
      <w:rPr>
        <w:rFonts w:ascii="Arial" w:cs="Arial" w:eastAsia="Arial" w:hAnsi="Arial"/>
        <w:color w:val="666666"/>
        <w:sz w:val="16"/>
        <w:szCs w:val="16"/>
      </w:rPr>
      <w:t xml:space="preserve">VIF Change Management  |  EPITECH Paris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spacing w:after="80"/>
    </w:pPr>
    <w:r>
      <w:rPr>
        <w:rFonts w:ascii="Arial" w:cs="Arial" w:eastAsia="Arial" w:hAnsi="Arial"/>
        <w:b/>
        <w:bCs/>
        <w:color w:val="1B6CA8"/>
        <w:sz w:val="20"/>
        <w:szCs w:val="20"/>
      </w:rPr>
      <w:t xml:space="preserve">VIF</w:t>
    </w:r>
    <w:r>
      <w:rPr>
        <w:rFonts w:ascii="Arial" w:cs="Arial" w:eastAsia="Arial" w:hAnsi="Arial"/>
        <w:color w:val="666666"/>
        <w:sz w:val="18"/>
        <w:szCs w:val="18"/>
      </w:rPr>
      <w:t xml:space="preserve">  |  Stakeholder Analysis</w:t>
    </w:r>
    <w:r>
      <w:rPr>
        <w:rFonts w:ascii="Arial" w:cs="Arial" w:eastAsia="Arial" w:hAnsi="Arial"/>
        <w:i/>
        <w:iCs/>
        <w:color w:val="666666"/>
        <w:sz w:val="16"/>
        <w:szCs w:val="16"/>
      </w:rPr>
      <w:t xml:space="preserve">  —  Milestone 1 — Before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CA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2026-05-26T18:06:00.654Z</dcterms:created>
  <dcterms:modified xsi:type="dcterms:W3CDTF">2026-05-26T18:06:00.669Z</dcterms:modified>
</cp:coreProperties>
</file>

<file path=docProps/custom.xml><?xml version="1.0" encoding="utf-8"?>
<Properties xmlns="http://schemas.openxmlformats.org/officeDocument/2006/custom-properties" xmlns:vt="http://schemas.openxmlformats.org/officeDocument/2006/docPropsVTypes"/>
</file>