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Change Management Strategy</w:t>
      </w:r>
    </w:p>
    <w:p>
      <w:pPr>
        <w:spacing w:after="480"/>
      </w:pPr>
      <w:r>
        <w:rPr>
          <w:rFonts w:ascii="Arial" w:cs="Arial" w:eastAsia="Arial" w:hAnsi="Arial"/>
          <w:i/>
          <w:iCs/>
          <w:color w:val="666666"/>
          <w:sz w:val="28"/>
          <w:szCs w:val="28"/>
        </w:rPr>
        <w:t xml:space="preserve">Strategic Framework for the VIF Digital Transformation Rollout</w:t>
      </w:r>
    </w:p>
    <w:p>
      <w:pPr>
        <w:spacing w:after="120"/>
      </w:pPr>
      <w:r>
        <w:rPr>
          <w:rFonts w:ascii="Arial" w:cs="Arial" w:eastAsia="Arial" w:hAnsi="Arial"/>
          <w:b/>
          <w:bCs/>
          <w:color w:val="E07B28"/>
          <w:sz w:val="24"/>
          <w:szCs w:val="24"/>
        </w:rPr>
        <w:t xml:space="preserve">Milestone 1 (Before) — Document 2 of 3</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1. Introduction</w:t>
      </w:r>
    </w:p>
    <w:p>
      <w:pPr>
        <w:spacing w:after="120"/>
      </w:pPr>
      <w:r>
        <w:rPr>
          <w:rFonts w:ascii="Arial" w:cs="Arial" w:eastAsia="Arial" w:hAnsi="Arial"/>
          <w:b w:val="false"/>
          <w:bCs w:val="false"/>
          <w:i w:val="false"/>
          <w:iCs w:val="false"/>
          <w:color w:val="1A1A2E"/>
          <w:sz w:val="22"/>
          <w:szCs w:val="22"/>
        </w:rPr>
        <w:t xml:space="preserve">This document defines the change management strategy for the VIF project — the deployment of a real-time food security and tax deduction platform connecting bakeries and students in Paris. It is designed to guide all actions taken before, during, and after the digital transformation, ensuring that all stakeholders — especially those with no prior technology experience — are prepared, engaged, and supported.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A Note for Yoyo</w:t>
            </w:r>
          </w:p>
          <w:p>
            <w:pPr>
              <w:spacing w:after="0"/>
            </w:pPr>
            <w:r>
              <w:rPr>
                <w:rFonts w:ascii="Arial" w:cs="Arial" w:eastAsia="Arial" w:hAnsi="Arial"/>
                <w:color w:val="1A1A2E"/>
                <w:sz w:val="20"/>
                <w:szCs w:val="20"/>
              </w:rPr>
              <w:t xml:space="preserve">Change management is the discipline of helping people successfully adopt new tools, processes, and behaviours. Without it, even the best technology fails. This document is your roadmap for making VIF succeed not just technically, but humanly.</w:t>
            </w:r>
          </w:p>
        </w:tc>
      </w:tr>
    </w:tbl>
    <w:p>
      <w:pPr>
        <w:spacing w:after="160"/>
      </w:pPr>
    </w:p>
    <w:p>
      <w:pPr>
        <w:pStyle w:val="Heading1"/>
        <w:spacing w:after="120" w:before="360"/>
      </w:pPr>
      <w:r>
        <w:rPr>
          <w:rFonts w:ascii="Arial" w:cs="Arial" w:eastAsia="Arial" w:hAnsi="Arial"/>
          <w:b/>
          <w:bCs/>
          <w:color w:val="1B6CA8"/>
          <w:sz w:val="32"/>
          <w:szCs w:val="32"/>
        </w:rPr>
        <w:t xml:space="preserve">2. Chosen Change Model: ADKAR</w:t>
      </w:r>
    </w:p>
    <w:p>
      <w:pPr>
        <w:spacing w:after="120"/>
      </w:pPr>
      <w:r>
        <w:rPr>
          <w:rFonts w:ascii="Arial" w:cs="Arial" w:eastAsia="Arial" w:hAnsi="Arial"/>
          <w:b w:val="false"/>
          <w:bCs w:val="false"/>
          <w:i w:val="false"/>
          <w:iCs w:val="false"/>
          <w:color w:val="1A1A2E"/>
          <w:sz w:val="22"/>
          <w:szCs w:val="22"/>
        </w:rPr>
        <w:t xml:space="preserve">After reviewing several change management frameworks, we have selected the ADKAR model, developed by Prosci. ADKAR is ideal for VIF because it focuses on the individual — the student, the baker — rather than the organisation, which matches our context of onboarding independent small businesses and a diverse student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c>
          <w:tcPr>
            <w:tcW w:type="dxa" w:w="21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ADKAR Phase</w:t>
            </w:r>
          </w:p>
        </w:tc>
        <w:tc>
          <w:tcPr>
            <w:tcW w:type="dxa" w:w="32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0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VIF Application</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 — Awareness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People understand why the change is needed</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Explain food waste crisis and tax complexity to bakeries; explain food insecurity to partner orgs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 — Desire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People want to participate in the change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bakeries the financial benefit; show students the immediate practical benefit</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 — Knowledge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People know how to make the change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Training videos, onboarding guides, FAQ documents, in-app tutorials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 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People can apply their knowledge in practice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demos, pilot testing period, dedicated support channel</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 — Reinforcement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The change sticks over time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Karma system for students, monthly tax reports for bakeries, impact dashboards</w:t>
            </w:r>
          </w:p>
        </w:tc>
      </w:tr>
    </w:tbl>
    <w:p>
      <w:pPr>
        <w:spacing w:after="160"/>
      </w:pPr>
    </w:p>
    <w:p>
      <w:pPr>
        <w:pStyle w:val="Heading1"/>
        <w:spacing w:after="120" w:before="360"/>
      </w:pPr>
      <w:r>
        <w:rPr>
          <w:rFonts w:ascii="Arial" w:cs="Arial" w:eastAsia="Arial" w:hAnsi="Arial"/>
          <w:b/>
          <w:bCs/>
          <w:color w:val="1B6CA8"/>
          <w:sz w:val="32"/>
          <w:szCs w:val="32"/>
        </w:rPr>
        <w:t xml:space="preserve">3. Change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Our Vision</w:t>
            </w:r>
          </w:p>
          <w:p>
            <w:pPr>
              <w:spacing w:after="0"/>
            </w:pPr>
            <w:r>
              <w:rPr>
                <w:rFonts w:ascii="Arial" w:cs="Arial" w:eastAsia="Arial" w:hAnsi="Arial"/>
                <w:color w:val="1A1A2E"/>
                <w:sz w:val="20"/>
                <w:szCs w:val="20"/>
              </w:rPr>
              <w:t xml:space="preserve">VIF exists to eliminate food insecurity for students and administrative burden for bakers in one seamless, legally compliant action. Every surplus baguette becomes a meal for a student and a tax saving for a baker — automatically, instantly, and with zero paperwork.</w:t>
            </w:r>
          </w:p>
        </w:tc>
      </w:tr>
    </w:tbl>
    <w:p>
      <w:pPr>
        <w:spacing w:after="160"/>
      </w:pPr>
    </w:p>
    <w:p>
      <w:pPr>
        <w:pStyle w:val="Heading1"/>
        <w:spacing w:after="120" w:before="360"/>
      </w:pPr>
      <w:r>
        <w:rPr>
          <w:rFonts w:ascii="Arial" w:cs="Arial" w:eastAsia="Arial" w:hAnsi="Arial"/>
          <w:b/>
          <w:bCs/>
          <w:color w:val="1B6CA8"/>
          <w:sz w:val="32"/>
          <w:szCs w:val="32"/>
        </w:rPr>
        <w:t xml:space="preserve">4. Change Objectives</w:t>
      </w:r>
    </w:p>
    <w:p>
      <w:pPr>
        <w:pStyle w:val="ListParagraph"/>
        <w:numPr>
          <w:ilvl w:val="0"/>
          <w:numId w:val="2"/>
        </w:numPr>
        <w:spacing w:after="60"/>
      </w:pPr>
      <w:r>
        <w:rPr>
          <w:rFonts w:ascii="Arial" w:cs="Arial" w:eastAsia="Arial" w:hAnsi="Arial"/>
          <w:color w:val="1A1A2E"/>
          <w:sz w:val="22"/>
          <w:szCs w:val="22"/>
        </w:rPr>
        <w:t xml:space="preserve">Achieve 80% verified student account activation within 3 months of launch.</w:t>
      </w:r>
    </w:p>
    <w:p>
      <w:pPr>
        <w:pStyle w:val="ListParagraph"/>
        <w:numPr>
          <w:ilvl w:val="0"/>
          <w:numId w:val="2"/>
        </w:numPr>
        <w:spacing w:after="60"/>
      </w:pPr>
      <w:r>
        <w:rPr>
          <w:rFonts w:ascii="Arial" w:cs="Arial" w:eastAsia="Arial" w:hAnsi="Arial"/>
          <w:color w:val="1A1A2E"/>
          <w:sz w:val="22"/>
          <w:szCs w:val="22"/>
        </w:rPr>
        <w:t xml:space="preserve">Onboard a minimum of 20 artisan bakeries in Paris within the first 2 months.</w:t>
      </w:r>
    </w:p>
    <w:p>
      <w:pPr>
        <w:pStyle w:val="ListParagraph"/>
        <w:numPr>
          <w:ilvl w:val="0"/>
          <w:numId w:val="2"/>
        </w:numPr>
        <w:spacing w:after="60"/>
      </w:pPr>
      <w:r>
        <w:rPr>
          <w:rFonts w:ascii="Arial" w:cs="Arial" w:eastAsia="Arial" w:hAnsi="Arial"/>
          <w:color w:val="1A1A2E"/>
          <w:sz w:val="22"/>
          <w:szCs w:val="22"/>
        </w:rPr>
        <w:t xml:space="preserve">Generate zero legal disputes regarding Cerfa documents in Year 1.</w:t>
      </w:r>
    </w:p>
    <w:p>
      <w:pPr>
        <w:pStyle w:val="ListParagraph"/>
        <w:numPr>
          <w:ilvl w:val="0"/>
          <w:numId w:val="2"/>
        </w:numPr>
        <w:spacing w:after="60"/>
      </w:pPr>
      <w:r>
        <w:rPr>
          <w:rFonts w:ascii="Arial" w:cs="Arial" w:eastAsia="Arial" w:hAnsi="Arial"/>
          <w:color w:val="1A1A2E"/>
          <w:sz w:val="22"/>
          <w:szCs w:val="22"/>
        </w:rPr>
        <w:t xml:space="preserve">Reach a Karma score average above 75 across the student user base, indicating reliable platform use.</w:t>
      </w:r>
    </w:p>
    <w:p>
      <w:pPr>
        <w:pStyle w:val="ListParagraph"/>
        <w:numPr>
          <w:ilvl w:val="0"/>
          <w:numId w:val="2"/>
        </w:numPr>
        <w:spacing w:after="60"/>
      </w:pPr>
      <w:r>
        <w:rPr>
          <w:rFonts w:ascii="Arial" w:cs="Arial" w:eastAsia="Arial" w:hAnsi="Arial"/>
          <w:color w:val="1A1A2E"/>
          <w:sz w:val="22"/>
          <w:szCs w:val="22"/>
        </w:rPr>
        <w:t xml:space="preserve">Receive jury validation of full legal and technical feasibility at EPITECH presentation.</w:t>
      </w:r>
    </w:p>
    <w:p>
      <w:pPr>
        <w:spacing w:after="160"/>
      </w:pPr>
    </w:p>
    <w:p>
      <w:pPr>
        <w:pStyle w:val="Heading1"/>
        <w:spacing w:after="120" w:before="360"/>
      </w:pPr>
      <w:r>
        <w:rPr>
          <w:rFonts w:ascii="Arial" w:cs="Arial" w:eastAsia="Arial" w:hAnsi="Arial"/>
          <w:b/>
          <w:bCs/>
          <w:color w:val="1B6CA8"/>
          <w:sz w:val="32"/>
          <w:szCs w:val="32"/>
        </w:rPr>
        <w:t xml:space="preserve">5. Risk Register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4320"/>
      </w:tblGrid>
      <w:tr>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3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 resist technology adoption</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In-person onboarding workshops; assign dedicated bakery success contact; provide paper backup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'ghosting' undermines supply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Karma system + 20-min automated rollback; progressive penalties; gamification of reliability</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CNIL data protection challenge</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GDPR-by-design architecture; DPO consultation; clear consent flows on all data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 partner backs out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MOU signed before launch; identify backup partner; legal review of intermediary model</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Tax document rejected by authorities</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Engage chartered accountant for Cerfa template review; pilot with 2-3 bakeries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student awareness of platform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Campus ambassador program; student union partnerships; social media campaign</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Platform downtime during rush hour (5-7pm)</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Redis caching; load testing; cloud auto-scaling; SLA with hosting provider</w:t>
            </w:r>
          </w:p>
        </w:tc>
      </w:tr>
    </w:tbl>
    <w:p>
      <w:pPr>
        <w:spacing w:after="160"/>
      </w:pPr>
    </w:p>
    <w:p>
      <w:pPr>
        <w:pStyle w:val="Heading1"/>
        <w:spacing w:after="120" w:before="360"/>
      </w:pPr>
      <w:r>
        <w:rPr>
          <w:rFonts w:ascii="Arial" w:cs="Arial" w:eastAsia="Arial" w:hAnsi="Arial"/>
          <w:b/>
          <w:bCs/>
          <w:color w:val="1B6CA8"/>
          <w:sz w:val="32"/>
          <w:szCs w:val="32"/>
        </w:rPr>
        <w:t xml:space="preserve">6. Change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360"/>
        <w:gridCol w:w="276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Phase 0: Preparation</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Weeks 1-2</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Stakeholder mapping, legal review, partner MOU, team alignment</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All key stakeholders identified and contacted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Awareness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 campaign launch, bakery outreach, campus poster campaign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of target bakeries aware of VIF</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Phase 2: Onboarding</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Weeks 5-8</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sign-up workshops, student app beta, SIRET verification testing</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10 bakeries onboarded, 100 students in beta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Pilot Launch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9-10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Controlled live deployment in 1 arrondissement, real Pulses tested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critical bugs, first Cerfa documents generated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Phase 4: Full Rollout</w:t>
            </w:r>
          </w:p>
        </w:tc>
        <w:tc>
          <w:tcPr>
            <w:tcW w:type="dxa" w:w="14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Weeks 11-16</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Citywide expansion, all features live, support channel active</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KPI targets met (see Section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Reinforcement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Ongoing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tax reports, impact dashboards, user feedback cycles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Sustained engagement, zero legal disputes</w:t>
            </w:r>
          </w:p>
        </w:tc>
      </w:tr>
    </w:tbl>
    <w:p>
      <w:pPr>
        <w:spacing w:after="160"/>
      </w:pPr>
    </w:p>
    <w:p>
      <w:pPr>
        <w:pStyle w:val="Heading1"/>
        <w:spacing w:after="120" w:before="360"/>
      </w:pPr>
      <w:r>
        <w:rPr>
          <w:rFonts w:ascii="Arial" w:cs="Arial" w:eastAsia="Arial" w:hAnsi="Arial"/>
          <w:b/>
          <w:bCs/>
          <w:color w:val="1B6CA8"/>
          <w:sz w:val="32"/>
          <w:szCs w:val="32"/>
        </w:rPr>
        <w:t xml:space="preserve">7. Budget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Estimated Cost (EUR)</w:t>
            </w:r>
          </w:p>
        </w:tc>
        <w:tc>
          <w:tcPr>
            <w:tcW w:type="dxa" w:w="3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Hosting &amp; Infrastructure (Cloud)</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120 / month</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FastAPI server, PostgreSQL, Redis, FCM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 Review (Cerfa Template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 — 1,500 one-time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Chartered accountant or legal consultant</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Onboarding Events (x3 workshops)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300 — 600 total</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Venue, refreshments, printed guides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Campus Ambassador Program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 1,000 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Incentive payments or vouchers</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Design &amp; Branding (App + Materials)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400 — 800 one-time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Figma designer or freelancer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Contingency Reserve (10%)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unforeseen operational needs</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TOTAL ESTIMATED (Year 1)</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~4,000 — 6,000 EUR</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Excluding development team salaries</w:t>
            </w:r>
          </w:p>
        </w:tc>
      </w:tr>
    </w:tbl>
    <w:p>
      <w:pPr>
        <w:spacing w:after="160"/>
      </w:pPr>
    </w:p>
    <w:p>
      <w:pPr>
        <w:pStyle w:val="Heading1"/>
        <w:spacing w:after="120" w:before="360"/>
      </w:pPr>
      <w:r>
        <w:rPr>
          <w:rFonts w:ascii="Arial" w:cs="Arial" w:eastAsia="Arial" w:hAnsi="Arial"/>
          <w:b/>
          <w:bCs/>
          <w:color w:val="1B6CA8"/>
          <w:sz w:val="32"/>
          <w:szCs w:val="32"/>
        </w:rPr>
        <w:t xml:space="preserve">8. Success Metrics</w:t>
      </w:r>
    </w:p>
    <w:p>
      <w:pPr>
        <w:spacing w:after="120"/>
      </w:pPr>
      <w:r>
        <w:rPr>
          <w:rFonts w:ascii="Arial" w:cs="Arial" w:eastAsia="Arial" w:hAnsi="Arial"/>
          <w:b w:val="false"/>
          <w:bCs w:val="false"/>
          <w:i w:val="false"/>
          <w:iCs w:val="false"/>
          <w:color w:val="1A1A2E"/>
          <w:sz w:val="22"/>
          <w:szCs w:val="22"/>
        </w:rPr>
        <w:t xml:space="preserve">The following metrics will be tracked in the VIF admin dashboard and reported monthly to Yoyo:</w:t>
      </w:r>
    </w:p>
    <w:p>
      <w:pPr>
        <w:pStyle w:val="ListParagraph"/>
        <w:numPr>
          <w:ilvl w:val="0"/>
          <w:numId w:val="3"/>
        </w:numPr>
        <w:spacing w:after="60"/>
      </w:pPr>
      <w:r>
        <w:rPr>
          <w:rFonts w:ascii="Arial" w:cs="Arial" w:eastAsia="Arial" w:hAnsi="Arial"/>
          <w:color w:val="1A1A2E"/>
          <w:sz w:val="22"/>
          <w:szCs w:val="22"/>
        </w:rPr>
        <w:t xml:space="preserve">Number of active bakeries on the platform.</w:t>
      </w:r>
    </w:p>
    <w:p>
      <w:pPr>
        <w:pStyle w:val="ListParagraph"/>
        <w:numPr>
          <w:ilvl w:val="0"/>
          <w:numId w:val="3"/>
        </w:numPr>
        <w:spacing w:after="60"/>
      </w:pPr>
      <w:r>
        <w:rPr>
          <w:rFonts w:ascii="Arial" w:cs="Arial" w:eastAsia="Arial" w:hAnsi="Arial"/>
          <w:color w:val="1A1A2E"/>
          <w:sz w:val="22"/>
          <w:szCs w:val="22"/>
        </w:rPr>
        <w:t xml:space="preserve">Number of verified student accounts.</w:t>
      </w:r>
    </w:p>
    <w:p>
      <w:pPr>
        <w:pStyle w:val="ListParagraph"/>
        <w:numPr>
          <w:ilvl w:val="0"/>
          <w:numId w:val="3"/>
        </w:numPr>
        <w:spacing w:after="60"/>
      </w:pPr>
      <w:r>
        <w:rPr>
          <w:rFonts w:ascii="Arial" w:cs="Arial" w:eastAsia="Arial" w:hAnsi="Arial"/>
          <w:color w:val="1A1A2E"/>
          <w:sz w:val="22"/>
          <w:szCs w:val="22"/>
        </w:rPr>
        <w:t xml:space="preserve">Average Karma score (target: &gt;75).</w:t>
      </w:r>
    </w:p>
    <w:p>
      <w:pPr>
        <w:pStyle w:val="ListParagraph"/>
        <w:numPr>
          <w:ilvl w:val="0"/>
          <w:numId w:val="3"/>
        </w:numPr>
        <w:spacing w:after="60"/>
      </w:pPr>
      <w:r>
        <w:rPr>
          <w:rFonts w:ascii="Arial" w:cs="Arial" w:eastAsia="Arial" w:hAnsi="Arial"/>
          <w:color w:val="1A1A2E"/>
          <w:sz w:val="22"/>
          <w:szCs w:val="22"/>
        </w:rPr>
        <w:t xml:space="preserve">Number of Cerfa documents generated and accepted.</w:t>
      </w:r>
    </w:p>
    <w:p>
      <w:pPr>
        <w:pStyle w:val="ListParagraph"/>
        <w:numPr>
          <w:ilvl w:val="0"/>
          <w:numId w:val="3"/>
        </w:numPr>
        <w:spacing w:after="60"/>
      </w:pPr>
      <w:r>
        <w:rPr>
          <w:rFonts w:ascii="Arial" w:cs="Arial" w:eastAsia="Arial" w:hAnsi="Arial"/>
          <w:color w:val="1A1A2E"/>
          <w:sz w:val="22"/>
          <w:szCs w:val="22"/>
        </w:rPr>
        <w:t xml:space="preserve">Average geofenced lookup response time (target: &lt;200ms).</w:t>
      </w:r>
    </w:p>
    <w:p>
      <w:pPr>
        <w:pStyle w:val="ListParagraph"/>
        <w:numPr>
          <w:ilvl w:val="0"/>
          <w:numId w:val="3"/>
        </w:numPr>
        <w:spacing w:after="60"/>
      </w:pPr>
      <w:r>
        <w:rPr>
          <w:rFonts w:ascii="Arial" w:cs="Arial" w:eastAsia="Arial" w:hAnsi="Arial"/>
          <w:color w:val="1A1A2E"/>
          <w:sz w:val="22"/>
          <w:szCs w:val="22"/>
        </w:rPr>
        <w:t xml:space="preserve">Pulse claim-to-pickup conversion rate (target: &gt;85%).</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Change Management Strategy</w:t>
    </w:r>
    <w:r>
      <w:rPr>
        <w:rFonts w:ascii="Arial" w:cs="Arial" w:eastAsia="Arial" w:hAnsi="Arial"/>
        <w:i/>
        <w:iCs/>
        <w:color w:val="666666"/>
        <w:sz w:val="16"/>
        <w:szCs w:val="16"/>
      </w:rPr>
      <w:t xml:space="preserve">  —  Milestone 1 — Before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2026-05-26T18:06:01.069Z</dcterms:created>
  <dcterms:modified xsi:type="dcterms:W3CDTF">2026-05-26T18:06:01.069Z</dcterms:modified>
</cp:coreProperties>
</file>

<file path=docProps/custom.xml><?xml version="1.0" encoding="utf-8"?>
<Properties xmlns="http://schemas.openxmlformats.org/officeDocument/2006/custom-properties" xmlns:vt="http://schemas.openxmlformats.org/officeDocument/2006/docPropsVTypes"/>
</file>