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rPr>
          <w:rFonts w:ascii="Arial" w:cs="Arial" w:eastAsia="Arial" w:hAnsi="Arial"/>
          <w:b/>
          <w:bCs/>
          <w:color w:val="1B6CA8"/>
          <w:sz w:val="52"/>
          <w:szCs w:val="52"/>
        </w:rPr>
        <w:t xml:space="preserve">VIF PROJECT</w:t>
      </w:r>
    </w:p>
    <w:p>
      <w:pPr>
        <w:pBdr>
          <w:bottom w:val="single" w:color="E07B28" w:sz="12" w:space="1"/>
        </w:pBdr>
        <w:spacing w:after="80"/>
      </w:pPr>
      <w:r>
        <w:rPr>
          <w:sz w:val="4"/>
          <w:szCs w:val="4"/>
        </w:rPr>
        <w:t xml:space="preserve"/>
      </w:r>
    </w:p>
    <w:p>
      <w:pPr>
        <w:spacing w:after="120" w:before="240"/>
      </w:pPr>
      <w:r>
        <w:rPr>
          <w:rFonts w:ascii="Arial" w:cs="Arial" w:eastAsia="Arial" w:hAnsi="Arial"/>
          <w:b/>
          <w:bCs/>
          <w:color w:val="1A1A2E"/>
          <w:sz w:val="44"/>
          <w:szCs w:val="44"/>
        </w:rPr>
        <w:t xml:space="preserve">Long-Term Change Sustainability Plan</w:t>
      </w:r>
    </w:p>
    <w:p>
      <w:pPr>
        <w:spacing w:after="480"/>
      </w:pPr>
      <w:r>
        <w:rPr>
          <w:rFonts w:ascii="Arial" w:cs="Arial" w:eastAsia="Arial" w:hAnsi="Arial"/>
          <w:i/>
          <w:iCs/>
          <w:color w:val="666666"/>
          <w:sz w:val="28"/>
          <w:szCs w:val="28"/>
        </w:rPr>
        <w:t xml:space="preserve">Ensuring VIF's Impact Endures and Issues Are Mitigated</w:t>
      </w:r>
    </w:p>
    <w:p>
      <w:pPr>
        <w:spacing w:after="120"/>
      </w:pPr>
      <w:r>
        <w:rPr>
          <w:rFonts w:ascii="Arial" w:cs="Arial" w:eastAsia="Arial" w:hAnsi="Arial"/>
          <w:b/>
          <w:bCs/>
          <w:color w:val="E07B28"/>
          <w:sz w:val="24"/>
          <w:szCs w:val="24"/>
        </w:rPr>
        <w:t xml:space="preserve">Milestone 3 (After) — Document 1 of 1</w:t>
      </w:r>
    </w:p>
    <w:p>
      <w:pPr>
        <w:spacing w:after="120"/>
      </w:pPr>
      <w:r>
        <w:rPr>
          <w:rFonts w:ascii="Arial" w:cs="Arial" w:eastAsia="Arial" w:hAnsi="Arial"/>
          <w:color w:val="666666"/>
          <w:sz w:val="22"/>
          <w:szCs w:val="22"/>
        </w:rPr>
        <w:t xml:space="preserve">Academic Institution: EPITECH Paris (MSc IT)</w:t>
      </w:r>
    </w:p>
    <w:p>
      <w:pPr>
        <w:spacing w:after="120"/>
      </w:pPr>
      <w:r>
        <w:rPr>
          <w:rFonts w:ascii="Arial" w:cs="Arial" w:eastAsia="Arial" w:hAnsi="Arial"/>
          <w:color w:val="666666"/>
          <w:sz w:val="22"/>
          <w:szCs w:val="22"/>
        </w:rPr>
        <w:t xml:space="preserve">Client: Yoyo (Zero Digital Transformation Experience)</w:t>
      </w:r>
    </w:p>
    <w:p>
      <w:pPr>
        <w:spacing w:after="120"/>
      </w:pPr>
      <w:r>
        <w:rPr>
          <w:rFonts w:ascii="Arial" w:cs="Arial" w:eastAsia="Arial" w:hAnsi="Arial"/>
          <w:color w:val="666666"/>
          <w:sz w:val="22"/>
          <w:szCs w:val="22"/>
        </w:rPr>
        <w:t xml:space="preserve">Date: May 2026</w:t>
      </w:r>
    </w:p>
    <w:p>
      <w:pPr>
        <w:spacing w:after="120"/>
      </w:pPr>
      <w:r>
        <w:rPr>
          <w:rFonts w:ascii="Arial" w:cs="Arial" w:eastAsia="Arial" w:hAnsi="Arial"/>
          <w:color w:val="666666"/>
          <w:sz w:val="22"/>
          <w:szCs w:val="22"/>
        </w:rPr>
        <w:t xml:space="preserve">Document Version: 1.0</w:t>
      </w:r>
    </w:p>
    <w:p>
      <w:r>
        <w:br w:type="page"/>
      </w:r>
    </w:p>
    <w:p>
      <w:pPr>
        <w:pStyle w:val="Heading1"/>
        <w:spacing w:after="120" w:before="360"/>
      </w:pPr>
      <w:r>
        <w:rPr>
          <w:rFonts w:ascii="Arial" w:cs="Arial" w:eastAsia="Arial" w:hAnsi="Arial"/>
          <w:b/>
          <w:bCs/>
          <w:color w:val="1B6CA8"/>
          <w:sz w:val="32"/>
          <w:szCs w:val="32"/>
        </w:rPr>
        <w:t xml:space="preserve">1. Introduction</w:t>
      </w:r>
    </w:p>
    <w:p>
      <w:pPr>
        <w:spacing w:after="120"/>
      </w:pPr>
      <w:r>
        <w:rPr>
          <w:rFonts w:ascii="Arial" w:cs="Arial" w:eastAsia="Arial" w:hAnsi="Arial"/>
          <w:b w:val="false"/>
          <w:bCs w:val="false"/>
          <w:i w:val="false"/>
          <w:iCs w:val="false"/>
          <w:color w:val="1A1A2E"/>
          <w:sz w:val="22"/>
          <w:szCs w:val="22"/>
        </w:rPr>
        <w:t xml:space="preserve">Launching a platform is only the beginning. The real test of any digital transformation is whether the change is still working 6, 12, and 24 months after the initial excitement fades. This document defines the strategies, systems, and governance structures that will ensure VIF remains valuable, legally compliant, and actively used long after the initial deployment phase.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Why Sustainability Matters</w:t>
            </w:r>
          </w:p>
          <w:p>
            <w:pPr>
              <w:spacing w:after="0"/>
            </w:pPr>
            <w:r>
              <w:rPr>
                <w:rFonts w:ascii="Arial" w:cs="Arial" w:eastAsia="Arial" w:hAnsi="Arial"/>
                <w:color w:val="1A1A2E"/>
                <w:sz w:val="20"/>
                <w:szCs w:val="20"/>
              </w:rPr>
              <w:t xml:space="preserve">Research by McKinsey shows that 75% of transformation benefits are lost within 12 months if no reinforcement plan exists. Bakeries and students are busy people — they will drift back to old habits unless VIF continuously demonstrates its value. This plan is our commitment to making VIF a permanent fixture, not a pilot project.</w:t>
            </w:r>
          </w:p>
        </w:tc>
      </w:tr>
    </w:tbl>
    <w:p>
      <w:pPr>
        <w:spacing w:after="160"/>
      </w:pPr>
    </w:p>
    <w:p>
      <w:pPr>
        <w:pStyle w:val="Heading1"/>
        <w:spacing w:after="120" w:before="360"/>
      </w:pPr>
      <w:r>
        <w:rPr>
          <w:rFonts w:ascii="Arial" w:cs="Arial" w:eastAsia="Arial" w:hAnsi="Arial"/>
          <w:b/>
          <w:bCs/>
          <w:color w:val="1B6CA8"/>
          <w:sz w:val="32"/>
          <w:szCs w:val="32"/>
        </w:rPr>
        <w:t xml:space="preserve">2. Reinforcement Strategy (ADKAR: Reinforcement Phase)</w:t>
      </w:r>
    </w:p>
    <w:p>
      <w:pPr>
        <w:spacing w:after="120"/>
      </w:pPr>
      <w:r>
        <w:rPr>
          <w:rFonts w:ascii="Arial" w:cs="Arial" w:eastAsia="Arial" w:hAnsi="Arial"/>
          <w:b w:val="false"/>
          <w:bCs w:val="false"/>
          <w:i w:val="false"/>
          <w:iCs w:val="false"/>
          <w:color w:val="1A1A2E"/>
          <w:sz w:val="22"/>
          <w:szCs w:val="22"/>
        </w:rPr>
        <w:t xml:space="preserve">Building on the ADKAR model chosen in Milestone 1, this plan focuses on the final 'R' — Reinforcement — ensuring that every stakeholder continues to see value in VIF.</w:t>
      </w:r>
    </w:p>
    <w:p>
      <w:pPr>
        <w:pStyle w:val="Heading2"/>
        <w:spacing w:after="80" w:before="240"/>
      </w:pPr>
      <w:r>
        <w:rPr>
          <w:rFonts w:ascii="Arial" w:cs="Arial" w:eastAsia="Arial" w:hAnsi="Arial"/>
          <w:b/>
          <w:bCs/>
          <w:color w:val="1A1A2E"/>
          <w:sz w:val="26"/>
          <w:szCs w:val="26"/>
        </w:rPr>
        <w:t xml:space="preserve">2.1 Bakery Reinforcement</w:t>
      </w:r>
    </w:p>
    <w:p>
      <w:pPr>
        <w:pStyle w:val="ListParagraph"/>
        <w:numPr>
          <w:ilvl w:val="0"/>
          <w:numId w:val="2"/>
        </w:numPr>
        <w:spacing w:after="60"/>
      </w:pPr>
      <w:r>
        <w:rPr>
          <w:rFonts w:ascii="Arial" w:cs="Arial" w:eastAsia="Arial" w:hAnsi="Arial"/>
          <w:color w:val="1A1A2E"/>
          <w:sz w:val="22"/>
          <w:szCs w:val="22"/>
        </w:rPr>
        <w:t xml:space="preserve">Monthly Cerfa Summary Email: Every bakery automatically receives a personalised email on the 1st of each month showing the total value of donations made, the estimated 60% tax deduction value in euros, and a downloadable Cerfa PDF.</w:t>
      </w:r>
    </w:p>
    <w:p>
      <w:pPr>
        <w:pStyle w:val="ListParagraph"/>
        <w:numPr>
          <w:ilvl w:val="0"/>
          <w:numId w:val="2"/>
        </w:numPr>
        <w:spacing w:after="60"/>
      </w:pPr>
      <w:r>
        <w:rPr>
          <w:rFonts w:ascii="Arial" w:cs="Arial" w:eastAsia="Arial" w:hAnsi="Arial"/>
          <w:color w:val="1A1A2E"/>
          <w:sz w:val="22"/>
          <w:szCs w:val="22"/>
        </w:rPr>
        <w:t xml:space="preserve">Annual Impact Certificate: At year-end, each bakery receives a co-branded VIF certificate quantifying their environmental and social contribution (kg of food saved, number of students fed).</w:t>
      </w:r>
    </w:p>
    <w:p>
      <w:pPr>
        <w:pStyle w:val="ListParagraph"/>
        <w:numPr>
          <w:ilvl w:val="0"/>
          <w:numId w:val="2"/>
        </w:numPr>
        <w:spacing w:after="60"/>
      </w:pPr>
      <w:r>
        <w:rPr>
          <w:rFonts w:ascii="Arial" w:cs="Arial" w:eastAsia="Arial" w:hAnsi="Arial"/>
          <w:color w:val="1A1A2E"/>
          <w:sz w:val="22"/>
          <w:szCs w:val="22"/>
        </w:rPr>
        <w:t xml:space="preserve">Bakery Leaderboard (Optional / Opt-In): Anonymised ranking by Pulses created, offering positive recognition without pressure.</w:t>
      </w:r>
    </w:p>
    <w:p>
      <w:pPr>
        <w:pStyle w:val="ListParagraph"/>
        <w:numPr>
          <w:ilvl w:val="0"/>
          <w:numId w:val="2"/>
        </w:numPr>
        <w:spacing w:after="60"/>
      </w:pPr>
      <w:r>
        <w:rPr>
          <w:rFonts w:ascii="Arial" w:cs="Arial" w:eastAsia="Arial" w:hAnsi="Arial"/>
          <w:color w:val="1A1A2E"/>
          <w:sz w:val="22"/>
          <w:szCs w:val="22"/>
        </w:rPr>
        <w:t xml:space="preserve">Quarterly Feature Newsletter: Announces new platform features, regulatory updates, and success stories.</w:t>
      </w:r>
    </w:p>
    <w:p>
      <w:pPr>
        <w:spacing w:after="160"/>
      </w:pPr>
    </w:p>
    <w:p>
      <w:pPr>
        <w:pStyle w:val="Heading2"/>
        <w:spacing w:after="80" w:before="240"/>
      </w:pPr>
      <w:r>
        <w:rPr>
          <w:rFonts w:ascii="Arial" w:cs="Arial" w:eastAsia="Arial" w:hAnsi="Arial"/>
          <w:b/>
          <w:bCs/>
          <w:color w:val="1A1A2E"/>
          <w:sz w:val="26"/>
          <w:szCs w:val="26"/>
        </w:rPr>
        <w:t xml:space="preserve">2.2 Student Reinforcement</w:t>
      </w:r>
    </w:p>
    <w:p>
      <w:pPr>
        <w:pStyle w:val="ListParagraph"/>
        <w:numPr>
          <w:ilvl w:val="0"/>
          <w:numId w:val="3"/>
        </w:numPr>
        <w:spacing w:after="60"/>
      </w:pPr>
      <w:r>
        <w:rPr>
          <w:rFonts w:ascii="Arial" w:cs="Arial" w:eastAsia="Arial" w:hAnsi="Arial"/>
          <w:color w:val="1A1A2E"/>
          <w:sz w:val="22"/>
          <w:szCs w:val="22"/>
        </w:rPr>
        <w:t xml:space="preserve">Karma System: The karma score (0-100) is the primary reinforcement mechanic. Students with high karma unlock perks: priority access during competitive Pulses, special partner discounts, and recognition badges in-app.</w:t>
      </w:r>
    </w:p>
    <w:p>
      <w:pPr>
        <w:pStyle w:val="ListParagraph"/>
        <w:numPr>
          <w:ilvl w:val="0"/>
          <w:numId w:val="3"/>
        </w:numPr>
        <w:spacing w:after="60"/>
      </w:pPr>
      <w:r>
        <w:rPr>
          <w:rFonts w:ascii="Arial" w:cs="Arial" w:eastAsia="Arial" w:hAnsi="Arial"/>
          <w:color w:val="1A1A2E"/>
          <w:sz w:val="22"/>
          <w:szCs w:val="22"/>
        </w:rPr>
        <w:t xml:space="preserve">Monthly Impact Notification: A push notification showing each student's cumulative savings (meals claimed, euros saved vs retail price).</w:t>
      </w:r>
    </w:p>
    <w:p>
      <w:pPr>
        <w:pStyle w:val="ListParagraph"/>
        <w:numPr>
          <w:ilvl w:val="0"/>
          <w:numId w:val="3"/>
        </w:numPr>
        <w:spacing w:after="60"/>
      </w:pPr>
      <w:r>
        <w:rPr>
          <w:rFonts w:ascii="Arial" w:cs="Arial" w:eastAsia="Arial" w:hAnsi="Arial"/>
          <w:color w:val="1A1A2E"/>
          <w:sz w:val="22"/>
          <w:szCs w:val="22"/>
        </w:rPr>
        <w:t xml:space="preserve">Social Sharing (Opt-In): Students can share their 'impact milestones' (50th meal, 100th meal) to social media, generating organic awareness.</w:t>
      </w:r>
    </w:p>
    <w:p>
      <w:pPr>
        <w:spacing w:after="160"/>
      </w:pPr>
    </w:p>
    <w:p>
      <w:pPr>
        <w:pStyle w:val="Heading2"/>
        <w:spacing w:after="80" w:before="240"/>
      </w:pPr>
      <w:r>
        <w:rPr>
          <w:rFonts w:ascii="Arial" w:cs="Arial" w:eastAsia="Arial" w:hAnsi="Arial"/>
          <w:b/>
          <w:bCs/>
          <w:color w:val="1A1A2E"/>
          <w:sz w:val="26"/>
          <w:szCs w:val="26"/>
        </w:rPr>
        <w:t xml:space="preserve">2.3 Non-Profit Partner Reinforcement</w:t>
      </w:r>
    </w:p>
    <w:p>
      <w:pPr>
        <w:pStyle w:val="ListParagraph"/>
        <w:numPr>
          <w:ilvl w:val="0"/>
          <w:numId w:val="4"/>
        </w:numPr>
        <w:spacing w:after="60"/>
      </w:pPr>
      <w:r>
        <w:rPr>
          <w:rFonts w:ascii="Arial" w:cs="Arial" w:eastAsia="Arial" w:hAnsi="Arial"/>
          <w:color w:val="1A1A2E"/>
          <w:sz w:val="22"/>
          <w:szCs w:val="22"/>
        </w:rPr>
        <w:t xml:space="preserve">Quarterly Audit Report: The platform automatically generates a report of all co-signed Cerfa documents for the partner's legal and accounting records.</w:t>
      </w:r>
    </w:p>
    <w:p>
      <w:pPr>
        <w:pStyle w:val="ListParagraph"/>
        <w:numPr>
          <w:ilvl w:val="0"/>
          <w:numId w:val="4"/>
        </w:numPr>
        <w:spacing w:after="60"/>
      </w:pPr>
      <w:r>
        <w:rPr>
          <w:rFonts w:ascii="Arial" w:cs="Arial" w:eastAsia="Arial" w:hAnsi="Arial"/>
          <w:color w:val="1A1A2E"/>
          <w:sz w:val="22"/>
          <w:szCs w:val="22"/>
        </w:rPr>
        <w:t xml:space="preserve">Annual Partnership Review Meeting: A formal meeting to assess the legal intermediary model, review any regulatory changes, and renew the MOU.</w:t>
      </w:r>
    </w:p>
    <w:p>
      <w:pPr>
        <w:spacing w:after="160"/>
      </w:pPr>
    </w:p>
    <w:p>
      <w:pPr>
        <w:pStyle w:val="Heading1"/>
        <w:spacing w:after="120" w:before="360"/>
      </w:pPr>
      <w:r>
        <w:rPr>
          <w:rFonts w:ascii="Arial" w:cs="Arial" w:eastAsia="Arial" w:hAnsi="Arial"/>
          <w:b/>
          <w:bCs/>
          <w:color w:val="1B6CA8"/>
          <w:sz w:val="32"/>
          <w:szCs w:val="32"/>
        </w:rPr>
        <w:t xml:space="preserve">3. Issue Mitigation Framework</w:t>
      </w:r>
    </w:p>
    <w:p>
      <w:pPr>
        <w:pStyle w:val="Heading2"/>
        <w:spacing w:after="80" w:before="240"/>
      </w:pPr>
      <w:r>
        <w:rPr>
          <w:rFonts w:ascii="Arial" w:cs="Arial" w:eastAsia="Arial" w:hAnsi="Arial"/>
          <w:b/>
          <w:bCs/>
          <w:color w:val="1A1A2E"/>
          <w:sz w:val="26"/>
          <w:szCs w:val="26"/>
        </w:rPr>
        <w:t xml:space="preserve">3.1 Technical Issue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880"/>
        <w:gridCol w:w="192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Potential Issue</w:t>
            </w:r>
          </w:p>
        </w:tc>
        <w:tc>
          <w:tcPr>
            <w:tcW w:type="dxa" w:w="2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8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Mitigation Action</w:t>
            </w:r>
          </w:p>
        </w:tc>
        <w:tc>
          <w:tcPr>
            <w:tcW w:type="dxa" w:w="19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Platform slowdown (&gt;200ms lookup)</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Automated performance alert (DataDog)</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Scale cloud instance; optimise PostGIS query index</w:t>
            </w:r>
          </w:p>
        </w:tc>
        <w:tc>
          <w:tcPr>
            <w:tcW w:type="dxa" w:w="19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DevOps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race condition in karma/claim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 test suite + stress test logs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Apply Redis distributed lock; review async thread logic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Engineer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FCM push delivery failure</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Push delivery rate dashboard</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Retry queue + SMS fallback for critical alerts</w:t>
            </w:r>
          </w:p>
        </w:tc>
        <w:tc>
          <w:tcPr>
            <w:tcW w:type="dxa" w:w="19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Backend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QR code token expiry bug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log monitoring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Extend token TTL; auto-regenerate on rescan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Engineer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App crash on older Android devices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Crash analytics (Sentry)</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Hotfix release; communicate ETA to affected users</w:t>
            </w:r>
          </w:p>
        </w:tc>
        <w:tc>
          <w:tcPr>
            <w:tcW w:type="dxa" w:w="19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Mobile Developer</w:t>
            </w:r>
          </w:p>
        </w:tc>
      </w:tr>
    </w:tbl>
    <w:p>
      <w:pPr>
        <w:spacing w:after="160"/>
      </w:pPr>
    </w:p>
    <w:p>
      <w:pPr>
        <w:pStyle w:val="Heading2"/>
        <w:spacing w:after="80" w:before="240"/>
      </w:pPr>
      <w:r>
        <w:rPr>
          <w:rFonts w:ascii="Arial" w:cs="Arial" w:eastAsia="Arial" w:hAnsi="Arial"/>
          <w:b/>
          <w:bCs/>
          <w:color w:val="1A1A2E"/>
          <w:sz w:val="26"/>
          <w:szCs w:val="26"/>
        </w:rPr>
        <w:t xml:space="preserve">3.2 Legal &amp; Compliance Issue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5160"/>
      </w:tblGrid>
      <w:tr>
        <w:tc>
          <w:tcPr>
            <w:tcW w:type="dxa" w:w="2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Potential Issue</w:t>
            </w:r>
          </w:p>
        </w:tc>
        <w:tc>
          <w:tcPr>
            <w:tcW w:type="dxa" w:w="14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5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Mitigation Action</w:t>
            </w:r>
          </w:p>
        </w:tc>
      </w:tr>
      <w:tr>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Change in Cerfa 11580*05 format</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Subscribe to DGFIP regulatory newsletter; designate legal engineer to review updates quarterly</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CNIL audit or data complaint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Maintain GDPR record of processing activities (ROPA); appoint DPO; conduct annual privacy audit</w:t>
            </w:r>
          </w:p>
        </w:tc>
      </w:tr>
      <w:tr>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Non-profit partner loses OIG status</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Identify and pre-qualify 2 backup partner organisations before launch</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Bakery disputes a tax document amount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Maintain immutable transaction log with timestamps; provide bakery-accessible audit trail in dashboard</w:t>
            </w:r>
          </w:p>
        </w:tc>
      </w:tr>
      <w:tr>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INSEE SIRET API rate limit or downtime</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Cache validated SIRET data for 30 days; queue validation retries on API recovery</w:t>
            </w:r>
          </w:p>
        </w:tc>
      </w:tr>
    </w:tbl>
    <w:p>
      <w:pPr>
        <w:spacing w:after="160"/>
      </w:pPr>
    </w:p>
    <w:p>
      <w:pPr>
        <w:pStyle w:val="Heading2"/>
        <w:spacing w:after="80" w:before="240"/>
      </w:pPr>
      <w:r>
        <w:rPr>
          <w:rFonts w:ascii="Arial" w:cs="Arial" w:eastAsia="Arial" w:hAnsi="Arial"/>
          <w:b/>
          <w:bCs/>
          <w:color w:val="1A1A2E"/>
          <w:sz w:val="26"/>
          <w:szCs w:val="26"/>
        </w:rPr>
        <w:t xml:space="preserve">3.3 Social &amp; Behavioural Issue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Potential Issue</w:t>
            </w:r>
          </w:p>
        </w:tc>
        <w:tc>
          <w:tcPr>
            <w:tcW w:type="dxa" w:w="25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Early Warning Signs</w:t>
            </w:r>
          </w:p>
        </w:tc>
        <w:tc>
          <w:tcPr>
            <w:tcW w:type="dxa" w:w="43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Mitigation Action</w:t>
            </w:r>
          </w:p>
        </w:tc>
      </w:tr>
      <w:tr>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 ghosting (claim but no pickup)</w:t>
            </w:r>
          </w:p>
        </w:tc>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Karma score average drops below 70</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Tighten karma penalties; increase notification urgency; add 'can't make it' cancel button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Bakery stops creating Pulses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Pulses for 14+ days from a bakery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re-engagement email; personal call from success team; offer simplified 'quick Pulse' flow</w:t>
            </w:r>
          </w:p>
        </w:tc>
      </w:tr>
      <w:tr>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Platform feels irrelevant after initial novelty</w:t>
            </w:r>
          </w:p>
        </w:tc>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Daily active users drop &gt;20% month-on-month</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Introduce seasonal features; partner with new food types; add gamification elements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verification bottleneck (ID check delays)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Verification queue &gt;48 hours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Scale OCR pipeline; add manual review track; temporary 'email-only' grace access mode</w:t>
            </w:r>
          </w:p>
        </w:tc>
      </w:tr>
    </w:tbl>
    <w:p>
      <w:pPr>
        <w:spacing w:after="160"/>
      </w:pPr>
    </w:p>
    <w:p>
      <w:pPr>
        <w:pStyle w:val="Heading1"/>
        <w:spacing w:after="120" w:before="360"/>
      </w:pPr>
      <w:r>
        <w:rPr>
          <w:rFonts w:ascii="Arial" w:cs="Arial" w:eastAsia="Arial" w:hAnsi="Arial"/>
          <w:b/>
          <w:bCs/>
          <w:color w:val="1B6CA8"/>
          <w:sz w:val="32"/>
          <w:szCs w:val="32"/>
        </w:rPr>
        <w:t xml:space="preserve">4. Governance &amp; Long-Term Ownership</w:t>
      </w:r>
    </w:p>
    <w:p>
      <w:pPr>
        <w:pStyle w:val="Heading2"/>
        <w:spacing w:after="80" w:before="240"/>
      </w:pPr>
      <w:r>
        <w:rPr>
          <w:rFonts w:ascii="Arial" w:cs="Arial" w:eastAsia="Arial" w:hAnsi="Arial"/>
          <w:b/>
          <w:bCs/>
          <w:color w:val="1A1A2E"/>
          <w:sz w:val="26"/>
          <w:szCs w:val="26"/>
        </w:rPr>
        <w:t xml:space="preserve">4.1 Post-Launch Governance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Meeting Cadence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Platform Director (Yoyo)</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Overall strategic ownership of VIF</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Monthly board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Technical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uptime, releases,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 technical review</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Legal &amp; Compliance Officer</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Cerfa accuracy, CNIL, GDPR, partner MOU</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Quarterly legal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Community 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Bakery and student engagement, social media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 content calendar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Data Analyst</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KPI tracking, usage analytics, impact reporting</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Bi-weekly analytics report</w:t>
            </w:r>
          </w:p>
        </w:tc>
      </w:tr>
    </w:tbl>
    <w:p>
      <w:pPr>
        <w:spacing w:after="160"/>
      </w:pPr>
    </w:p>
    <w:p>
      <w:pPr>
        <w:pStyle w:val="Heading2"/>
        <w:spacing w:after="80" w:before="240"/>
      </w:pPr>
      <w:r>
        <w:rPr>
          <w:rFonts w:ascii="Arial" w:cs="Arial" w:eastAsia="Arial" w:hAnsi="Arial"/>
          <w:b/>
          <w:bCs/>
          <w:color w:val="1A1A2E"/>
          <w:sz w:val="26"/>
          <w:szCs w:val="26"/>
        </w:rPr>
        <w:t xml:space="preserve">4.2 Version &amp; Feature Roadmap</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576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Planned Features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v1.0 — Launch</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Month 1</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Core Pulse engine, SIRET verification, Karma system, Cerfa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v1.1 — Stability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 optimisations, extended push notification templates, bakery analytics dashboard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v1.2 — Expansion</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Month 6</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Expand food categories (restaurants, supermarkets), multi-city rollout framework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v2.0 — Intelligence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Predictive surplus forecasting, AI-powered Pulse timing recommendations, B2B API for large chains</w:t>
            </w:r>
          </w:p>
        </w:tc>
      </w:tr>
    </w:tbl>
    <w:p>
      <w:pPr>
        <w:spacing w:after="160"/>
      </w:pPr>
    </w:p>
    <w:p>
      <w:pPr>
        <w:pStyle w:val="Heading1"/>
        <w:spacing w:after="120" w:before="360"/>
      </w:pPr>
      <w:r>
        <w:rPr>
          <w:rFonts w:ascii="Arial" w:cs="Arial" w:eastAsia="Arial" w:hAnsi="Arial"/>
          <w:b/>
          <w:bCs/>
          <w:color w:val="1B6CA8"/>
          <w:sz w:val="32"/>
          <w:szCs w:val="32"/>
        </w:rPr>
        <w:t xml:space="preserve">5. Long-Term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Target at 6 Months</w:t>
            </w:r>
          </w:p>
        </w:tc>
        <w:tc>
          <w:tcPr>
            <w:tcW w:type="dxa" w:w="28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Target at 12 Months</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Active bakeries on platform</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Verified student accounts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Average karma score</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 75</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 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Cerfa documents generated (cumulative)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Claim-to-pickup conversion rate</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 85%</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 90%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food waste diverted (kg estimate)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 kg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 kg</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Average tax saving per bakery per year (EUR)</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800 EUR</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1,500 EUR</w:t>
            </w:r>
          </w:p>
        </w:tc>
      </w:tr>
    </w:tbl>
    <w:p>
      <w:pPr>
        <w:spacing w:after="160"/>
      </w:pPr>
    </w:p>
    <w:p>
      <w:pPr>
        <w:pStyle w:val="Heading1"/>
        <w:spacing w:after="120" w:before="360"/>
      </w:pPr>
      <w:r>
        <w:rPr>
          <w:rFonts w:ascii="Arial" w:cs="Arial" w:eastAsia="Arial" w:hAnsi="Arial"/>
          <w:b/>
          <w:bCs/>
          <w:color w:val="1B6CA8"/>
          <w:sz w:val="32"/>
          <w:szCs w:val="32"/>
        </w:rPr>
        <w:t xml:space="preserve">6. Conclusion</w:t>
      </w:r>
    </w:p>
    <w:p>
      <w:pPr>
        <w:spacing w:after="120"/>
      </w:pPr>
      <w:r>
        <w:rPr>
          <w:rFonts w:ascii="Arial" w:cs="Arial" w:eastAsia="Arial" w:hAnsi="Arial"/>
          <w:b w:val="false"/>
          <w:bCs w:val="false"/>
          <w:i w:val="false"/>
          <w:iCs w:val="false"/>
          <w:color w:val="1A1A2E"/>
          <w:sz w:val="22"/>
          <w:szCs w:val="22"/>
        </w:rPr>
        <w:t xml:space="preserve">The VIF platform is built to endure. Its reinforcement mechanisms — from automated Cerfa reports to student karma incentives — are designed not as afterthoughts but as core features. The governance structure defined here ensures that Yoyo maintains full oversight and that legal compliance is continuously monitored. With this plan in place, VIF will not be a pilot project: it will be a permanent, scalable infrastructure for food solidarity in Paris and beyond.</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tabs>
        <w:tab w:val="right" w:pos="9360"/>
      </w:tabs>
      <w:spacing w:before="80"/>
    </w:pPr>
    <w:r>
      <w:rPr>
        <w:rFonts w:ascii="Arial" w:cs="Arial" w:eastAsia="Arial" w:hAnsi="Arial"/>
        <w:color w:val="666666"/>
        <w:sz w:val="16"/>
        <w:szCs w:val="16"/>
      </w:rPr>
      <w:t xml:space="preserve">VIF Change Management  |  EPITECH Paris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1"/>
      </w:pBdr>
      <w:spacing w:after="80"/>
    </w:pPr>
    <w:r>
      <w:rPr>
        <w:rFonts w:ascii="Arial" w:cs="Arial" w:eastAsia="Arial" w:hAnsi="Arial"/>
        <w:b/>
        <w:bCs/>
        <w:color w:val="1B6CA8"/>
        <w:sz w:val="20"/>
        <w:szCs w:val="20"/>
      </w:rPr>
      <w:t xml:space="preserve">VIF</w:t>
    </w:r>
    <w:r>
      <w:rPr>
        <w:rFonts w:ascii="Arial" w:cs="Arial" w:eastAsia="Arial" w:hAnsi="Arial"/>
        <w:color w:val="666666"/>
        <w:sz w:val="18"/>
        <w:szCs w:val="18"/>
      </w:rPr>
      <w:t xml:space="preserve">  |  Long-Term Change Sustainability Plan</w:t>
    </w:r>
    <w:r>
      <w:rPr>
        <w:rFonts w:ascii="Arial" w:cs="Arial" w:eastAsia="Arial" w:hAnsi="Arial"/>
        <w:i/>
        <w:iCs/>
        <w:color w:val="666666"/>
        <w:sz w:val="16"/>
        <w:szCs w:val="16"/>
      </w:rPr>
      <w:t xml:space="preserve">  —  Milestone 3 — After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CA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2026-05-26T18:06:01.529Z</dcterms:created>
  <dcterms:modified xsi:type="dcterms:W3CDTF">2026-05-26T18:06:01.529Z</dcterms:modified>
</cp:coreProperties>
</file>

<file path=docProps/custom.xml><?xml version="1.0" encoding="utf-8"?>
<Properties xmlns="http://schemas.openxmlformats.org/officeDocument/2006/custom-properties" xmlns:vt="http://schemas.openxmlformats.org/officeDocument/2006/docPropsVTypes"/>
</file>