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/>
      </w:pPr>
      <w:bookmarkStart w:colFirst="0" w:colLast="0" w:name="_ukknjn6b99u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Vif API Specification &amp; 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 Engineer:</w:t>
      </w:r>
      <w:r w:rsidDel="00000000" w:rsidR="00000000" w:rsidRPr="00000000">
        <w:rPr>
          <w:rtl w:val="0"/>
        </w:rPr>
        <w:t xml:space="preserve"> Rao Muhammad Mueez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8xur751ly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Architectural Overview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Vif system utilizes a </w:t>
      </w:r>
      <w:r w:rsidDel="00000000" w:rsidR="00000000" w:rsidRPr="00000000">
        <w:rPr>
          <w:b w:val="1"/>
          <w:bCs w:val="1"/>
          <w:rtl w:val="0"/>
        </w:rPr>
        <w:t xml:space="preserve">RESTful Micro-service Architecture</w:t>
      </w:r>
      <w:r w:rsidDel="00000000" w:rsidR="00000000" w:rsidRPr="00000000">
        <w:rPr>
          <w:rtl w:val="0"/>
        </w:rPr>
        <w:t xml:space="preserve"> designed for high availability and low-latency real-time updates.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Protocol:</w:t>
      </w:r>
      <w:r w:rsidDel="00000000" w:rsidR="00000000" w:rsidRPr="00000000">
        <w:rPr>
          <w:rtl w:val="0"/>
        </w:rPr>
        <w:t xml:space="preserve"> REST via HTTPS.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OAuth2 with Password flow and JWT (JSON Web Tokens).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Layer:</w:t>
      </w:r>
      <w:r w:rsidDel="00000000" w:rsidR="00000000" w:rsidRPr="00000000">
        <w:rPr>
          <w:rtl w:val="0"/>
        </w:rPr>
        <w:t xml:space="preserve"> WebSockets for geofenced "Pulse" notifications.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with the PostGIS extension to handle geospatial queries (e.g., finding bakeries within 1km).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gkktejgdyw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Security &amp; Authentication Schema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Security is the backbone of the "Secure QR Handshake" and the OCR Student ID verification process.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OAuth2 (Bearer Token).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Encryption:</w:t>
      </w:r>
      <w:r w:rsidDel="00000000" w:rsidR="00000000" w:rsidRPr="00000000">
        <w:rPr>
          <w:rtl w:val="0"/>
        </w:rPr>
        <w:t xml:space="preserve"> All data in transit is encrypted via TLS 1.3.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Implemented on </w:t>
      </w:r>
      <w:r w:rsidDel="00000000" w:rsidR="00000000" w:rsidRPr="00000000">
        <w:rPr>
          <w:color w:val="188038"/>
          <w:rtl w:val="0"/>
        </w:rPr>
        <w:t xml:space="preserve">/auth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/claim</w:t>
      </w:r>
      <w:r w:rsidDel="00000000" w:rsidR="00000000" w:rsidRPr="00000000">
        <w:rPr>
          <w:rtl w:val="0"/>
        </w:rPr>
        <w:t xml:space="preserve"> endpoints to prevent brute-force attacks and "Pulse" sniping.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5.933014354067"/>
        <w:gridCol w:w="2408.4210526315787"/>
        <w:gridCol w:w="5065.645933014353"/>
        <w:tblGridChange w:id="0">
          <w:tblGrid>
            <w:gridCol w:w="1885.933014354067"/>
            <w:gridCol w:w="2408.4210526315787"/>
            <w:gridCol w:w="5065.64593301435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Bearer &lt;JWT_TOKEN&gt;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Required for all protected routes (Student/Baker).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X-Client-Platform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Used to differentiate between iOS and Android for FCM push routing.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7bn7oyk8fc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Endpoint Specifications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ixen6f9s6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Identity &amp; Verification (Auth)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This module handles the OCR logic and initial user onboarding.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POST /v1/auth/register/student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Registers a student and processes their ID card image.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 containing </w:t>
      </w:r>
      <w:r w:rsidDel="00000000" w:rsidR="00000000" w:rsidRPr="00000000">
        <w:rPr>
          <w:color w:val="188038"/>
          <w:rtl w:val="0"/>
        </w:rPr>
        <w:t xml:space="preserve">id_card_image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Backend triggers an OCR pipeline to extract the academic year and name; the image is then discarded for GDPR compliance.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POST /v1/auth/login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 "access_token": "...", "token_type": "bearer", "role": "student|baker"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9buq9i7jv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The "Pulse" Engine (Bakery Side)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The "Killer Feature" for bakeries to post surplus in one click.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POST /v1/pulses/create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Initiates a "Flash-Gift" event.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 "item_type": "baguette", "quantity": 5, "cost_price": 0.20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Automatically sends a WebSockets/FCM broadcast to all verified students within a 1km radius.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kqep66u1f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The Secure QR Handshake (Fraud Prevention)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To confirm pickup and trigger the tax record.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POST /v1/claims/validate-handshake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Finalizes the donation.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The baker scans the student’s dynamic QR code.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Success Action:</w:t>
      </w:r>
      <w:r w:rsidDel="00000000" w:rsidR="00000000" w:rsidRPr="00000000">
        <w:rPr>
          <w:rtl w:val="0"/>
        </w:rPr>
        <w:t xml:space="preserve"> Updates the "Karma Engine," closes the Pulse, and generates a "Proof of Donation" record in the DB.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awemztjtq8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Models (PostgreSQL/SQLAlchemy)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qzveb5fev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Pulse Table (Geospatial)</w:t>
      </w:r>
    </w:p>
    <w:tbl>
      <w:tblPr>
        <w:tblStyle w:val="Table2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150"/>
        <w:gridCol w:w="4850"/>
        <w:tblGridChange w:id="0">
          <w:tblGrid>
            <w:gridCol w:w="1175"/>
            <w:gridCol w:w="2150"/>
            <w:gridCol w:w="48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Key.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baker_id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ForeignKey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Links to the Shopkeeper account.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Geography(Point)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PostGIS coordinates for the 1km geofence.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claimed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7peh5iq9tk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Official References &amp; Standards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Security:</w:t>
      </w:r>
      <w:r w:rsidDel="00000000" w:rsidR="00000000" w:rsidRPr="00000000">
        <w:rPr>
          <w:rtl w:val="0"/>
        </w:rPr>
        <w:t xml:space="preserve"> Implementation follows the official </w:t>
      </w:r>
      <w:r w:rsidDel="00000000" w:rsidR="00000000" w:rsidRPr="00000000">
        <w:rPr>
          <w:i w:val="1"/>
          <w:iCs w:val="1"/>
          <w:rtl w:val="0"/>
        </w:rPr>
        <w:t xml:space="preserve">FastAPI OAuth2 with Password and Bearer</w:t>
      </w:r>
      <w:r w:rsidDel="00000000" w:rsidR="00000000" w:rsidRPr="00000000">
        <w:rPr>
          <w:rtl w:val="0"/>
        </w:rPr>
        <w:t xml:space="preserve"> documentation for secure token handling.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PostGIS Spatial Indexing:</w:t>
      </w:r>
      <w:r w:rsidDel="00000000" w:rsidR="00000000" w:rsidRPr="00000000">
        <w:rPr>
          <w:rtl w:val="0"/>
        </w:rPr>
        <w:t xml:space="preserve"> Queries for the "1km Map" use </w:t>
      </w:r>
      <w:r w:rsidDel="00000000" w:rsidR="00000000" w:rsidRPr="00000000">
        <w:rPr>
          <w:color w:val="188038"/>
          <w:rtl w:val="0"/>
        </w:rPr>
        <w:t xml:space="preserve">ST_DWithin</w:t>
      </w:r>
      <w:r w:rsidDel="00000000" w:rsidR="00000000" w:rsidRPr="00000000">
        <w:rPr>
          <w:rtl w:val="0"/>
        </w:rPr>
        <w:t xml:space="preserve"> for optimized performance on large datasets.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CNIL Recommendations:</w:t>
      </w:r>
      <w:r w:rsidDel="00000000" w:rsidR="00000000" w:rsidRPr="00000000">
        <w:rPr>
          <w:rtl w:val="0"/>
        </w:rPr>
        <w:t xml:space="preserve"> Data handling for the OCR verification follows the </w:t>
      </w:r>
      <w:r w:rsidDel="00000000" w:rsidR="00000000" w:rsidRPr="00000000">
        <w:rPr>
          <w:i w:val="1"/>
          <w:iCs w:val="1"/>
          <w:rtl w:val="0"/>
        </w:rPr>
        <w:t xml:space="preserve">CNIL "Privacy by Design"</w:t>
      </w:r>
      <w:r w:rsidDel="00000000" w:rsidR="00000000" w:rsidRPr="00000000">
        <w:rPr>
          <w:rtl w:val="0"/>
        </w:rPr>
        <w:t xml:space="preserve"> guidelines for mobile ID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