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CLAIMS ONLY - FOR LEGAL FILING</w:t>
      </w:r>
    </w:p>
    <w:p>
      <w:pPr>
        <w:jc w:val="center"/>
      </w:pPr>
      <w:r>
        <w:rPr>
          <w:rFonts w:ascii="Times New Roman" w:hAnsi="Times New Roman"/>
          <w:b/>
          <w:sz w:val="28"/>
        </w:rPr>
        <w:t>SMART QUEUE MANAGEMENT SYSTEM (SMQSS)</w:t>
      </w:r>
    </w:p>
    <w:p>
      <w:pPr>
        <w:jc w:val="center"/>
      </w:pPr>
      <w:r>
        <w:rPr>
          <w:rFonts w:ascii="Times New Roman" w:hAnsi="Times New Roman"/>
          <w:sz w:val="24"/>
        </w:rPr>
        <w:t>INVENTOR: OGWAL RICHARD | STUDENT NO: 2300716574</w:t>
      </w:r>
    </w:p>
    <w:p>
      <w:pPr>
        <w:jc w:val="center"/>
      </w:pPr>
      <w:r>
        <w:rPr>
          <w:rFonts w:ascii="Times New Roman" w:hAnsi="Times New Roman"/>
          <w:sz w:val="24"/>
        </w:rPr>
        <w:t>MAKERERE UNIVERSITY | SUPERVISOR: ODONGO STEVEN EYOBU (PhD)</w:t>
      </w:r>
    </w:p>
    <w:p/>
    <w:p>
      <w:pPr>
        <w:pStyle w:val="Heading1"/>
      </w:pPr>
      <w:r>
        <w:t>CATEGORY A: AI-POWERED QUEUE INTELLIGENCE</w:t>
      </w:r>
    </w:p>
    <w:p>
      <w:r>
        <w:rPr>
          <w:rFonts w:ascii="Times New Roman" w:hAnsi="Times New Roman"/>
          <w:b/>
          <w:sz w:val="24"/>
        </w:rPr>
        <w:t>Claim 1 (Independent)</w:t>
      </w:r>
    </w:p>
    <w:p>
      <w:pPr>
        <w:ind w:left="567"/>
      </w:pPr>
      <w:r>
        <w:rPr>
          <w:rFonts w:ascii="Times New Roman" w:hAnsi="Times New Roman"/>
          <w:sz w:val="24"/>
        </w:rPr>
        <w:t>A computer-implemented method for AI-integrated queue management in an educational institution, comprising: receiving token generation requests from a student kiosk terminal; generating queue tokens with per-day first-free numbering; storing token records in a database; transmitting queue data to a real-time public display; receiving officer service actions from an officer dashboard; processing feedback submissions from a feedback interface; and analyzing queue performance data using a large language model (LLM) to generate attendance reports, feedback-officer correlations, and complaint response recommendations.</w:t>
      </w:r>
    </w:p>
    <w:p>
      <w:r>
        <w:rPr>
          <w:rFonts w:ascii="Times New Roman" w:hAnsi="Times New Roman"/>
          <w:b/>
          <w:sz w:val="24"/>
        </w:rPr>
        <w:t>Claim 2</w:t>
      </w:r>
    </w:p>
    <w:p>
      <w:pPr>
        <w:ind w:left="567"/>
      </w:pPr>
      <w:r>
        <w:rPr>
          <w:rFonts w:ascii="Times New Roman" w:hAnsi="Times New Roman"/>
          <w:sz w:val="24"/>
        </w:rPr>
        <w:t>The method of Claim 1, wherein the AI analysis includes per-officer anomaly detection with monthly grade computation based on actual working days in the month, where the monthly target is dynamically calculated as 540 minutes multiplied by the number of weekdays in the current month.</w:t>
      </w:r>
    </w:p>
    <w:p>
      <w:r>
        <w:rPr>
          <w:rFonts w:ascii="Times New Roman" w:hAnsi="Times New Roman"/>
          <w:b/>
          <w:sz w:val="24"/>
        </w:rPr>
        <w:t>Claim 3</w:t>
      </w:r>
    </w:p>
    <w:p>
      <w:pPr>
        <w:ind w:left="567"/>
      </w:pPr>
      <w:r>
        <w:rPr>
          <w:rFonts w:ascii="Times New Roman" w:hAnsi="Times New Roman"/>
          <w:sz w:val="24"/>
        </w:rPr>
        <w:t>The method of Claim 1, wherein complaint replies are polished by the AI with a selectable tone parameter selected from the group consisting of professional, empathetic, formal, and friendly, constrained to 200 words maximum, preserving factual accuracy, and excluding markdown formatting.</w:t>
      </w:r>
    </w:p>
    <w:p>
      <w:r>
        <w:rPr>
          <w:rFonts w:ascii="Times New Roman" w:hAnsi="Times New Roman"/>
          <w:b/>
          <w:sz w:val="24"/>
        </w:rPr>
        <w:t>Claim 4</w:t>
      </w:r>
    </w:p>
    <w:p>
      <w:pPr>
        <w:ind w:left="567"/>
      </w:pPr>
      <w:r>
        <w:rPr>
          <w:rFonts w:ascii="Times New Roman" w:hAnsi="Times New Roman"/>
          <w:sz w:val="24"/>
        </w:rPr>
        <w:t>The method of Claim 1, wherein the AI feedback-officer correlation analysis receives token-based feedback data, per-officer statistics, and general complaint records, and generates pattern analysis identifying improvement recommendations with specific officer identifiers.</w:t>
      </w:r>
    </w:p>
    <w:p>
      <w:r>
        <w:rPr>
          <w:rFonts w:ascii="Times New Roman" w:hAnsi="Times New Roman"/>
          <w:b/>
          <w:sz w:val="24"/>
        </w:rPr>
        <w:t>Claim 5</w:t>
      </w:r>
    </w:p>
    <w:p>
      <w:pPr>
        <w:ind w:left="567"/>
      </w:pPr>
      <w:r>
        <w:rPr>
          <w:rFonts w:ascii="Times New Roman" w:hAnsi="Times New Roman"/>
          <w:sz w:val="24"/>
        </w:rPr>
        <w:t>The method of Claim 1, wherein the AI attendance analysis receives structured attendance data including login/logout times, tokens served, availability percentages, and monthly grades, and generates a natural-language report with per-officer observations and actionable recommendations.</w:t>
      </w:r>
    </w:p>
    <w:p>
      <w:pPr>
        <w:pStyle w:val="Heading1"/>
      </w:pPr>
      <w:r>
        <w:t>CATEGORY B: VOICE AND REAL-TIME DISPLAY</w:t>
      </w:r>
    </w:p>
    <w:p>
      <w:r>
        <w:rPr>
          <w:rFonts w:ascii="Times New Roman" w:hAnsi="Times New Roman"/>
          <w:b/>
          <w:sz w:val="24"/>
        </w:rPr>
        <w:t>Claim 6 (Independent)</w:t>
      </w:r>
    </w:p>
    <w:p>
      <w:pPr>
        <w:ind w:left="567"/>
      </w:pPr>
      <w:r>
        <w:rPr>
          <w:rFonts w:ascii="Times New Roman" w:hAnsi="Times New Roman"/>
          <w:sz w:val="24"/>
        </w:rPr>
        <w:t>A system for real-time public queue display comprising: a display terminal receiving queue data from a centralized server at regular polling intervals; a voice announcement subsystem generating contextual audio messages for called, recalled, and serving tokens; an adaptive token preview algorithm dynamically adjusting the number of preview tokens displayed based on the count of active offices; and a screen health monitor detecting data staleness, API silence, and JavaScript errors to trigger safe reload operations.</w:t>
      </w:r>
    </w:p>
    <w:p>
      <w:r>
        <w:rPr>
          <w:rFonts w:ascii="Times New Roman" w:hAnsi="Times New Roman"/>
          <w:b/>
          <w:sz w:val="24"/>
        </w:rPr>
        <w:t>Claim 7</w:t>
      </w:r>
    </w:p>
    <w:p>
      <w:pPr>
        <w:ind w:left="567"/>
      </w:pPr>
      <w:r>
        <w:rPr>
          <w:rFonts w:ascii="Times New Roman" w:hAnsi="Times New Roman"/>
          <w:sz w:val="24"/>
        </w:rPr>
        <w:t>The system of Claim 6, wherein the voice announcement subsystem spells token characters individually (e.g., "A R 0 1" for "AR01") and concatenates multiple token announcements into grammatically correct sentences using conjunction words for the final item in a batch.</w:t>
      </w:r>
    </w:p>
    <w:p>
      <w:r>
        <w:rPr>
          <w:rFonts w:ascii="Times New Roman" w:hAnsi="Times New Roman"/>
          <w:b/>
          <w:sz w:val="24"/>
        </w:rPr>
        <w:t>Claim 8</w:t>
      </w:r>
    </w:p>
    <w:p>
      <w:pPr>
        <w:ind w:left="567"/>
      </w:pPr>
      <w:r>
        <w:rPr>
          <w:rFonts w:ascii="Times New Roman" w:hAnsi="Times New Roman"/>
          <w:sz w:val="24"/>
        </w:rPr>
        <w:t>The system of Claim 6, wherein the adaptive token preview algorithm assigns preview token counts as: three or more active offices display one next token per office; two active offices display two next tokens per office; and one active office displays three next tokens.</w:t>
      </w:r>
    </w:p>
    <w:p>
      <w:r>
        <w:rPr>
          <w:rFonts w:ascii="Times New Roman" w:hAnsi="Times New Roman"/>
          <w:b/>
          <w:sz w:val="24"/>
        </w:rPr>
        <w:t>Claim 9</w:t>
      </w:r>
    </w:p>
    <w:p>
      <w:pPr>
        <w:ind w:left="567"/>
      </w:pPr>
      <w:r>
        <w:rPr>
          <w:rFonts w:ascii="Times New Roman" w:hAnsi="Times New Roman"/>
          <w:sz w:val="24"/>
        </w:rPr>
        <w:t>The system of Claim 6, wherein the screen health monitor executes at 15-second intervals, tracking data freshness via last-fetch timestamps, monitoring API response silence, counting consecutive JavaScript errors with a threshold of five errors triggering reload, and implementing a 30-second cooldown between reload operations.</w:t>
      </w:r>
    </w:p>
    <w:p>
      <w:r>
        <w:rPr>
          <w:rFonts w:ascii="Times New Roman" w:hAnsi="Times New Roman"/>
          <w:b/>
          <w:sz w:val="24"/>
        </w:rPr>
        <w:t>Claim 10</w:t>
      </w:r>
    </w:p>
    <w:p>
      <w:pPr>
        <w:ind w:left="567"/>
      </w:pPr>
      <w:r>
        <w:rPr>
          <w:rFonts w:ascii="Times New Roman" w:hAnsi="Times New Roman"/>
          <w:sz w:val="24"/>
        </w:rPr>
        <w:t>The system of Claim 6, wherein voice announcements are deduplicated using a composite key comprising token number, office name, and action type, with a configurable cooldown period preventing repeated announcements of the same token-office-action combination.</w:t>
      </w:r>
    </w:p>
    <w:p>
      <w:pPr>
        <w:pStyle w:val="Heading1"/>
      </w:pPr>
      <w:r>
        <w:t>CATEGORY C: TOKEN LIFECYCLE MANAGEMENT</w:t>
      </w:r>
    </w:p>
    <w:p>
      <w:r>
        <w:rPr>
          <w:rFonts w:ascii="Times New Roman" w:hAnsi="Times New Roman"/>
          <w:b/>
          <w:sz w:val="24"/>
        </w:rPr>
        <w:t>Claim 11 (Independent)</w:t>
      </w:r>
    </w:p>
    <w:p>
      <w:pPr>
        <w:ind w:left="567"/>
      </w:pPr>
      <w:r>
        <w:rPr>
          <w:rFonts w:ascii="Times New Roman" w:hAnsi="Times New Roman"/>
          <w:sz w:val="24"/>
        </w:rPr>
        <w:t>A computer-implemented method for token lifecycle management in a queue system, comprising: generating tokens with per-day first-free numbering by querying existing tokens for the current date, extracting numeric suffixes, identifying the first unused number in the sequence, and assigning the token with office code prefix and zero-padded numeric suffix; enforcing a unique constraint on the combination of token number and token date; and supporting queue reset operations that atomically expire waiting tokens, delete expired tokens, and return the predicted next token number.</w:t>
      </w:r>
    </w:p>
    <w:p>
      <w:r>
        <w:rPr>
          <w:rFonts w:ascii="Times New Roman" w:hAnsi="Times New Roman"/>
          <w:b/>
          <w:sz w:val="24"/>
        </w:rPr>
        <w:t>Claim 12</w:t>
      </w:r>
    </w:p>
    <w:p>
      <w:pPr>
        <w:ind w:left="567"/>
      </w:pPr>
      <w:r>
        <w:rPr>
          <w:rFonts w:ascii="Times New Roman" w:hAnsi="Times New Roman"/>
          <w:sz w:val="24"/>
        </w:rPr>
        <w:t>The method of Claim 11, wherein the queue reset operation performs three atomic operations: setting status to "expired" for all waiting and called tokens, deleting expired and skipped tokens from the current day, and calculating the next available token number by identifying the first gap in the used number sequence.</w:t>
      </w:r>
    </w:p>
    <w:p>
      <w:r>
        <w:rPr>
          <w:rFonts w:ascii="Times New Roman" w:hAnsi="Times New Roman"/>
          <w:b/>
          <w:sz w:val="24"/>
        </w:rPr>
        <w:t>Claim 13</w:t>
      </w:r>
    </w:p>
    <w:p>
      <w:pPr>
        <w:ind w:left="567"/>
      </w:pPr>
      <w:r>
        <w:rPr>
          <w:rFonts w:ascii="Times New Roman" w:hAnsi="Times New Roman"/>
          <w:sz w:val="24"/>
        </w:rPr>
        <w:t>The method of Claim 11, wherein priority tokens generated for parent service requests (service code "PS") are sorted before standard tokens in the queue display and serving order, with priority status indicated visually on the receipt and public display.</w:t>
      </w:r>
    </w:p>
    <w:p>
      <w:r>
        <w:rPr>
          <w:rFonts w:ascii="Times New Roman" w:hAnsi="Times New Roman"/>
          <w:b/>
          <w:sz w:val="24"/>
        </w:rPr>
        <w:t>Claim 14</w:t>
      </w:r>
    </w:p>
    <w:p>
      <w:pPr>
        <w:ind w:left="567"/>
      </w:pPr>
      <w:r>
        <w:rPr>
          <w:rFonts w:ascii="Times New Roman" w:hAnsi="Times New Roman"/>
          <w:sz w:val="24"/>
        </w:rPr>
        <w:t>The method of Claim 11, further comprising rate-before-next-token enforcement, wherein a student with an unrated completed token is blocked from generating a new token until the previous token's feedback is submitted, the blocked state displaying the unrated token number and a direct link to the feedback submission page.</w:t>
      </w:r>
    </w:p>
    <w:p>
      <w:r>
        <w:rPr>
          <w:rFonts w:ascii="Times New Roman" w:hAnsi="Times New Roman"/>
          <w:b/>
          <w:sz w:val="24"/>
        </w:rPr>
        <w:t>Claim 15</w:t>
      </w:r>
    </w:p>
    <w:p>
      <w:pPr>
        <w:ind w:left="567"/>
      </w:pPr>
      <w:r>
        <w:rPr>
          <w:rFonts w:ascii="Times New Roman" w:hAnsi="Times New Roman"/>
          <w:sz w:val="24"/>
        </w:rPr>
        <w:t>The method of Claim 11, wherein an office availability gate prevents an administrator from marking an office as unavailable when students are currently waiting, returning a refusal message with the count of waiting students.</w:t>
      </w:r>
    </w:p>
    <w:p>
      <w:r>
        <w:rPr>
          <w:rFonts w:ascii="Times New Roman" w:hAnsi="Times New Roman"/>
          <w:b/>
          <w:sz w:val="24"/>
        </w:rPr>
        <w:t>Claim 16</w:t>
      </w:r>
    </w:p>
    <w:p>
      <w:pPr>
        <w:ind w:left="567"/>
      </w:pPr>
      <w:r>
        <w:rPr>
          <w:rFonts w:ascii="Times New Roman" w:hAnsi="Times New Roman"/>
          <w:sz w:val="24"/>
        </w:rPr>
        <w:t>The method of Claim 11, wherein batch operations allow calling, serving, or completing up to ten tokens simultaneously, with the batch size configurable between one and ten, and each operation incrementing a tokens-served counter on the officer's active session record.</w:t>
      </w:r>
    </w:p>
    <w:p>
      <w:pPr>
        <w:pStyle w:val="Heading1"/>
      </w:pPr>
      <w:r>
        <w:t>CATEGORY D: ATTENDANCE AND ANALYTICS</w:t>
      </w:r>
    </w:p>
    <w:p>
      <w:r>
        <w:rPr>
          <w:rFonts w:ascii="Times New Roman" w:hAnsi="Times New Roman"/>
          <w:b/>
          <w:sz w:val="24"/>
        </w:rPr>
        <w:t>Claim 17 (Independent)</w:t>
      </w:r>
    </w:p>
    <w:p>
      <w:pPr>
        <w:ind w:left="567"/>
      </w:pPr>
      <w:r>
        <w:rPr>
          <w:rFonts w:ascii="Times New Roman" w:hAnsi="Times New Roman"/>
          <w:sz w:val="24"/>
        </w:rPr>
        <w:t>A system for attendance tracking in a queue management environment, comprising: recording officer login and logout events with timestamps; calculating daily attendance using a first-login/last-logout method where the effective start time is clamped to no earlier than 8:00 AM and the effective end time is clamped to no later than 5:00 PM; merging multiple sessions within a single day by taking the minimum login time and maximum logout time; and computing monthly attendance targets dynamically based on the actual number of working days in the month.</w:t>
      </w:r>
    </w:p>
    <w:p>
      <w:r>
        <w:rPr>
          <w:rFonts w:ascii="Times New Roman" w:hAnsi="Times New Roman"/>
          <w:b/>
          <w:sz w:val="24"/>
        </w:rPr>
        <w:t>Claim 18</w:t>
      </w:r>
    </w:p>
    <w:p>
      <w:pPr>
        <w:ind w:left="567"/>
      </w:pPr>
      <w:r>
        <w:rPr>
          <w:rFonts w:ascii="Times New Roman" w:hAnsi="Times New Roman"/>
          <w:sz w:val="24"/>
        </w:rPr>
        <w:t>The system of Claim 17, wherein the monthly attendance target is computed by counting the number of days in the current month where the day of the week is Monday through Friday, and multiplying by 540 minutes (9 hours).</w:t>
      </w:r>
    </w:p>
    <w:p>
      <w:r>
        <w:rPr>
          <w:rFonts w:ascii="Times New Roman" w:hAnsi="Times New Roman"/>
          <w:b/>
          <w:sz w:val="24"/>
        </w:rPr>
        <w:t>Claim 19</w:t>
      </w:r>
    </w:p>
    <w:p>
      <w:pPr>
        <w:ind w:left="567"/>
      </w:pPr>
      <w:r>
        <w:rPr>
          <w:rFonts w:ascii="Times New Roman" w:hAnsi="Times New Roman"/>
          <w:sz w:val="24"/>
        </w:rPr>
        <w:t>The system of Claim 17, further comprising computation of four distinct time metrics: turnaround time (request to completion), service time (service start to completion), queue wait time (request to service start), and call response time (call to service start).</w:t>
      </w:r>
    </w:p>
    <w:p>
      <w:r>
        <w:rPr>
          <w:rFonts w:ascii="Times New Roman" w:hAnsi="Times New Roman"/>
          <w:b/>
          <w:sz w:val="24"/>
        </w:rPr>
        <w:t>Claim 20</w:t>
      </w:r>
    </w:p>
    <w:p>
      <w:pPr>
        <w:ind w:left="567"/>
      </w:pPr>
      <w:r>
        <w:rPr>
          <w:rFonts w:ascii="Times New Roman" w:hAnsi="Times New Roman"/>
          <w:sz w:val="24"/>
        </w:rPr>
        <w:t>The system of Claim 17, further comprising three-metric heatmap analytics providing hourly breakdowns of token creation count, average wait duration, and distinct officer presence per office per day, with peak hour and busiest office identification.</w:t>
      </w:r>
    </w:p>
    <w:p>
      <w:r>
        <w:rPr>
          <w:rFonts w:ascii="Times New Roman" w:hAnsi="Times New Roman"/>
          <w:b/>
          <w:sz w:val="24"/>
        </w:rPr>
        <w:t>Claim 21</w:t>
      </w:r>
    </w:p>
    <w:p>
      <w:pPr>
        <w:ind w:left="567"/>
      </w:pPr>
      <w:r>
        <w:rPr>
          <w:rFonts w:ascii="Times New Roman" w:hAnsi="Times New Roman"/>
          <w:sz w:val="24"/>
        </w:rPr>
        <w:t>The system of Claim 17, further comprising a tokens-per-hour efficiency metric computed as the total daily served tokens multiplied by 60 and divided by the total daily logged-in minutes, providing a measure of officer productivity.</w:t>
      </w:r>
    </w:p>
    <w:p>
      <w:pPr>
        <w:pStyle w:val="Heading1"/>
      </w:pPr>
      <w:r>
        <w:t>CATEGORY E: MULTI-PLATFORM KIOSK ARCHITECTURE</w:t>
      </w:r>
    </w:p>
    <w:p>
      <w:r>
        <w:rPr>
          <w:rFonts w:ascii="Times New Roman" w:hAnsi="Times New Roman"/>
          <w:b/>
          <w:sz w:val="24"/>
        </w:rPr>
        <w:t>Claim 22 (Independent)</w:t>
      </w:r>
    </w:p>
    <w:p>
      <w:pPr>
        <w:ind w:left="567"/>
      </w:pPr>
      <w:r>
        <w:rPr>
          <w:rFonts w:ascii="Times New Roman" w:hAnsi="Times New Roman"/>
          <w:sz w:val="24"/>
        </w:rPr>
        <w:t>A multi-platform kiosk system for queue management, comprising: an Electron desktop application configured in fullscreen kiosk mode with frameless window, always-on-top positioning, and display sleep prevention; a web-based interface with virtual keyboard detection and automatic layout adaptation; and a mobile application built with React Native/Expo providing real-time queue display; all platforms communicating with a centralized server through REST API endpoints.</w:t>
      </w:r>
    </w:p>
    <w:p>
      <w:r>
        <w:rPr>
          <w:rFonts w:ascii="Times New Roman" w:hAnsi="Times New Roman"/>
          <w:b/>
          <w:sz w:val="24"/>
        </w:rPr>
        <w:t>Claim 23</w:t>
      </w:r>
    </w:p>
    <w:p>
      <w:pPr>
        <w:ind w:left="567"/>
      </w:pPr>
      <w:r>
        <w:rPr>
          <w:rFonts w:ascii="Times New Roman" w:hAnsi="Times New Roman"/>
          <w:sz w:val="24"/>
        </w:rPr>
        <w:t>The system of Claim 22, wherein the Electron desktop application implements crash recovery comprising: monitoring renderer process crashed and unresponsive events with 2-second delayed restart; implementing a 30-attempt load retry with 3-second intervals; running a watchdog timer every 30 seconds testing renderer responsiveness; and recreating the window automatically upon window close events when the application is not in a quitting state.</w:t>
      </w:r>
    </w:p>
    <w:p>
      <w:r>
        <w:rPr>
          <w:rFonts w:ascii="Times New Roman" w:hAnsi="Times New Roman"/>
          <w:b/>
          <w:sz w:val="24"/>
        </w:rPr>
        <w:t>Claim 24</w:t>
      </w:r>
    </w:p>
    <w:p>
      <w:pPr>
        <w:ind w:left="567"/>
      </w:pPr>
      <w:r>
        <w:rPr>
          <w:rFonts w:ascii="Times New Roman" w:hAnsi="Times New Roman"/>
          <w:sz w:val="24"/>
        </w:rPr>
        <w:t>The system of Claim 22, wherein the Electron desktop application implements silent receipt printing by scanning available printers for name patterns matching "POSPrinter" or "80C", falling back to an environment variable for printer name, and printing with silent mode, background graphics enabled, no margins, and no header/footer.</w:t>
      </w:r>
    </w:p>
    <w:p>
      <w:r>
        <w:rPr>
          <w:rFonts w:ascii="Times New Roman" w:hAnsi="Times New Roman"/>
          <w:b/>
          <w:sz w:val="24"/>
        </w:rPr>
        <w:t>Claim 25</w:t>
      </w:r>
    </w:p>
    <w:p>
      <w:pPr>
        <w:ind w:left="567"/>
      </w:pPr>
      <w:r>
        <w:rPr>
          <w:rFonts w:ascii="Times New Roman" w:hAnsi="Times New Roman"/>
          <w:sz w:val="24"/>
        </w:rPr>
        <w:t>The system of Claim 22, wherein the feedback interface tracks the originating kiosk type using a URL query parameter (e.g., ?from=kiosk-B), and after feedback submission, redirects the user to the kiosk page corresponding to the originating kiosk type, defaulting to a standard kiosk page when no parameter is present.</w:t>
      </w:r>
    </w:p>
    <w:p>
      <w:r>
        <w:rPr>
          <w:rFonts w:ascii="Times New Roman" w:hAnsi="Times New Roman"/>
          <w:b/>
          <w:sz w:val="24"/>
        </w:rPr>
        <w:t>Claim 26</w:t>
      </w:r>
    </w:p>
    <w:p>
      <w:pPr>
        <w:ind w:left="567"/>
      </w:pPr>
      <w:r>
        <w:rPr>
          <w:rFonts w:ascii="Times New Roman" w:hAnsi="Times New Roman"/>
          <w:sz w:val="24"/>
        </w:rPr>
        <w:t>The system of Claim 22, wherein the kiosk auto-configuration comprises a PowerShell script that: checks Chrome installation across multiple file paths; sets the AutoplayAllowed registry key; creates a Chrome kiosk shortcut with --kiosk --autoplay-policy=no-user-gesture-required flags; adds the shortcut to the Windows Startup folder; and implements cursor auto-hiding after 3 seconds of inactivity.</w:t>
      </w:r>
    </w:p>
    <w:p>
      <w:pPr>
        <w:pStyle w:val="Heading1"/>
      </w:pPr>
      <w:r>
        <w:t>CATEGORY F: SECURITY AND INFRASTRUCTURE</w:t>
      </w:r>
    </w:p>
    <w:p>
      <w:r>
        <w:rPr>
          <w:rFonts w:ascii="Times New Roman" w:hAnsi="Times New Roman"/>
          <w:b/>
          <w:sz w:val="24"/>
        </w:rPr>
        <w:t>Claim 27 (Independent)</w:t>
      </w:r>
    </w:p>
    <w:p>
      <w:pPr>
        <w:ind w:left="567"/>
      </w:pPr>
      <w:r>
        <w:rPr>
          <w:rFonts w:ascii="Times New Roman" w:hAnsi="Times New Roman"/>
          <w:sz w:val="24"/>
        </w:rPr>
        <w:t>A token-based route protection system for a web application, comprising: generating an officer token persisted to a file on disk for persistent authentication; generating admin and feedback tokens as ephemeral secrets per server start; embedding tokens in URL paths for protected routes (e.g., /admin/{token}, /officer/{token}, /feedback.html/{token}); implementing decoy routes that redirect unauthorized access attempts; and providing a token lookup endpoint for authenticated token retrieval.</w:t>
      </w:r>
    </w:p>
    <w:p>
      <w:r>
        <w:rPr>
          <w:rFonts w:ascii="Times New Roman" w:hAnsi="Times New Roman"/>
          <w:b/>
          <w:sz w:val="24"/>
        </w:rPr>
        <w:t>Claim 28</w:t>
      </w:r>
    </w:p>
    <w:p>
      <w:pPr>
        <w:ind w:left="567"/>
      </w:pPr>
      <w:r>
        <w:rPr>
          <w:rFonts w:ascii="Times New Roman" w:hAnsi="Times New Roman"/>
          <w:sz w:val="24"/>
        </w:rPr>
        <w:t>The system of Claim 27, wherein decoy routes for /admin, /officer, /login, /workflow, and /feedback.html (without token) redirect to the application landing page, preventing direct access to protected pages without valid tokens.</w:t>
      </w:r>
    </w:p>
    <w:p>
      <w:r>
        <w:rPr>
          <w:rFonts w:ascii="Times New Roman" w:hAnsi="Times New Roman"/>
          <w:b/>
          <w:sz w:val="24"/>
        </w:rPr>
        <w:t>Claim 29</w:t>
      </w:r>
    </w:p>
    <w:p>
      <w:pPr>
        <w:ind w:left="567"/>
      </w:pPr>
      <w:r>
        <w:rPr>
          <w:rFonts w:ascii="Times New Roman" w:hAnsi="Times New Roman"/>
          <w:sz w:val="24"/>
        </w:rPr>
        <w:t>The system of Claim 27, further comprising a self-healing database auto-migration system that on server startup: creates missing tables, adds missing columns via ALTER TABLE, creates missing indexes, drops and recreates unique constraints, backfills new columns from existing data, and seeds default data for empty tables, all operations being idempotent.</w:t>
      </w:r>
    </w:p>
    <w:p>
      <w:r>
        <w:rPr>
          <w:rFonts w:ascii="Times New Roman" w:hAnsi="Times New Roman"/>
          <w:b/>
          <w:sz w:val="24"/>
        </w:rPr>
        <w:t>Claim 30</w:t>
      </w:r>
    </w:p>
    <w:p>
      <w:pPr>
        <w:ind w:left="567"/>
      </w:pPr>
      <w:r>
        <w:rPr>
          <w:rFonts w:ascii="Times New Roman" w:hAnsi="Times New Roman"/>
          <w:sz w:val="24"/>
        </w:rPr>
        <w:t>The system of Claim 27, further comprising geographic IP resolution for officer login tracking, wherein private IP addresses (127.x, 192.168.x, 10.x, 172.x) are identified as "Local Network" and public IP addresses are resolved to city, region, country, and GPS coordinates using an external geolocation service, with results stored in the officer session record.</w:t>
      </w:r>
    </w:p>
    <w:p>
      <w:r>
        <w:br w:type="page"/>
      </w:r>
    </w:p>
    <w:p>
      <w:pPr>
        <w:pStyle w:val="Heading1"/>
      </w:pPr>
      <w:r>
        <w:t>INDEPENDENT CLAIMS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Category</w:t>
            </w:r>
          </w:p>
        </w:tc>
        <w:tc>
          <w:tcPr>
            <w:tcW w:type="dxa" w:w="2880"/>
          </w:tcPr>
          <w:p>
            <w:r>
              <w:rPr>
                <w:rFonts w:ascii="Times New Roman" w:hAnsi="Times New Roman"/>
                <w:b/>
                <w:sz w:val="20"/>
              </w:rPr>
              <w:t>Claim</w:t>
            </w:r>
          </w:p>
        </w:tc>
        <w:tc>
          <w:tcPr>
            <w:tcW w:type="dxa" w:w="2880"/>
          </w:tcPr>
          <w:p>
            <w:r>
              <w:rPr>
                <w:rFonts w:ascii="Times New Roman" w:hAnsi="Times New Roman"/>
                <w:b/>
                <w:sz w:val="20"/>
              </w:rPr>
              <w:t>Type</w:t>
            </w:r>
          </w:p>
        </w:tc>
      </w:tr>
      <w:tr>
        <w:tc>
          <w:tcPr>
            <w:tcW w:type="dxa" w:w="2880"/>
          </w:tcPr>
          <w:p>
            <w:r>
              <w:rPr>
                <w:rFonts w:ascii="Times New Roman" w:hAnsi="Times New Roman"/>
                <w:sz w:val="20"/>
              </w:rPr>
              <w:t>A</w:t>
            </w:r>
          </w:p>
        </w:tc>
        <w:tc>
          <w:tcPr>
            <w:tcW w:type="dxa" w:w="2880"/>
          </w:tcPr>
          <w:p>
            <w:r>
              <w:rPr>
                <w:rFonts w:ascii="Times New Roman" w:hAnsi="Times New Roman"/>
                <w:sz w:val="20"/>
              </w:rPr>
              <w:t>Claim 1</w:t>
            </w:r>
          </w:p>
        </w:tc>
        <w:tc>
          <w:tcPr>
            <w:tcW w:type="dxa" w:w="2880"/>
          </w:tcPr>
          <w:p>
            <w:r>
              <w:rPr>
                <w:rFonts w:ascii="Times New Roman" w:hAnsi="Times New Roman"/>
                <w:sz w:val="20"/>
              </w:rPr>
              <w:t>AI-Powered Queue Intelligence</w:t>
            </w:r>
          </w:p>
        </w:tc>
      </w:tr>
      <w:tr>
        <w:tc>
          <w:tcPr>
            <w:tcW w:type="dxa" w:w="2880"/>
          </w:tcPr>
          <w:p>
            <w:r>
              <w:rPr>
                <w:rFonts w:ascii="Times New Roman" w:hAnsi="Times New Roman"/>
                <w:sz w:val="20"/>
              </w:rPr>
              <w:t>B</w:t>
            </w:r>
          </w:p>
        </w:tc>
        <w:tc>
          <w:tcPr>
            <w:tcW w:type="dxa" w:w="2880"/>
          </w:tcPr>
          <w:p>
            <w:r>
              <w:rPr>
                <w:rFonts w:ascii="Times New Roman" w:hAnsi="Times New Roman"/>
                <w:sz w:val="20"/>
              </w:rPr>
              <w:t>Claim 6</w:t>
            </w:r>
          </w:p>
        </w:tc>
        <w:tc>
          <w:tcPr>
            <w:tcW w:type="dxa" w:w="2880"/>
          </w:tcPr>
          <w:p>
            <w:r>
              <w:rPr>
                <w:rFonts w:ascii="Times New Roman" w:hAnsi="Times New Roman"/>
                <w:sz w:val="20"/>
              </w:rPr>
              <w:t>Voice and Real-Time Display</w:t>
            </w:r>
          </w:p>
        </w:tc>
      </w:tr>
      <w:tr>
        <w:tc>
          <w:tcPr>
            <w:tcW w:type="dxa" w:w="2880"/>
          </w:tcPr>
          <w:p>
            <w:r>
              <w:rPr>
                <w:rFonts w:ascii="Times New Roman" w:hAnsi="Times New Roman"/>
                <w:sz w:val="20"/>
              </w:rPr>
              <w:t>C</w:t>
            </w:r>
          </w:p>
        </w:tc>
        <w:tc>
          <w:tcPr>
            <w:tcW w:type="dxa" w:w="2880"/>
          </w:tcPr>
          <w:p>
            <w:r>
              <w:rPr>
                <w:rFonts w:ascii="Times New Roman" w:hAnsi="Times New Roman"/>
                <w:sz w:val="20"/>
              </w:rPr>
              <w:t>Claim 11</w:t>
            </w:r>
          </w:p>
        </w:tc>
        <w:tc>
          <w:tcPr>
            <w:tcW w:type="dxa" w:w="2880"/>
          </w:tcPr>
          <w:p>
            <w:r>
              <w:rPr>
                <w:rFonts w:ascii="Times New Roman" w:hAnsi="Times New Roman"/>
                <w:sz w:val="20"/>
              </w:rPr>
              <w:t>Token Lifecycle Management</w:t>
            </w:r>
          </w:p>
        </w:tc>
      </w:tr>
      <w:tr>
        <w:tc>
          <w:tcPr>
            <w:tcW w:type="dxa" w:w="2880"/>
          </w:tcPr>
          <w:p>
            <w:r>
              <w:rPr>
                <w:rFonts w:ascii="Times New Roman" w:hAnsi="Times New Roman"/>
                <w:sz w:val="20"/>
              </w:rPr>
              <w:t>D</w:t>
            </w:r>
          </w:p>
        </w:tc>
        <w:tc>
          <w:tcPr>
            <w:tcW w:type="dxa" w:w="2880"/>
          </w:tcPr>
          <w:p>
            <w:r>
              <w:rPr>
                <w:rFonts w:ascii="Times New Roman" w:hAnsi="Times New Roman"/>
                <w:sz w:val="20"/>
              </w:rPr>
              <w:t>Claim 17</w:t>
            </w:r>
          </w:p>
        </w:tc>
        <w:tc>
          <w:tcPr>
            <w:tcW w:type="dxa" w:w="2880"/>
          </w:tcPr>
          <w:p>
            <w:r>
              <w:rPr>
                <w:rFonts w:ascii="Times New Roman" w:hAnsi="Times New Roman"/>
                <w:sz w:val="20"/>
              </w:rPr>
              <w:t>Attendance and Analytics</w:t>
            </w:r>
          </w:p>
        </w:tc>
      </w:tr>
      <w:tr>
        <w:tc>
          <w:tcPr>
            <w:tcW w:type="dxa" w:w="2880"/>
          </w:tcPr>
          <w:p>
            <w:r>
              <w:rPr>
                <w:rFonts w:ascii="Times New Roman" w:hAnsi="Times New Roman"/>
                <w:sz w:val="20"/>
              </w:rPr>
              <w:t>E</w:t>
            </w:r>
          </w:p>
        </w:tc>
        <w:tc>
          <w:tcPr>
            <w:tcW w:type="dxa" w:w="2880"/>
          </w:tcPr>
          <w:p>
            <w:r>
              <w:rPr>
                <w:rFonts w:ascii="Times New Roman" w:hAnsi="Times New Roman"/>
                <w:sz w:val="20"/>
              </w:rPr>
              <w:t>Claim 22</w:t>
            </w:r>
          </w:p>
        </w:tc>
        <w:tc>
          <w:tcPr>
            <w:tcW w:type="dxa" w:w="2880"/>
          </w:tcPr>
          <w:p>
            <w:r>
              <w:rPr>
                <w:rFonts w:ascii="Times New Roman" w:hAnsi="Times New Roman"/>
                <w:sz w:val="20"/>
              </w:rPr>
              <w:t>Multi-Platform Kiosk Architecture</w:t>
            </w:r>
          </w:p>
        </w:tc>
      </w:tr>
      <w:tr>
        <w:tc>
          <w:tcPr>
            <w:tcW w:type="dxa" w:w="2880"/>
          </w:tcPr>
          <w:p>
            <w:r>
              <w:rPr>
                <w:rFonts w:ascii="Times New Roman" w:hAnsi="Times New Roman"/>
                <w:sz w:val="20"/>
              </w:rPr>
              <w:t>F</w:t>
            </w:r>
          </w:p>
        </w:tc>
        <w:tc>
          <w:tcPr>
            <w:tcW w:type="dxa" w:w="2880"/>
          </w:tcPr>
          <w:p>
            <w:r>
              <w:rPr>
                <w:rFonts w:ascii="Times New Roman" w:hAnsi="Times New Roman"/>
                <w:sz w:val="20"/>
              </w:rPr>
              <w:t>Claim 27</w:t>
            </w:r>
          </w:p>
        </w:tc>
        <w:tc>
          <w:tcPr>
            <w:tcW w:type="dxa" w:w="2880"/>
          </w:tcPr>
          <w:p>
            <w:r>
              <w:rPr>
                <w:rFonts w:ascii="Times New Roman" w:hAnsi="Times New Roman"/>
                <w:sz w:val="20"/>
              </w:rPr>
              <w:t>Security and Infrastructure</w:t>
            </w:r>
          </w:p>
        </w:tc>
      </w:tr>
    </w:tbl>
    <w:p>
      <w:r>
        <w:rPr>
          <w:rFonts w:ascii="Times New Roman" w:hAnsi="Times New Roman"/>
          <w:b/>
        </w:rPr>
        <w:t>Total Claims: 30 (6 Independent + 24 Dependent)</w:t>
      </w:r>
    </w:p>
    <w:p>
      <w:pPr>
        <w:pStyle w:val="Heading1"/>
      </w:pPr>
      <w:r>
        <w:t>INVENTOR DECLARATION</w:t>
      </w:r>
    </w:p>
    <w:p>
      <w:r>
        <w:t>I, Ogwal Richard, hereby declare that I am the original inventor of the Smart Queue Management System (SMQSS) described in this document, developed under the supervision of Odongo Steven Eyobu (PhD) at Makerere University. All claims herein are based on original research and development conducted between January 2025 and August 2026.</w:t>
      </w:r>
    </w:p>
    <w:p/>
    <w:p>
      <w:r>
        <w:rPr>
          <w:rFonts w:ascii="Times New Roman" w:hAnsi="Times New Roman"/>
        </w:rPr>
        <w:t>Inventor: Ogwal Richard</w:t>
      </w:r>
    </w:p>
    <w:p>
      <w:r>
        <w:rPr>
          <w:rFonts w:ascii="Times New Roman" w:hAnsi="Times New Roman"/>
        </w:rPr>
        <w:t>Student Number: 2300716574</w:t>
      </w:r>
    </w:p>
    <w:p>
      <w:r>
        <w:rPr>
          <w:rFonts w:ascii="Times New Roman" w:hAnsi="Times New Roman"/>
        </w:rPr>
        <w:t>Signature: ________________________</w:t>
      </w:r>
    </w:p>
    <w:p>
      <w:r>
        <w:rPr>
          <w:rFonts w:ascii="Times New Roman" w:hAnsi="Times New Roman"/>
        </w:rPr>
        <w:t>Date: ________________________</w:t>
      </w:r>
    </w:p>
    <w:p/>
    <w:p>
      <w:r>
        <w:rPr>
          <w:rFonts w:ascii="Times New Roman" w:hAnsi="Times New Roman"/>
        </w:rPr>
        <w:t>Advisor: Odongo Steven Eyobu (PhD)</w:t>
      </w:r>
    </w:p>
    <w:p>
      <w:r>
        <w:rPr>
          <w:rFonts w:ascii="Times New Roman" w:hAnsi="Times New Roman"/>
        </w:rPr>
        <w:t>Signature: ________________________</w:t>
      </w:r>
    </w:p>
    <w:p>
      <w:r>
        <w:rPr>
          <w:rFonts w:ascii="Times New Roman" w:hAnsi="Times New Roman"/>
        </w:rPr>
        <w:t>Date: ________________________</w:t>
      </w:r>
    </w:p>
    <w:p>
      <w:pPr>
        <w:jc w:val="center"/>
      </w:pPr>
      <w:r>
        <w:rPr>
          <w:rFonts w:ascii="Times New Roman" w:hAnsi="Times New Roman"/>
          <w:i/>
          <w:sz w:val="20"/>
        </w:rPr>
        <w:br/>
        <w:br/>
        <w:t>Claims prepared for intellectual property protection under the Uganda Industrial Property Act, 2003 and the ARIPO Harare Protocol on Patents.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