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4074"/>
          <w:sz w:val="22"/>
        </w:rPr>
        <w:t>SRM INSTITUTE OF SCIENCE AND TECHNOLOGY</w:t>
        <w:br/>
        <w:t>COLLEGE OF ENGINEERING AND TECHNOLOGY | SCHOOL OF COMPUTING</w:t>
        <w:br/>
        <w:t>DEPARTMENT OF DATA SCIENCE AND BUSINESS SYSTEMS</w:t>
        <w:br/>
      </w:r>
    </w:p>
    <w:p>
      <w:pPr>
        <w:jc w:val="center"/>
      </w:pPr>
      <w:r>
        <w:rPr>
          <w:rFonts w:ascii="Calibri" w:hAnsi="Calibri"/>
          <w:b/>
          <w:color w:val="0B2545"/>
          <w:sz w:val="30"/>
        </w:rPr>
        <w:t>UNIT 1 - TASK 2: RISK ANALYTICS TOOL EXPLORATION</w:t>
        <w:br/>
        <w:t>Comparative Evaluation of OpenFAIR, RiskLens, and LogicManager</w:t>
        <w:br/>
        <w:t>5-Parameter Benchmark: Cost, Features, Scalability, Reporting, Compliance</w:t>
      </w:r>
    </w:p>
    <w:p>
      <w:r>
        <w:rPr>
          <w:color w:val="0B2545"/>
        </w:rPr>
        <w:t>————————————————————————————————————————————————————————————</w:t>
      </w:r>
    </w:p>
    <w:p>
      <w:pPr>
        <w:pStyle w:val="Heading1"/>
      </w:pPr>
      <w:r>
        <w:rPr>
          <w:color w:val="0B2545"/>
        </w:rPr>
        <w:t>1. Executive Summary</w:t>
      </w:r>
    </w:p>
    <w:p>
      <w:r>
        <w:t>Modern enterprise risk management is transitioning from qualitative heat maps toward quantitative cyber risk analytics (CRQ). This evaluation systematically compares OpenFAIR (open source standard), RiskLens (commercial SaaS FAIR), and LogicManager (integrated GRC) across the 5 mandatory dimensions: Cost, Features, Scalability, Reporting, and Compliance.</w:t>
      </w:r>
    </w:p>
    <w:p>
      <w:pPr>
        <w:pStyle w:val="Heading1"/>
      </w:pPr>
      <w:r>
        <w:rPr>
          <w:color w:val="0B2545"/>
        </w:rPr>
        <w:t>2. Five-Parameter Comparative Benchmark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0B2545"/>
          </w:tcPr>
          <w:p>
            <w:pPr>
              <w:jc w:val="center"/>
            </w:pPr>
            <w:r>
              <w:rPr>
                <w:rFonts w:ascii="Calibri" w:hAnsi="Calibri"/>
                <w:b/>
                <w:color w:val="FFFFFF"/>
                <w:sz w:val="18"/>
              </w:rPr>
              <w:t>Parameter</w:t>
            </w:r>
          </w:p>
        </w:tc>
        <w:tc>
          <w:tcPr>
            <w:tcW w:type="dxa" w:w="2484"/>
            <w:shd w:fill="0B2545"/>
          </w:tcPr>
          <w:p>
            <w:pPr>
              <w:jc w:val="center"/>
            </w:pPr>
            <w:r>
              <w:rPr>
                <w:rFonts w:ascii="Calibri" w:hAnsi="Calibri"/>
                <w:b/>
                <w:color w:val="FFFFFF"/>
                <w:sz w:val="18"/>
              </w:rPr>
              <w:t>OpenFAIR (Open-Source)</w:t>
            </w:r>
          </w:p>
        </w:tc>
        <w:tc>
          <w:tcPr>
            <w:tcW w:type="dxa" w:w="2484"/>
            <w:shd w:fill="0B2545"/>
          </w:tcPr>
          <w:p>
            <w:pPr>
              <w:jc w:val="center"/>
            </w:pPr>
            <w:r>
              <w:rPr>
                <w:rFonts w:ascii="Calibri" w:hAnsi="Calibri"/>
                <w:b/>
                <w:color w:val="FFFFFF"/>
                <w:sz w:val="18"/>
              </w:rPr>
              <w:t>RiskLens (Commercial FAIR)</w:t>
            </w:r>
          </w:p>
        </w:tc>
        <w:tc>
          <w:tcPr>
            <w:tcW w:type="dxa" w:w="2484"/>
            <w:shd w:fill="0B2545"/>
          </w:tcPr>
          <w:p>
            <w:pPr>
              <w:jc w:val="center"/>
            </w:pPr>
            <w:r>
              <w:rPr>
                <w:rFonts w:ascii="Calibri" w:hAnsi="Calibri"/>
                <w:b/>
                <w:color w:val="FFFFFF"/>
                <w:sz w:val="18"/>
              </w:rPr>
              <w:t>LogicManager (Enterprise GRC)</w:t>
            </w:r>
          </w:p>
        </w:tc>
      </w:tr>
      <w:tr>
        <w:tc>
          <w:tcPr>
            <w:tcW w:type="dxa" w:w="2484"/>
          </w:tcPr>
          <w:p>
            <w:r>
              <w:rPr>
                <w:rFonts w:ascii="Calibri" w:hAnsi="Calibri"/>
                <w:sz w:val="16"/>
              </w:rPr>
              <w:t>1. Total Cost of Ownership</w:t>
            </w:r>
          </w:p>
        </w:tc>
        <w:tc>
          <w:tcPr>
            <w:tcW w:type="dxa" w:w="2484"/>
          </w:tcPr>
          <w:p>
            <w:r>
              <w:rPr>
                <w:rFonts w:ascii="Calibri" w:hAnsi="Calibri"/>
                <w:sz w:val="16"/>
              </w:rPr>
              <w:t>License: $0.</w:t>
              <w:br/>
              <w:t>Requires in-house quant analysts.</w:t>
              <w:br/>
              <w:t>Rating: 5/5 (Free)</w:t>
            </w:r>
          </w:p>
        </w:tc>
        <w:tc>
          <w:tcPr>
            <w:tcW w:type="dxa" w:w="2484"/>
          </w:tcPr>
          <w:p>
            <w:r>
              <w:rPr>
                <w:rFonts w:ascii="Calibri" w:hAnsi="Calibri"/>
                <w:sz w:val="16"/>
              </w:rPr>
              <w:t>License: $50k-$250k/yr.</w:t>
              <w:br/>
              <w:t>High SaaS cost, rapid cyber ROI.</w:t>
              <w:br/>
              <w:t>Rating: 2/5 (Expensive)</w:t>
            </w:r>
          </w:p>
        </w:tc>
        <w:tc>
          <w:tcPr>
            <w:tcW w:type="dxa" w:w="2484"/>
          </w:tcPr>
          <w:p>
            <w:r>
              <w:rPr>
                <w:rFonts w:ascii="Calibri" w:hAnsi="Calibri"/>
                <w:sz w:val="16"/>
              </w:rPr>
              <w:t>License: $25k-$120k/yr.</w:t>
              <w:br/>
              <w:t>Amortized across departments.</w:t>
              <w:br/>
              <w:t>Rating: 3/5 (Moderate)</w:t>
            </w:r>
          </w:p>
        </w:tc>
      </w:tr>
      <w:tr>
        <w:tc>
          <w:tcPr>
            <w:tcW w:type="dxa" w:w="2484"/>
          </w:tcPr>
          <w:p>
            <w:r>
              <w:rPr>
                <w:rFonts w:ascii="Calibri" w:hAnsi="Calibri"/>
                <w:sz w:val="16"/>
              </w:rPr>
              <w:t>2. Features &amp; Modeling</w:t>
            </w:r>
          </w:p>
        </w:tc>
        <w:tc>
          <w:tcPr>
            <w:tcW w:type="dxa" w:w="2484"/>
          </w:tcPr>
          <w:p>
            <w:r>
              <w:rPr>
                <w:rFonts w:ascii="Calibri" w:hAnsi="Calibri"/>
                <w:sz w:val="16"/>
              </w:rPr>
              <w:t>Pure Monte Carlo, Beta-PERT, full parameter control.</w:t>
              <w:br/>
              <w:t>Rating: 4/5 (Rigor)</w:t>
            </w:r>
          </w:p>
        </w:tc>
        <w:tc>
          <w:tcPr>
            <w:tcW w:type="dxa" w:w="2484"/>
          </w:tcPr>
          <w:p>
            <w:r>
              <w:rPr>
                <w:rFonts w:ascii="Calibri" w:hAnsi="Calibri"/>
                <w:sz w:val="16"/>
              </w:rPr>
              <w:t>Empirical loss tables, control ROI simulator, FAIR Enterprise.</w:t>
              <w:br/>
              <w:t>Rating: 5/5 (Gold Standard)</w:t>
            </w:r>
          </w:p>
        </w:tc>
        <w:tc>
          <w:tcPr>
            <w:tcW w:type="dxa" w:w="2484"/>
          </w:tcPr>
          <w:p>
            <w:r>
              <w:rPr>
                <w:rFonts w:ascii="Calibri" w:hAnsi="Calibri"/>
                <w:sz w:val="16"/>
              </w:rPr>
              <w:t>Qualitative scoring, survey workflows, incident logging.</w:t>
              <w:br/>
              <w:t>Rating: 3/5 (Qualitative)</w:t>
            </w:r>
          </w:p>
        </w:tc>
      </w:tr>
      <w:tr>
        <w:tc>
          <w:tcPr>
            <w:tcW w:type="dxa" w:w="2484"/>
          </w:tcPr>
          <w:p>
            <w:r>
              <w:rPr>
                <w:rFonts w:ascii="Calibri" w:hAnsi="Calibri"/>
                <w:sz w:val="16"/>
              </w:rPr>
              <w:t>3. Scalability &amp; APIs</w:t>
            </w:r>
          </w:p>
        </w:tc>
        <w:tc>
          <w:tcPr>
            <w:tcW w:type="dxa" w:w="2484"/>
          </w:tcPr>
          <w:p>
            <w:r>
              <w:rPr>
                <w:rFonts w:ascii="Calibri" w:hAnsi="Calibri"/>
                <w:sz w:val="16"/>
              </w:rPr>
              <w:t>Local workstation runtime, manual API scripting.</w:t>
              <w:br/>
              <w:t>Rating: 2/5 (Limited)</w:t>
            </w:r>
          </w:p>
        </w:tc>
        <w:tc>
          <w:tcPr>
            <w:tcW w:type="dxa" w:w="2484"/>
          </w:tcPr>
          <w:p>
            <w:r>
              <w:rPr>
                <w:rFonts w:ascii="Calibri" w:hAnsi="Calibri"/>
                <w:sz w:val="16"/>
              </w:rPr>
              <w:t>Elastic cloud microservices, ServiceNow/Splunk APIs.</w:t>
              <w:br/>
              <w:t>Rating: 4/5 (Enterprise SaaS)</w:t>
            </w:r>
          </w:p>
        </w:tc>
        <w:tc>
          <w:tcPr>
            <w:tcW w:type="dxa" w:w="2484"/>
          </w:tcPr>
          <w:p>
            <w:r>
              <w:rPr>
                <w:rFonts w:ascii="Calibri" w:hAnsi="Calibri"/>
                <w:sz w:val="16"/>
              </w:rPr>
              <w:t>Unlimited user surveys, graph relational GRC database.</w:t>
              <w:br/>
              <w:t>Rating: 5/5 (Org-wide)</w:t>
            </w:r>
          </w:p>
        </w:tc>
      </w:tr>
      <w:tr>
        <w:tc>
          <w:tcPr>
            <w:tcW w:type="dxa" w:w="2484"/>
          </w:tcPr>
          <w:p>
            <w:r>
              <w:rPr>
                <w:rFonts w:ascii="Calibri" w:hAnsi="Calibri"/>
                <w:sz w:val="16"/>
              </w:rPr>
              <w:t>4. Reporting &amp; Output</w:t>
            </w:r>
          </w:p>
        </w:tc>
        <w:tc>
          <w:tcPr>
            <w:tcW w:type="dxa" w:w="2484"/>
          </w:tcPr>
          <w:p>
            <w:r>
              <w:rPr>
                <w:rFonts w:ascii="Calibri" w:hAnsi="Calibri"/>
                <w:sz w:val="16"/>
              </w:rPr>
              <w:t>Statistical histograms, CDF/PDF curves.</w:t>
              <w:br/>
              <w:t>Rating: 2/5 (Technical)</w:t>
            </w:r>
          </w:p>
        </w:tc>
        <w:tc>
          <w:tcPr>
            <w:tcW w:type="dxa" w:w="2484"/>
          </w:tcPr>
          <w:p>
            <w:r>
              <w:rPr>
                <w:rFonts w:ascii="Calibri" w:hAnsi="Calibri"/>
                <w:sz w:val="16"/>
              </w:rPr>
              <w:t>Dollarized ALE, Loss Exceedance Curves, Board decks.</w:t>
              <w:br/>
              <w:t>Rating: 5/5 (Board Ready)</w:t>
            </w:r>
          </w:p>
        </w:tc>
        <w:tc>
          <w:tcPr>
            <w:tcW w:type="dxa" w:w="2484"/>
          </w:tcPr>
          <w:p>
            <w:r>
              <w:rPr>
                <w:rFonts w:ascii="Calibri" w:hAnsi="Calibri"/>
                <w:sz w:val="16"/>
              </w:rPr>
              <w:t>Heatmaps, compliance radar, deficiency tracking.</w:t>
              <w:br/>
              <w:t>Rating: 4/5 (Audit Focus)</w:t>
            </w:r>
          </w:p>
        </w:tc>
      </w:tr>
      <w:tr>
        <w:tc>
          <w:tcPr>
            <w:tcW w:type="dxa" w:w="2484"/>
          </w:tcPr>
          <w:p>
            <w:r>
              <w:rPr>
                <w:rFonts w:ascii="Calibri" w:hAnsi="Calibri"/>
                <w:sz w:val="16"/>
              </w:rPr>
              <w:t>5. Regulatory Compliance</w:t>
            </w:r>
          </w:p>
        </w:tc>
        <w:tc>
          <w:tcPr>
            <w:tcW w:type="dxa" w:w="2484"/>
          </w:tcPr>
          <w:p>
            <w:r>
              <w:rPr>
                <w:rFonts w:ascii="Calibri" w:hAnsi="Calibri"/>
                <w:sz w:val="16"/>
              </w:rPr>
              <w:t>Open Group OpenFAIR (O-RA / O-RT) standard compliant.</w:t>
              <w:br/>
              <w:t>Rating: 3/5 (Sound)</w:t>
            </w:r>
          </w:p>
        </w:tc>
        <w:tc>
          <w:tcPr>
            <w:tcW w:type="dxa" w:w="2484"/>
          </w:tcPr>
          <w:p>
            <w:r>
              <w:rPr>
                <w:rFonts w:ascii="Calibri" w:hAnsi="Calibri"/>
                <w:sz w:val="16"/>
              </w:rPr>
              <w:t>SEC Item 106, DORA, Basel Pillar 2 operational risk.</w:t>
              <w:br/>
              <w:t>Rating: 5/5 (Reg Defense)</w:t>
            </w:r>
          </w:p>
        </w:tc>
        <w:tc>
          <w:tcPr>
            <w:tcW w:type="dxa" w:w="2484"/>
          </w:tcPr>
          <w:p>
            <w:r>
              <w:rPr>
                <w:rFonts w:ascii="Calibri" w:hAnsi="Calibri"/>
                <w:sz w:val="16"/>
              </w:rPr>
              <w:t>SOX 404, ISO 31000, ISO 27001, COSO, HIPAA, GDPR.</w:t>
              <w:br/>
              <w:t>Rating: 5/5 (Universal)</w:t>
            </w:r>
          </w:p>
        </w:tc>
      </w:tr>
    </w:tbl>
    <w:p>
      <w:pPr>
        <w:pStyle w:val="Heading1"/>
      </w:pPr>
      <w:r>
        <w:rPr>
          <w:color w:val="0B2545"/>
        </w:rPr>
        <w:t>3. Pros and Cons Detailed Analysis</w:t>
      </w:r>
    </w:p>
    <w:p>
      <w:r>
        <w:t>• OpenFAIR: Pros include zero license fees and full algorithmic transparency; Cons include high reliance on senior data scientists and lack of native reporting dashboards.</w:t>
        <w:br/>
        <w:t>• RiskLens: Pros include defensible dollar-denominated risk metrics and empirical benchmark loss databases; Cons include premium subscription costs and proprietary model enclosure.</w:t>
        <w:br/>
        <w:t>• LogicManager: Pros include universal regulatory mapping (SOX, ISO, HIPAA) and broad organizational workflow scaling; Cons include absence of probabilistic Monte Carlo risk engines.</w:t>
      </w:r>
    </w:p>
    <w:p>
      <w:pPr>
        <w:pStyle w:val="Heading1"/>
      </w:pPr>
      <w:r>
        <w:rPr>
          <w:color w:val="0B2545"/>
        </w:rPr>
        <w:t>4. Strategic Selection Roadmap</w:t>
      </w:r>
    </w:p>
    <w:p>
      <w:r>
        <w:t>1. Academic Labs &amp; Boutique Consultancies: Adopt OpenFAIR (pyfair) for mathematical flexibility at zero software cost.</w:t>
        <w:br/>
        <w:t>2. Listed Banks &amp; Systemic Enterprises: Adopt RiskLens for defensible C-suite and SEC-mandated financial cyber quantification.</w:t>
        <w:br/>
        <w:t>3. Regulated Mid-Market Organizations: Adopt LogicManager for integrated ERM governance, supplemented with OpenFAIR scripts for targeted cyber assets.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