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4074"/>
          <w:sz w:val="22"/>
        </w:rPr>
        <w:t>SRM INSTITUTE OF SCIENCE AND TECHNOLOGY</w:t>
        <w:br/>
        <w:t>COLLEGE OF ENGINEERING AND TECHNOLOGY | SCHOOL OF COMPUTING</w:t>
        <w:br/>
        <w:t>DEPARTMENT OF DATA SCIENCE AND BUSINESS SYSTEMS</w:t>
        <w:br/>
      </w:r>
    </w:p>
    <w:p>
      <w:pPr>
        <w:jc w:val="center"/>
      </w:pPr>
      <w:r>
        <w:rPr>
          <w:rFonts w:ascii="Calibri" w:hAnsi="Calibri"/>
          <w:b/>
          <w:color w:val="0B2545"/>
          <w:sz w:val="30"/>
        </w:rPr>
        <w:t>UNIT 2 - TASK 1a: CREDIT RISK SCORECARD MODELING REPORT</w:t>
        <w:br/>
        <w:t>Application Scorecard &amp; Expected Loss (PD, LGD, EAD) Quantification</w:t>
        <w:br/>
        <w:t>Methodological Reference: Naeem Siddiqi (*Credit Risk Scorecards*, Wiley)</w:t>
      </w:r>
    </w:p>
    <w:p>
      <w:r>
        <w:rPr>
          <w:color w:val="0B2545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0B2545"/>
        </w:rPr>
        <w:t>1. Executive Summary &amp; Regulatory Context</w:t>
      </w:r>
    </w:p>
    <w:p>
      <w:r>
        <w:t>Credit scoring serves as the foundation of retail banking credit underwriting and capital adequacy under Basel III. This project develops and validates an industrial-grade logistic regression credit scorecard using the German Credit Risk dataset, adhering to Naeem Siddiqi's scorecard scaling framework (PDO=20, Target Score=600 at 50:1 odds). In addition to predicting binary default, the project models regulatory risk parameters: Probability of Default (PD), Loss Given Default (LGD), Exposure at Default (EAD), and portfolio Expected Loss (EL = PD * LGD * EAD).</w:t>
      </w:r>
    </w:p>
    <w:p>
      <w:pPr>
        <w:pStyle w:val="Heading1"/>
      </w:pPr>
      <w:r>
        <w:rPr>
          <w:color w:val="0B2545"/>
        </w:rPr>
        <w:t>2. Model Discrimination &amp; Validation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484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Train Set (N=750)</w:t>
            </w:r>
          </w:p>
        </w:tc>
        <w:tc>
          <w:tcPr>
            <w:tcW w:type="dxa" w:w="2484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Test Set (N=250)</w:t>
            </w:r>
          </w:p>
        </w:tc>
        <w:tc>
          <w:tcPr>
            <w:tcW w:type="dxa" w:w="2484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Industry Benchmark</w:t>
            </w:r>
          </w:p>
        </w:tc>
      </w:tr>
      <w:tr>
        <w:tc>
          <w:tcPr>
            <w:tcW w:type="dxa" w:w="2484"/>
          </w:tcPr>
          <w:p>
            <w:r>
              <w:t>ROC-AUC</w:t>
            </w:r>
          </w:p>
        </w:tc>
        <w:tc>
          <w:tcPr>
            <w:tcW w:type="dxa" w:w="2484"/>
          </w:tcPr>
          <w:p>
            <w:r>
              <w:t>0.8262</w:t>
            </w:r>
          </w:p>
        </w:tc>
        <w:tc>
          <w:tcPr>
            <w:tcW w:type="dxa" w:w="2484"/>
          </w:tcPr>
          <w:p>
            <w:r>
              <w:t>0.7765</w:t>
            </w:r>
          </w:p>
        </w:tc>
        <w:tc>
          <w:tcPr>
            <w:tcW w:type="dxa" w:w="2484"/>
          </w:tcPr>
          <w:p>
            <w:r>
              <w:t>&gt;= 0.75</w:t>
            </w:r>
          </w:p>
        </w:tc>
      </w:tr>
      <w:tr>
        <w:tc>
          <w:tcPr>
            <w:tcW w:type="dxa" w:w="2484"/>
          </w:tcPr>
          <w:p>
            <w:r>
              <w:t>Gini Coefficient (2*AUC - 1)</w:t>
            </w:r>
          </w:p>
        </w:tc>
        <w:tc>
          <w:tcPr>
            <w:tcW w:type="dxa" w:w="2484"/>
          </w:tcPr>
          <w:p>
            <w:r>
              <w:t>0.6523</w:t>
            </w:r>
          </w:p>
        </w:tc>
        <w:tc>
          <w:tcPr>
            <w:tcW w:type="dxa" w:w="2484"/>
          </w:tcPr>
          <w:p>
            <w:r>
              <w:t>0.5529</w:t>
            </w:r>
          </w:p>
        </w:tc>
        <w:tc>
          <w:tcPr>
            <w:tcW w:type="dxa" w:w="2484"/>
          </w:tcPr>
          <w:p>
            <w:r>
              <w:t>&gt;= 0.50</w:t>
            </w:r>
          </w:p>
        </w:tc>
      </w:tr>
      <w:tr>
        <w:tc>
          <w:tcPr>
            <w:tcW w:type="dxa" w:w="2484"/>
          </w:tcPr>
          <w:p>
            <w:r>
              <w:t>Kolmogorov-Smirnov (KS)</w:t>
            </w:r>
          </w:p>
        </w:tc>
        <w:tc>
          <w:tcPr>
            <w:tcW w:type="dxa" w:w="2484"/>
          </w:tcPr>
          <w:p>
            <w:r>
              <w:t>53.78%</w:t>
            </w:r>
          </w:p>
        </w:tc>
        <w:tc>
          <w:tcPr>
            <w:tcW w:type="dxa" w:w="2484"/>
          </w:tcPr>
          <w:p>
            <w:r>
              <w:t>44.00%</w:t>
            </w:r>
          </w:p>
        </w:tc>
        <w:tc>
          <w:tcPr>
            <w:tcW w:type="dxa" w:w="2484"/>
          </w:tcPr>
          <w:p>
            <w:r>
              <w:t>&gt;= 40.0%</w:t>
            </w:r>
          </w:p>
        </w:tc>
      </w:tr>
    </w:tbl>
    <w:p>
      <w:pPr>
        <w:pStyle w:val="Heading1"/>
      </w:pPr>
      <w:r>
        <w:rPr>
          <w:color w:val="0B2545"/>
        </w:rPr>
        <w:t>3. Performance Diagnostic Visualizations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B2545"/>
        </w:rPr>
        <w:t>4. Portfolio Expected Loss Summary by Rating Tier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Rating Grade</w:t>
            </w:r>
          </w:p>
        </w:tc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Observed Default %</w:t>
            </w:r>
          </w:p>
        </w:tc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Avg Score</w:t>
            </w:r>
          </w:p>
        </w:tc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Avg PD %</w:t>
            </w:r>
          </w:p>
        </w:tc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Total EAD (€)</w:t>
            </w:r>
          </w:p>
        </w:tc>
        <w:tc>
          <w:tcPr>
            <w:tcW w:type="dxa" w:w="1419"/>
            <w:shd w:fill="0B2545"/>
          </w:tcPr>
          <w:p>
            <w:pPr>
              <w:jc w:val="center"/>
            </w:pPr>
            <w:r>
              <w:rPr>
                <w:b/>
                <w:color w:val="FFFFFF"/>
              </w:rPr>
              <w:t>Total Expected Loss (€)</w:t>
            </w:r>
          </w:p>
        </w:tc>
      </w:tr>
      <w:tr>
        <w:tc>
          <w:tcPr>
            <w:tcW w:type="dxa" w:w="1419"/>
          </w:tcPr>
          <w:p>
            <w:r>
              <w:t>Grade F (High Risk / Subprime)</w:t>
            </w:r>
          </w:p>
        </w:tc>
        <w:tc>
          <w:tcPr>
            <w:tcW w:type="dxa" w:w="1419"/>
          </w:tcPr>
          <w:p>
            <w:r>
              <w:t>147</w:t>
            </w:r>
          </w:p>
        </w:tc>
        <w:tc>
          <w:tcPr>
            <w:tcW w:type="dxa" w:w="1419"/>
          </w:tcPr>
          <w:p>
            <w:r>
              <w:t>68.03%</w:t>
            </w:r>
          </w:p>
        </w:tc>
        <w:tc>
          <w:tcPr>
            <w:tcW w:type="dxa" w:w="1419"/>
          </w:tcPr>
          <w:p>
            <w:r>
              <w:t>681.8</w:t>
            </w:r>
          </w:p>
        </w:tc>
        <w:tc>
          <w:tcPr>
            <w:tcW w:type="dxa" w:w="1419"/>
          </w:tcPr>
          <w:p>
            <w:r>
              <w:t>72.43%</w:t>
            </w:r>
          </w:p>
        </w:tc>
        <w:tc>
          <w:tcPr>
            <w:tcW w:type="dxa" w:w="1419"/>
          </w:tcPr>
          <w:p>
            <w:r>
              <w:t>€766,077.00</w:t>
            </w:r>
          </w:p>
        </w:tc>
        <w:tc>
          <w:tcPr>
            <w:tcW w:type="dxa" w:w="1419"/>
          </w:tcPr>
          <w:p>
            <w:r>
              <w:t>€233,612.58</w:t>
            </w:r>
          </w:p>
        </w:tc>
      </w:tr>
      <w:tr>
        <w:tc>
          <w:tcPr>
            <w:tcW w:type="dxa" w:w="1419"/>
          </w:tcPr>
          <w:p>
            <w:r>
              <w:t>Grade D (Vulnerable / Speculative)</w:t>
            </w:r>
          </w:p>
        </w:tc>
        <w:tc>
          <w:tcPr>
            <w:tcW w:type="dxa" w:w="1419"/>
          </w:tcPr>
          <w:p>
            <w:r>
              <w:t>229</w:t>
            </w:r>
          </w:p>
        </w:tc>
        <w:tc>
          <w:tcPr>
            <w:tcW w:type="dxa" w:w="1419"/>
          </w:tcPr>
          <w:p>
            <w:r>
              <w:t>50.66%</w:t>
            </w:r>
          </w:p>
        </w:tc>
        <w:tc>
          <w:tcPr>
            <w:tcW w:type="dxa" w:w="1419"/>
          </w:tcPr>
          <w:p>
            <w:r>
              <w:t>716.2</w:t>
            </w:r>
          </w:p>
        </w:tc>
        <w:tc>
          <w:tcPr>
            <w:tcW w:type="dxa" w:w="1419"/>
          </w:tcPr>
          <w:p>
            <w:r>
              <w:t>45.77%</w:t>
            </w:r>
          </w:p>
        </w:tc>
        <w:tc>
          <w:tcPr>
            <w:tcW w:type="dxa" w:w="1419"/>
          </w:tcPr>
          <w:p>
            <w:r>
              <w:t>€832,236.00</w:t>
            </w:r>
          </w:p>
        </w:tc>
        <w:tc>
          <w:tcPr>
            <w:tcW w:type="dxa" w:w="1419"/>
          </w:tcPr>
          <w:p>
            <w:r>
              <w:t>€142,185.16</w:t>
            </w:r>
          </w:p>
        </w:tc>
      </w:tr>
      <w:tr>
        <w:tc>
          <w:tcPr>
            <w:tcW w:type="dxa" w:w="1419"/>
          </w:tcPr>
          <w:p>
            <w:r>
              <w:t>Grade C (Moderate Risk)</w:t>
            </w:r>
          </w:p>
        </w:tc>
        <w:tc>
          <w:tcPr>
            <w:tcW w:type="dxa" w:w="1419"/>
          </w:tcPr>
          <w:p>
            <w:r>
              <w:t>159</w:t>
            </w:r>
          </w:p>
        </w:tc>
        <w:tc>
          <w:tcPr>
            <w:tcW w:type="dxa" w:w="1419"/>
          </w:tcPr>
          <w:p>
            <w:r>
              <w:t>25.79%</w:t>
            </w:r>
          </w:p>
        </w:tc>
        <w:tc>
          <w:tcPr>
            <w:tcW w:type="dxa" w:w="1419"/>
          </w:tcPr>
          <w:p>
            <w:r>
              <w:t>740.7</w:t>
            </w:r>
          </w:p>
        </w:tc>
        <w:tc>
          <w:tcPr>
            <w:tcW w:type="dxa" w:w="1419"/>
          </w:tcPr>
          <w:p>
            <w:r>
              <w:t>26.59%</w:t>
            </w:r>
          </w:p>
        </w:tc>
        <w:tc>
          <w:tcPr>
            <w:tcW w:type="dxa" w:w="1419"/>
          </w:tcPr>
          <w:p>
            <w:r>
              <w:t>€476,081.00</w:t>
            </w:r>
          </w:p>
        </w:tc>
        <w:tc>
          <w:tcPr>
            <w:tcW w:type="dxa" w:w="1419"/>
          </w:tcPr>
          <w:p>
            <w:r>
              <w:t>€47,822.75</w:t>
            </w:r>
          </w:p>
        </w:tc>
      </w:tr>
      <w:tr>
        <w:tc>
          <w:tcPr>
            <w:tcW w:type="dxa" w:w="1419"/>
          </w:tcPr>
          <w:p>
            <w:r>
              <w:t>Grade B (Acceptable / Investment Grade)</w:t>
            </w:r>
          </w:p>
        </w:tc>
        <w:tc>
          <w:tcPr>
            <w:tcW w:type="dxa" w:w="1419"/>
          </w:tcPr>
          <w:p>
            <w:r>
              <w:t>166</w:t>
            </w:r>
          </w:p>
        </w:tc>
        <w:tc>
          <w:tcPr>
            <w:tcW w:type="dxa" w:w="1419"/>
          </w:tcPr>
          <w:p>
            <w:r>
              <w:t>14.46%</w:t>
            </w:r>
          </w:p>
        </w:tc>
        <w:tc>
          <w:tcPr>
            <w:tcW w:type="dxa" w:w="1419"/>
          </w:tcPr>
          <w:p>
            <w:r>
              <w:t>760.7</w:t>
            </w:r>
          </w:p>
        </w:tc>
        <w:tc>
          <w:tcPr>
            <w:tcW w:type="dxa" w:w="1419"/>
          </w:tcPr>
          <w:p>
            <w:r>
              <w:t>15.41%</w:t>
            </w:r>
          </w:p>
        </w:tc>
        <w:tc>
          <w:tcPr>
            <w:tcW w:type="dxa" w:w="1419"/>
          </w:tcPr>
          <w:p>
            <w:r>
              <w:t>€462,474.00</w:t>
            </w:r>
          </w:p>
        </w:tc>
        <w:tc>
          <w:tcPr>
            <w:tcW w:type="dxa" w:w="1419"/>
          </w:tcPr>
          <w:p>
            <w:r>
              <w:t>€25,005.46</w:t>
            </w:r>
          </w:p>
        </w:tc>
      </w:tr>
      <w:tr>
        <w:tc>
          <w:tcPr>
            <w:tcW w:type="dxa" w:w="1419"/>
          </w:tcPr>
          <w:p>
            <w:r>
              <w:t>Grade A (Prime / Low Risk)</w:t>
            </w:r>
          </w:p>
        </w:tc>
        <w:tc>
          <w:tcPr>
            <w:tcW w:type="dxa" w:w="1419"/>
          </w:tcPr>
          <w:p>
            <w:r>
              <w:t>162</w:t>
            </w:r>
          </w:p>
        </w:tc>
        <w:tc>
          <w:tcPr>
            <w:tcW w:type="dxa" w:w="1419"/>
          </w:tcPr>
          <w:p>
            <w:r>
              <w:t>9.26%</w:t>
            </w:r>
          </w:p>
        </w:tc>
        <w:tc>
          <w:tcPr>
            <w:tcW w:type="dxa" w:w="1419"/>
          </w:tcPr>
          <w:p>
            <w:r>
              <w:t>782.5</w:t>
            </w:r>
          </w:p>
        </w:tc>
        <w:tc>
          <w:tcPr>
            <w:tcW w:type="dxa" w:w="1419"/>
          </w:tcPr>
          <w:p>
            <w:r>
              <w:t>7.92%</w:t>
            </w:r>
          </w:p>
        </w:tc>
        <w:tc>
          <w:tcPr>
            <w:tcW w:type="dxa" w:w="1419"/>
          </w:tcPr>
          <w:p>
            <w:r>
              <w:t>€404,513.00</w:t>
            </w:r>
          </w:p>
        </w:tc>
        <w:tc>
          <w:tcPr>
            <w:tcW w:type="dxa" w:w="1419"/>
          </w:tcPr>
          <w:p>
            <w:r>
              <w:t>€11,348.49</w:t>
            </w:r>
          </w:p>
        </w:tc>
      </w:tr>
      <w:tr>
        <w:tc>
          <w:tcPr>
            <w:tcW w:type="dxa" w:w="1419"/>
          </w:tcPr>
          <w:p>
            <w:r>
              <w:t>Grade AAA (Super Prime / Pristine)</w:t>
            </w:r>
          </w:p>
        </w:tc>
        <w:tc>
          <w:tcPr>
            <w:tcW w:type="dxa" w:w="1419"/>
          </w:tcPr>
          <w:p>
            <w:r>
              <w:t>137</w:t>
            </w:r>
          </w:p>
        </w:tc>
        <w:tc>
          <w:tcPr>
            <w:tcW w:type="dxa" w:w="1419"/>
          </w:tcPr>
          <w:p>
            <w:r>
              <w:t>2.92%</w:t>
            </w:r>
          </w:p>
        </w:tc>
        <w:tc>
          <w:tcPr>
            <w:tcW w:type="dxa" w:w="1419"/>
          </w:tcPr>
          <w:p>
            <w:r>
              <w:t>814.2</w:t>
            </w:r>
          </w:p>
        </w:tc>
        <w:tc>
          <w:tcPr>
            <w:tcW w:type="dxa" w:w="1419"/>
          </w:tcPr>
          <w:p>
            <w:r>
              <w:t>2.99%</w:t>
            </w:r>
          </w:p>
        </w:tc>
        <w:tc>
          <w:tcPr>
            <w:tcW w:type="dxa" w:w="1419"/>
          </w:tcPr>
          <w:p>
            <w:r>
              <w:t>€329,877.00</w:t>
            </w:r>
          </w:p>
        </w:tc>
        <w:tc>
          <w:tcPr>
            <w:tcW w:type="dxa" w:w="1419"/>
          </w:tcPr>
          <w:p>
            <w:r>
              <w:t>€3,072.59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