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4074"/>
          <w:sz w:val="22"/>
        </w:rPr>
        <w:t>SRM INSTITUTE OF SCIENCE AND TECHNOLOGY</w:t>
        <w:br/>
        <w:t>COLLEGE OF ENGINEERING AND TECHNOLOGY | SCHOOL OF COMPUTING</w:t>
        <w:br/>
        <w:t>DEPARTMENT OF DATA SCIENCE AND BUSINESS SYSTEMS</w:t>
        <w:br/>
      </w:r>
    </w:p>
    <w:p>
      <w:pPr>
        <w:jc w:val="center"/>
      </w:pPr>
      <w:r>
        <w:rPr>
          <w:rFonts w:ascii="Calibri" w:hAnsi="Calibri"/>
          <w:b/>
          <w:color w:val="0B2545"/>
          <w:sz w:val="28"/>
        </w:rPr>
        <w:t>UNIT 2 - TASK 2: REGULATORY GAP ANALYSIS (RESEARCH PAPER REVIEW)</w:t>
        <w:br/>
        <w:t>A Critical Analysis of RBI's ICAAP Guidelines vs. Basel III Standards</w:t>
        <w:br/>
        <w:t>Super-Equivalence, Structural Divergences, and Macroprudential Implications</w:t>
      </w:r>
    </w:p>
    <w:p>
      <w:r>
        <w:rPr>
          <w:color w:val="0B2545"/>
        </w:rPr>
        <w:t>————————————————————————————————————————————————————————————</w:t>
      </w:r>
    </w:p>
    <w:p>
      <w:pPr>
        <w:pStyle w:val="Heading1"/>
      </w:pPr>
      <w:r>
        <w:rPr>
          <w:color w:val="0B2545"/>
        </w:rPr>
        <w:t>Abstract</w:t>
      </w:r>
    </w:p>
    <w:p>
      <w:r>
        <w:t>This research paper critique evaluates the Reserve Bank of India's (RBI) Internal Capital Adequacy Assessment Process (ICAAP) guidelines against the Basel Committee on Banking Supervision (BCBS) Basel III global standard. We isolate and dissect 10 critical structural divergences, including capital ratios, sovereign risk-weighting, SLR liquidity carve-outs, credit provisioning, and IRRBB.</w:t>
      </w:r>
    </w:p>
    <w:p>
      <w:pPr>
        <w:pStyle w:val="Heading1"/>
      </w:pPr>
      <w:r>
        <w:rPr>
          <w:color w:val="0B2545"/>
        </w:rPr>
        <w:t>Ten Key Structural Differences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B2545"/>
          </w:tcPr>
          <w:p>
            <w:pPr>
              <w:jc w:val="center"/>
            </w:pPr>
            <w:r>
              <w:rPr>
                <w:b/>
                <w:color w:val="FFFFFF"/>
              </w:rPr>
              <w:t>#</w:t>
            </w:r>
          </w:p>
        </w:tc>
        <w:tc>
          <w:tcPr>
            <w:tcW w:type="dxa" w:w="1987"/>
            <w:shd w:fill="0B2545"/>
          </w:tcPr>
          <w:p>
            <w:pPr>
              <w:jc w:val="center"/>
            </w:pPr>
            <w:r>
              <w:rPr>
                <w:b/>
                <w:color w:val="FFFFFF"/>
              </w:rPr>
              <w:t>Regulatory Dimension</w:t>
            </w:r>
          </w:p>
        </w:tc>
        <w:tc>
          <w:tcPr>
            <w:tcW w:type="dxa" w:w="1987"/>
            <w:shd w:fill="0B2545"/>
          </w:tcPr>
          <w:p>
            <w:pPr>
              <w:jc w:val="center"/>
            </w:pPr>
            <w:r>
              <w:rPr>
                <w:b/>
                <w:color w:val="FFFFFF"/>
              </w:rPr>
              <w:t>Basel III Global Standard</w:t>
            </w:r>
          </w:p>
        </w:tc>
        <w:tc>
          <w:tcPr>
            <w:tcW w:type="dxa" w:w="1987"/>
            <w:shd w:fill="0B2545"/>
          </w:tcPr>
          <w:p>
            <w:pPr>
              <w:jc w:val="center"/>
            </w:pPr>
            <w:r>
              <w:rPr>
                <w:b/>
                <w:color w:val="FFFFFF"/>
              </w:rPr>
              <w:t>RBI ICAAP Guidelines</w:t>
            </w:r>
          </w:p>
        </w:tc>
        <w:tc>
          <w:tcPr>
            <w:tcW w:type="dxa" w:w="1987"/>
            <w:shd w:fill="0B2545"/>
          </w:tcPr>
          <w:p>
            <w:pPr>
              <w:jc w:val="center"/>
            </w:pPr>
            <w:r>
              <w:rPr>
                <w:b/>
                <w:color w:val="FFFFFF"/>
              </w:rPr>
              <w:t>Macroprudential Critique</w:t>
            </w:r>
          </w:p>
        </w:tc>
      </w:tr>
      <w:tr>
        <w:tc>
          <w:tcPr>
            <w:tcW w:type="dxa" w:w="1987"/>
          </w:tcPr>
          <w:p>
            <w:r>
              <w:rPr>
                <w:sz w:val="16"/>
              </w:rPr>
              <w:t>1</w:t>
            </w:r>
          </w:p>
        </w:tc>
        <w:tc>
          <w:tcPr>
            <w:tcW w:type="dxa" w:w="1987"/>
          </w:tcPr>
          <w:p>
            <w:r>
              <w:rPr>
                <w:sz w:val="16"/>
              </w:rPr>
              <w:t>Common Equity Tier 1 (CET1) Minimum</w:t>
            </w:r>
          </w:p>
        </w:tc>
        <w:tc>
          <w:tcPr>
            <w:tcW w:type="dxa" w:w="1987"/>
          </w:tcPr>
          <w:p>
            <w:r>
              <w:rPr>
                <w:sz w:val="16"/>
              </w:rPr>
              <w:t>Minimum CET1 ratio of 4.5% of Risk-Weighted Assets (RWAs).</w:t>
            </w:r>
          </w:p>
        </w:tc>
        <w:tc>
          <w:tcPr>
            <w:tcW w:type="dxa" w:w="1987"/>
          </w:tcPr>
          <w:p>
            <w:r>
              <w:rPr>
                <w:sz w:val="16"/>
              </w:rPr>
              <w:t>Minimum CET1 ratio of 5.5% of RWAs (100 bps super-equivalent gold-plating).</w:t>
            </w:r>
          </w:p>
        </w:tc>
        <w:tc>
          <w:tcPr>
            <w:tcW w:type="dxa" w:w="1987"/>
          </w:tcPr>
          <w:p>
            <w:r>
              <w:rPr>
                <w:sz w:val="16"/>
              </w:rPr>
              <w:t>Buffers against higher emerging-market asset volatility and historical public-sector bank capital erosion.</w:t>
            </w:r>
          </w:p>
        </w:tc>
      </w:tr>
      <w:tr>
        <w:tc>
          <w:tcPr>
            <w:tcW w:type="dxa" w:w="1987"/>
          </w:tcPr>
          <w:p>
            <w:r>
              <w:rPr>
                <w:sz w:val="16"/>
              </w:rPr>
              <w:t>2</w:t>
            </w:r>
          </w:p>
        </w:tc>
        <w:tc>
          <w:tcPr>
            <w:tcW w:type="dxa" w:w="1987"/>
          </w:tcPr>
          <w:p>
            <w:r>
              <w:rPr>
                <w:sz w:val="16"/>
              </w:rPr>
              <w:t>Minimum Tier 1 Capital Ratio</w:t>
            </w:r>
          </w:p>
        </w:tc>
        <w:tc>
          <w:tcPr>
            <w:tcW w:type="dxa" w:w="1987"/>
          </w:tcPr>
          <w:p>
            <w:r>
              <w:rPr>
                <w:sz w:val="16"/>
              </w:rPr>
              <w:t>Minimum Tier 1 capital ratio of 6.0% of RWAs.</w:t>
            </w:r>
          </w:p>
        </w:tc>
        <w:tc>
          <w:tcPr>
            <w:tcW w:type="dxa" w:w="1987"/>
          </w:tcPr>
          <w:p>
            <w:r>
              <w:rPr>
                <w:sz w:val="16"/>
              </w:rPr>
              <w:t>Minimum Tier 1 capital ratio of 7.0% of RWAs (100 bps higher than BCBS standard).</w:t>
            </w:r>
          </w:p>
        </w:tc>
        <w:tc>
          <w:tcPr>
            <w:tcW w:type="dxa" w:w="1987"/>
          </w:tcPr>
          <w:p>
            <w:r>
              <w:rPr>
                <w:sz w:val="16"/>
              </w:rPr>
              <w:t>Ensures that loss-absorption capacity remains anchored in permanent high-quality going-concern equity.</w:t>
            </w:r>
          </w:p>
        </w:tc>
      </w:tr>
      <w:tr>
        <w:tc>
          <w:tcPr>
            <w:tcW w:type="dxa" w:w="1987"/>
          </w:tcPr>
          <w:p>
            <w:r>
              <w:rPr>
                <w:sz w:val="16"/>
              </w:rPr>
              <w:t>3</w:t>
            </w:r>
          </w:p>
        </w:tc>
        <w:tc>
          <w:tcPr>
            <w:tcW w:type="dxa" w:w="1987"/>
          </w:tcPr>
          <w:p>
            <w:r>
              <w:rPr>
                <w:sz w:val="16"/>
              </w:rPr>
              <w:t>Minimum Total Capital (CRAR) Requirement</w:t>
            </w:r>
          </w:p>
        </w:tc>
        <w:tc>
          <w:tcPr>
            <w:tcW w:type="dxa" w:w="1987"/>
          </w:tcPr>
          <w:p>
            <w:r>
              <w:rPr>
                <w:sz w:val="16"/>
              </w:rPr>
              <w:t>Minimum Capital to Risk-Weighted Assets Ratio (CRAR) of 8.0%.</w:t>
            </w:r>
          </w:p>
        </w:tc>
        <w:tc>
          <w:tcPr>
            <w:tcW w:type="dxa" w:w="1987"/>
          </w:tcPr>
          <w:p>
            <w:r>
              <w:rPr>
                <w:sz w:val="16"/>
              </w:rPr>
              <w:t>Minimum CRAR of 9.0% for commercial banks (11.5% including 2.5% CCB).</w:t>
            </w:r>
          </w:p>
        </w:tc>
        <w:tc>
          <w:tcPr>
            <w:tcW w:type="dxa" w:w="1987"/>
          </w:tcPr>
          <w:p>
            <w:r>
              <w:rPr>
                <w:sz w:val="16"/>
              </w:rPr>
              <w:t>Stricter Pillar 1 baseline to absorb elevated structural credit and concentration risks in the Indian financial system.</w:t>
            </w:r>
          </w:p>
        </w:tc>
      </w:tr>
      <w:tr>
        <w:tc>
          <w:tcPr>
            <w:tcW w:type="dxa" w:w="1987"/>
          </w:tcPr>
          <w:p>
            <w:r>
              <w:rPr>
                <w:sz w:val="16"/>
              </w:rPr>
              <w:t>4</w:t>
            </w:r>
          </w:p>
        </w:tc>
        <w:tc>
          <w:tcPr>
            <w:tcW w:type="dxa" w:w="1987"/>
          </w:tcPr>
          <w:p>
            <w:r>
              <w:rPr>
                <w:sz w:val="16"/>
              </w:rPr>
              <w:t>Capital Conservation Buffer (CCB) Enforcement</w:t>
            </w:r>
          </w:p>
        </w:tc>
        <w:tc>
          <w:tcPr>
            <w:tcW w:type="dxa" w:w="1987"/>
          </w:tcPr>
          <w:p>
            <w:r>
              <w:rPr>
                <w:sz w:val="16"/>
              </w:rPr>
              <w:t>2.5% CCB phased in from 2016-2019; uniform distribution restriction tiers.</w:t>
            </w:r>
          </w:p>
        </w:tc>
        <w:tc>
          <w:tcPr>
            <w:tcW w:type="dxa" w:w="1987"/>
          </w:tcPr>
          <w:p>
            <w:r>
              <w:rPr>
                <w:sz w:val="16"/>
              </w:rPr>
              <w:t>2.5% CCB enforced; transition deferred multiple times during COVID-19 shock to support bank lending.</w:t>
            </w:r>
          </w:p>
        </w:tc>
        <w:tc>
          <w:tcPr>
            <w:tcW w:type="dxa" w:w="1987"/>
          </w:tcPr>
          <w:p>
            <w:r>
              <w:rPr>
                <w:sz w:val="16"/>
              </w:rPr>
              <w:t>Calibrated counter-cyclical forbearance balancing macroeconomic credit flow with systemic solvency.</w:t>
            </w:r>
          </w:p>
        </w:tc>
      </w:tr>
      <w:tr>
        <w:tc>
          <w:tcPr>
            <w:tcW w:type="dxa" w:w="1987"/>
          </w:tcPr>
          <w:p>
            <w:r>
              <w:rPr>
                <w:sz w:val="16"/>
              </w:rPr>
              <w:t>5</w:t>
            </w:r>
          </w:p>
        </w:tc>
        <w:tc>
          <w:tcPr>
            <w:tcW w:type="dxa" w:w="1987"/>
          </w:tcPr>
          <w:p>
            <w:r>
              <w:rPr>
                <w:sz w:val="16"/>
              </w:rPr>
              <w:t>Countercyclical Capital Buffer (CCCB) Activation</w:t>
            </w:r>
          </w:p>
        </w:tc>
        <w:tc>
          <w:tcPr>
            <w:tcW w:type="dxa" w:w="1987"/>
          </w:tcPr>
          <w:p>
            <w:r>
              <w:rPr>
                <w:sz w:val="16"/>
              </w:rPr>
              <w:t>0% to 2.5% activated mechanistically based on the Credit-to-GDP gap.</w:t>
            </w:r>
          </w:p>
        </w:tc>
        <w:tc>
          <w:tcPr>
            <w:tcW w:type="dxa" w:w="1987"/>
          </w:tcPr>
          <w:p>
            <w:r>
              <w:rPr>
                <w:sz w:val="16"/>
              </w:rPr>
              <w:t>Maintained at 0% since inception; RBI relies instead on targeted sectoral risk-weight hikes (unsecured consumer credit).</w:t>
            </w:r>
          </w:p>
        </w:tc>
        <w:tc>
          <w:tcPr>
            <w:tcW w:type="dxa" w:w="1987"/>
          </w:tcPr>
          <w:p>
            <w:r>
              <w:rPr>
                <w:sz w:val="16"/>
              </w:rPr>
              <w:t>Credit-to-GDP gap in developing economies is skewed by structural financial deepening; targeted micro-prudential hikes are more effective.</w:t>
            </w:r>
          </w:p>
        </w:tc>
      </w:tr>
      <w:tr>
        <w:tc>
          <w:tcPr>
            <w:tcW w:type="dxa" w:w="1987"/>
          </w:tcPr>
          <w:p>
            <w:r>
              <w:rPr>
                <w:sz w:val="16"/>
              </w:rPr>
              <w:t>6</w:t>
            </w:r>
          </w:p>
        </w:tc>
        <w:tc>
          <w:tcPr>
            <w:tcW w:type="dxa" w:w="1987"/>
          </w:tcPr>
          <w:p>
            <w:r>
              <w:rPr>
                <w:sz w:val="16"/>
              </w:rPr>
              <w:t>Sovereign Debt Risk Weights (Credit Risk)</w:t>
            </w:r>
          </w:p>
        </w:tc>
        <w:tc>
          <w:tcPr>
            <w:tcW w:type="dxa" w:w="1987"/>
          </w:tcPr>
          <w:p>
            <w:r>
              <w:rPr>
                <w:sz w:val="16"/>
              </w:rPr>
              <w:t>0% risk weight tied to external credit rating (AAA to AA-); non-zero for lower ratings.</w:t>
            </w:r>
          </w:p>
        </w:tc>
        <w:tc>
          <w:tcPr>
            <w:tcW w:type="dxa" w:w="1987"/>
          </w:tcPr>
          <w:p>
            <w:r>
              <w:rPr>
                <w:sz w:val="16"/>
              </w:rPr>
              <w:t>Mandatory 0% risk weight for all Central and State Government securities (including State Development Loans - SDLs).</w:t>
            </w:r>
          </w:p>
        </w:tc>
        <w:tc>
          <w:tcPr>
            <w:tcW w:type="dxa" w:w="1987"/>
          </w:tcPr>
          <w:p>
            <w:r>
              <w:rPr>
                <w:sz w:val="16"/>
              </w:rPr>
              <w:t>Facilitates seamless domestic sovereign borrowing and statutory pre-emption without capital penalty.</w:t>
            </w:r>
          </w:p>
        </w:tc>
      </w:tr>
      <w:tr>
        <w:tc>
          <w:tcPr>
            <w:tcW w:type="dxa" w:w="1987"/>
          </w:tcPr>
          <w:p>
            <w:r>
              <w:rPr>
                <w:sz w:val="16"/>
              </w:rPr>
              <w:t>7</w:t>
            </w:r>
          </w:p>
        </w:tc>
        <w:tc>
          <w:tcPr>
            <w:tcW w:type="dxa" w:w="1987"/>
          </w:tcPr>
          <w:p>
            <w:r>
              <w:rPr>
                <w:sz w:val="16"/>
              </w:rPr>
              <w:t>Liquidity Coverage: SLR Carve-Out vs HQLA</w:t>
            </w:r>
          </w:p>
        </w:tc>
        <w:tc>
          <w:tcPr>
            <w:tcW w:type="dxa" w:w="1987"/>
          </w:tcPr>
          <w:p>
            <w:r>
              <w:rPr>
                <w:sz w:val="16"/>
              </w:rPr>
              <w:t>High-Quality Liquid Assets (HQLA) strictly unencumbered cash and central bank reserves.</w:t>
            </w:r>
          </w:p>
        </w:tc>
        <w:tc>
          <w:tcPr>
            <w:tcW w:type="dxa" w:w="1987"/>
          </w:tcPr>
          <w:p>
            <w:r>
              <w:rPr>
                <w:sz w:val="16"/>
              </w:rPr>
              <w:t>Permits banks to carve out up to 15-18% of Statutory Liquidity Ratio (SLR) via FALLCR and MSF as Level 1 HQLA.</w:t>
            </w:r>
          </w:p>
        </w:tc>
        <w:tc>
          <w:tcPr>
            <w:tcW w:type="dxa" w:w="1987"/>
          </w:tcPr>
          <w:p>
            <w:r>
              <w:rPr>
                <w:sz w:val="16"/>
              </w:rPr>
              <w:t>Harmonizes India's legacy statutory reserve requirement (SLR ~18%) with modern Basel LCR compliance.</w:t>
            </w:r>
          </w:p>
        </w:tc>
      </w:tr>
      <w:tr>
        <w:tc>
          <w:tcPr>
            <w:tcW w:type="dxa" w:w="1987"/>
          </w:tcPr>
          <w:p>
            <w:r>
              <w:rPr>
                <w:sz w:val="16"/>
              </w:rPr>
              <w:t>8</w:t>
            </w:r>
          </w:p>
        </w:tc>
        <w:tc>
          <w:tcPr>
            <w:tcW w:type="dxa" w:w="1987"/>
          </w:tcPr>
          <w:p>
            <w:r>
              <w:rPr>
                <w:sz w:val="16"/>
              </w:rPr>
              <w:t>Asset Classification &amp; Loan Loss Provisioning</w:t>
            </w:r>
          </w:p>
        </w:tc>
        <w:tc>
          <w:tcPr>
            <w:tcW w:type="dxa" w:w="1987"/>
          </w:tcPr>
          <w:p>
            <w:r>
              <w:rPr>
                <w:sz w:val="16"/>
              </w:rPr>
              <w:t>Expected Credit Loss (ECL) 3-stage forward-looking impairment model (IFRS 9).</w:t>
            </w:r>
          </w:p>
        </w:tc>
        <w:tc>
          <w:tcPr>
            <w:tcW w:type="dxa" w:w="1987"/>
          </w:tcPr>
          <w:p>
            <w:r>
              <w:rPr>
                <w:sz w:val="16"/>
              </w:rPr>
              <w:t>Incurred Loss Model with formulaic 90-day NPA delinquency provisioning (Sub-standard 15%, Doubtful 25-100%); ECL in phased transition.</w:t>
            </w:r>
          </w:p>
        </w:tc>
        <w:tc>
          <w:tcPr>
            <w:tcW w:type="dxa" w:w="1987"/>
          </w:tcPr>
          <w:p>
            <w:r>
              <w:rPr>
                <w:sz w:val="16"/>
              </w:rPr>
              <w:t>Rule-based supervisory provisioning prevents subjective bank management under-provisioning during credit cycles.</w:t>
            </w:r>
          </w:p>
        </w:tc>
      </w:tr>
      <w:tr>
        <w:tc>
          <w:tcPr>
            <w:tcW w:type="dxa" w:w="1987"/>
          </w:tcPr>
          <w:p>
            <w:r>
              <w:rPr>
                <w:sz w:val="16"/>
              </w:rPr>
              <w:t>9</w:t>
            </w:r>
          </w:p>
        </w:tc>
        <w:tc>
          <w:tcPr>
            <w:tcW w:type="dxa" w:w="1987"/>
          </w:tcPr>
          <w:p>
            <w:r>
              <w:rPr>
                <w:sz w:val="16"/>
              </w:rPr>
              <w:t>Interest Rate Risk in Banking Book (IRRBB)</w:t>
            </w:r>
          </w:p>
        </w:tc>
        <w:tc>
          <w:tcPr>
            <w:tcW w:type="dxa" w:w="1987"/>
          </w:tcPr>
          <w:p>
            <w:r>
              <w:rPr>
                <w:sz w:val="16"/>
              </w:rPr>
              <w:t>Pillar 2 supervisory outlier test (+/-200 bps parallel or 6 standardized shock scenarios).</w:t>
            </w:r>
          </w:p>
        </w:tc>
        <w:tc>
          <w:tcPr>
            <w:tcW w:type="dxa" w:w="1987"/>
          </w:tcPr>
          <w:p>
            <w:r>
              <w:rPr>
                <w:sz w:val="16"/>
              </w:rPr>
              <w:t>Explicit Pillar 2 capital add-on under ICAAP combining Earnings at Risk (EaR) and Economic Value of Equity (EVE) simulation.</w:t>
            </w:r>
          </w:p>
        </w:tc>
        <w:tc>
          <w:tcPr>
            <w:tcW w:type="dxa" w:w="1987"/>
          </w:tcPr>
          <w:p>
            <w:r>
              <w:rPr>
                <w:sz w:val="16"/>
              </w:rPr>
              <w:t>Indian commercial banks hold heavy fixed-rate government bond portfolios, creating acute duration and yield curve vulnerabilities.</w:t>
            </w:r>
          </w:p>
        </w:tc>
      </w:tr>
      <w:tr>
        <w:tc>
          <w:tcPr>
            <w:tcW w:type="dxa" w:w="1987"/>
          </w:tcPr>
          <w:p>
            <w:r>
              <w:rPr>
                <w:sz w:val="16"/>
              </w:rPr>
              <w:t>10</w:t>
            </w:r>
          </w:p>
        </w:tc>
        <w:tc>
          <w:tcPr>
            <w:tcW w:type="dxa" w:w="1987"/>
          </w:tcPr>
          <w:p>
            <w:r>
              <w:rPr>
                <w:sz w:val="16"/>
              </w:rPr>
              <w:t>D-SIB Surcharges &amp; Board Governance</w:t>
            </w:r>
          </w:p>
        </w:tc>
        <w:tc>
          <w:tcPr>
            <w:tcW w:type="dxa" w:w="1987"/>
          </w:tcPr>
          <w:p>
            <w:r>
              <w:rPr>
                <w:sz w:val="16"/>
              </w:rPr>
              <w:t>National discretion for D-SIB assessment; general principle-based governance.</w:t>
            </w:r>
          </w:p>
        </w:tc>
        <w:tc>
          <w:tcPr>
            <w:tcW w:type="dxa" w:w="1987"/>
          </w:tcPr>
          <w:p>
            <w:r>
              <w:rPr>
                <w:sz w:val="16"/>
              </w:rPr>
              <w:t>Designates SBI (0.80%), HDFC Bank (0.40%), ICICI Bank (0.20%) with tiered CET1 surcharges; mandatory Board-approved ICAAP stress testing.</w:t>
            </w:r>
          </w:p>
        </w:tc>
        <w:tc>
          <w:tcPr>
            <w:tcW w:type="dxa" w:w="1987"/>
          </w:tcPr>
          <w:p>
            <w:r>
              <w:rPr>
                <w:sz w:val="16"/>
              </w:rPr>
              <w:t>Mitigates moral hazard of 'too-big-to-fail' lenders and enforces strict board accountability and proportional compliance.</w:t>
            </w:r>
          </w:p>
        </w:tc>
      </w:tr>
    </w:tbl>
    <w:p>
      <w:pPr>
        <w:pStyle w:val="Heading1"/>
      </w:pPr>
      <w:r>
        <w:rPr>
          <w:color w:val="0B2545"/>
        </w:rPr>
        <w:t>Critical Analysis &amp; Policy Recommendations</w:t>
      </w:r>
    </w:p>
    <w:p>
      <w:r>
        <w:t>1. Super-Equivalence Benefits: The +100 bps equity buffer provided critical absorption during India's twin-balance-sheet crisis.</w:t>
        <w:br/>
        <w:t>2. Sovereign Risk-Weighting: The 0% risk-weight on state debt (SDLs) creates implicit subsidies for state deficits.</w:t>
        <w:br/>
        <w:t>3. Future Roadmap: Accelerated transition to IFRS 9 ECL provisioning and high-frequency cyclical indicators.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