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5CBE2" w14:textId="77777777" w:rsidR="00C02396" w:rsidRDefault="00C02396">
      <w:pPr>
        <w:spacing w:before="720"/>
      </w:pPr>
    </w:p>
    <w:p w14:paraId="5DBB6542" w14:textId="77777777" w:rsidR="00C02396" w:rsidRDefault="00000000">
      <w:pPr>
        <w:spacing w:before="1200" w:after="200"/>
        <w:jc w:val="center"/>
      </w:pPr>
      <w:r>
        <w:rPr>
          <w:b/>
          <w:bCs/>
          <w:color w:val="1F497D"/>
          <w:sz w:val="52"/>
          <w:szCs w:val="52"/>
        </w:rPr>
        <w:t>Grid Origination Intelligence Platform</w:t>
      </w:r>
    </w:p>
    <w:p w14:paraId="79286BBE" w14:textId="77777777" w:rsidR="00C02396" w:rsidRDefault="00000000">
      <w:pPr>
        <w:spacing w:after="600"/>
        <w:jc w:val="center"/>
      </w:pPr>
      <w:r>
        <w:rPr>
          <w:color w:val="444444"/>
          <w:sz w:val="36"/>
          <w:szCs w:val="36"/>
        </w:rPr>
        <w:t>QA &amp; Functional Test Report</w:t>
      </w:r>
    </w:p>
    <w:p w14:paraId="1EBA3EE7" w14:textId="77777777" w:rsidR="00C02396" w:rsidRDefault="00C02396">
      <w:pPr>
        <w:pBdr>
          <w:bottom w:val="single" w:sz="12" w:space="1" w:color="1F497D"/>
        </w:pBdr>
        <w:spacing w:after="400"/>
        <w:jc w:val="center"/>
      </w:pP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tblGrid>
      <w:tr w:rsidR="00C02396" w14:paraId="0810CA18" w14:textId="77777777">
        <w:tblPrEx>
          <w:tblCellMar>
            <w:top w:w="0" w:type="dxa"/>
            <w:bottom w:w="0" w:type="dxa"/>
          </w:tblCellMar>
        </w:tblPrEx>
        <w:trPr>
          <w:jc w:val="center"/>
        </w:trPr>
        <w:tc>
          <w:tcPr>
            <w:tcW w:w="2400" w:type="dxa"/>
            <w:tcBorders>
              <w:top w:val="single" w:sz="6" w:space="0" w:color="1F497D"/>
              <w:left w:val="single" w:sz="6" w:space="0" w:color="1F497D"/>
              <w:bottom w:val="single" w:sz="6" w:space="0" w:color="1F497D"/>
              <w:right w:val="single" w:sz="6" w:space="0" w:color="1F497D"/>
            </w:tcBorders>
            <w:shd w:val="clear" w:color="auto" w:fill="1F497D"/>
            <w:tcMar>
              <w:top w:w="80" w:type="dxa"/>
              <w:left w:w="120" w:type="dxa"/>
              <w:bottom w:w="80" w:type="dxa"/>
              <w:right w:w="120" w:type="dxa"/>
            </w:tcMar>
          </w:tcPr>
          <w:p w14:paraId="6A0BE687" w14:textId="77777777" w:rsidR="00C02396" w:rsidRDefault="00000000">
            <w:r>
              <w:rPr>
                <w:b/>
                <w:bCs/>
                <w:color w:val="FFFFFF"/>
                <w:sz w:val="20"/>
                <w:szCs w:val="20"/>
              </w:rPr>
              <w:t>Date</w:t>
            </w:r>
          </w:p>
        </w:tc>
        <w:tc>
          <w:tcPr>
            <w:tcW w:w="360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6597B53D" w14:textId="77777777" w:rsidR="00C02396" w:rsidRDefault="00000000">
            <w:r>
              <w:rPr>
                <w:color w:val="000000"/>
                <w:sz w:val="20"/>
                <w:szCs w:val="20"/>
              </w:rPr>
              <w:t>June 16, 2026</w:t>
            </w:r>
          </w:p>
        </w:tc>
      </w:tr>
      <w:tr w:rsidR="00C02396" w14:paraId="68D7549B" w14:textId="77777777">
        <w:tblPrEx>
          <w:tblCellMar>
            <w:top w:w="0" w:type="dxa"/>
            <w:bottom w:w="0" w:type="dxa"/>
          </w:tblCellMar>
        </w:tblPrEx>
        <w:trPr>
          <w:jc w:val="center"/>
        </w:trPr>
        <w:tc>
          <w:tcPr>
            <w:tcW w:w="2400" w:type="dxa"/>
            <w:tcBorders>
              <w:top w:val="single" w:sz="6" w:space="0" w:color="1F497D"/>
              <w:left w:val="single" w:sz="6" w:space="0" w:color="1F497D"/>
              <w:bottom w:val="single" w:sz="6" w:space="0" w:color="1F497D"/>
              <w:right w:val="single" w:sz="6" w:space="0" w:color="1F497D"/>
            </w:tcBorders>
            <w:shd w:val="clear" w:color="auto" w:fill="1F497D"/>
            <w:tcMar>
              <w:top w:w="80" w:type="dxa"/>
              <w:left w:w="120" w:type="dxa"/>
              <w:bottom w:w="80" w:type="dxa"/>
              <w:right w:w="120" w:type="dxa"/>
            </w:tcMar>
          </w:tcPr>
          <w:p w14:paraId="0725A189" w14:textId="77777777" w:rsidR="00C02396" w:rsidRDefault="00000000">
            <w:r>
              <w:rPr>
                <w:b/>
                <w:bCs/>
                <w:color w:val="FFFFFF"/>
                <w:sz w:val="20"/>
                <w:szCs w:val="20"/>
              </w:rPr>
              <w:t>Prepared by</w:t>
            </w:r>
          </w:p>
        </w:tc>
        <w:tc>
          <w:tcPr>
            <w:tcW w:w="360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49B2BBB1" w14:textId="77777777" w:rsidR="00C02396" w:rsidRDefault="00000000">
            <w:r>
              <w:rPr>
                <w:color w:val="000000"/>
                <w:sz w:val="20"/>
                <w:szCs w:val="20"/>
              </w:rPr>
              <w:t>Claude AI (Anthropic)</w:t>
            </w:r>
          </w:p>
        </w:tc>
      </w:tr>
      <w:tr w:rsidR="00C02396" w14:paraId="73A4C61A" w14:textId="77777777">
        <w:tblPrEx>
          <w:tblCellMar>
            <w:top w:w="0" w:type="dxa"/>
            <w:bottom w:w="0" w:type="dxa"/>
          </w:tblCellMar>
        </w:tblPrEx>
        <w:trPr>
          <w:jc w:val="center"/>
        </w:trPr>
        <w:tc>
          <w:tcPr>
            <w:tcW w:w="2400" w:type="dxa"/>
            <w:tcBorders>
              <w:top w:val="single" w:sz="6" w:space="0" w:color="1F497D"/>
              <w:left w:val="single" w:sz="6" w:space="0" w:color="1F497D"/>
              <w:bottom w:val="single" w:sz="6" w:space="0" w:color="1F497D"/>
              <w:right w:val="single" w:sz="6" w:space="0" w:color="1F497D"/>
            </w:tcBorders>
            <w:shd w:val="clear" w:color="auto" w:fill="1F497D"/>
            <w:tcMar>
              <w:top w:w="80" w:type="dxa"/>
              <w:left w:w="120" w:type="dxa"/>
              <w:bottom w:w="80" w:type="dxa"/>
              <w:right w:w="120" w:type="dxa"/>
            </w:tcMar>
          </w:tcPr>
          <w:p w14:paraId="27D5C050" w14:textId="77777777" w:rsidR="00C02396" w:rsidRDefault="00000000">
            <w:r>
              <w:rPr>
                <w:b/>
                <w:bCs/>
                <w:color w:val="FFFFFF"/>
                <w:sz w:val="20"/>
                <w:szCs w:val="20"/>
              </w:rPr>
              <w:t>Platform URL</w:t>
            </w:r>
          </w:p>
        </w:tc>
        <w:tc>
          <w:tcPr>
            <w:tcW w:w="360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4E3F7628" w14:textId="77777777" w:rsidR="00C02396" w:rsidRDefault="00000000">
            <w:hyperlink r:id="rId7" w:history="1">
              <w:r>
                <w:rPr>
                  <w:color w:val="1155CC"/>
                  <w:sz w:val="20"/>
                  <w:szCs w:val="20"/>
                </w:rPr>
                <w:t>origination-intelligence-</w:t>
              </w:r>
              <w:proofErr w:type="spellStart"/>
              <w:r>
                <w:rPr>
                  <w:color w:val="1155CC"/>
                  <w:sz w:val="20"/>
                  <w:szCs w:val="20"/>
                </w:rPr>
                <w:t>platform.replit.app</w:t>
              </w:r>
              <w:proofErr w:type="spellEnd"/>
            </w:hyperlink>
          </w:p>
        </w:tc>
      </w:tr>
      <w:tr w:rsidR="00C02396" w14:paraId="3FC5CE09" w14:textId="77777777">
        <w:tblPrEx>
          <w:tblCellMar>
            <w:top w:w="0" w:type="dxa"/>
            <w:bottom w:w="0" w:type="dxa"/>
          </w:tblCellMar>
        </w:tblPrEx>
        <w:trPr>
          <w:jc w:val="center"/>
        </w:trPr>
        <w:tc>
          <w:tcPr>
            <w:tcW w:w="2400" w:type="dxa"/>
            <w:tcBorders>
              <w:top w:val="single" w:sz="6" w:space="0" w:color="1F497D"/>
              <w:left w:val="single" w:sz="6" w:space="0" w:color="1F497D"/>
              <w:bottom w:val="single" w:sz="6" w:space="0" w:color="1F497D"/>
              <w:right w:val="single" w:sz="6" w:space="0" w:color="1F497D"/>
            </w:tcBorders>
            <w:shd w:val="clear" w:color="auto" w:fill="1F497D"/>
            <w:tcMar>
              <w:top w:w="80" w:type="dxa"/>
              <w:left w:w="120" w:type="dxa"/>
              <w:bottom w:w="80" w:type="dxa"/>
              <w:right w:w="120" w:type="dxa"/>
            </w:tcMar>
          </w:tcPr>
          <w:p w14:paraId="1350D107" w14:textId="77777777" w:rsidR="00C02396" w:rsidRDefault="00000000">
            <w:r>
              <w:rPr>
                <w:b/>
                <w:bCs/>
                <w:color w:val="FFFFFF"/>
                <w:sz w:val="20"/>
                <w:szCs w:val="20"/>
              </w:rPr>
              <w:t>Scope</w:t>
            </w:r>
          </w:p>
        </w:tc>
        <w:tc>
          <w:tcPr>
            <w:tcW w:w="360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1E6FBD81" w14:textId="77777777" w:rsidR="00C02396" w:rsidRDefault="00000000">
            <w:r>
              <w:rPr>
                <w:color w:val="000000"/>
                <w:sz w:val="20"/>
                <w:szCs w:val="20"/>
              </w:rPr>
              <w:t>All 13 pages, data accuracy, ERCOT verification</w:t>
            </w:r>
          </w:p>
        </w:tc>
      </w:tr>
    </w:tbl>
    <w:p w14:paraId="227E16BF" w14:textId="77777777" w:rsidR="00C02396" w:rsidRDefault="00000000">
      <w:r>
        <w:br w:type="page"/>
      </w:r>
    </w:p>
    <w:p w14:paraId="5A3B714E" w14:textId="77777777" w:rsidR="00C02396" w:rsidRDefault="00000000">
      <w:pPr>
        <w:pStyle w:val="Heading1"/>
      </w:pPr>
      <w:r>
        <w:lastRenderedPageBreak/>
        <w:t>1. Executive Summary</w:t>
      </w:r>
    </w:p>
    <w:p w14:paraId="3576A7F6" w14:textId="77777777" w:rsidR="00C02396" w:rsidRDefault="00000000">
      <w:pPr>
        <w:spacing w:before="60" w:after="60"/>
      </w:pPr>
      <w:r>
        <w:t>The Grid Origination Intelligence Platform was fully tested across all 13 pages. The platform successfully delivers its core value proposition: screening renewable energy projects across ERCOT, CAISO, and PJM with risk-weighted scoring. The UI is polished and the analytical pages (price history, congestion, nodal analysis, queue) provide genuine market insight grounded in real data.</w:t>
      </w:r>
    </w:p>
    <w:p w14:paraId="24164E0D" w14:textId="77777777" w:rsidR="00C02396" w:rsidRDefault="00C02396">
      <w:pPr>
        <w:spacing w:before="80" w:after="80"/>
      </w:pPr>
    </w:p>
    <w:p w14:paraId="06BD1FB8" w14:textId="77777777" w:rsidR="00C02396" w:rsidRDefault="00000000">
      <w:pPr>
        <w:spacing w:before="60" w:after="60"/>
      </w:pPr>
      <w:r>
        <w:t>Three issues require attention before the platform can be used for live deal decisions:</w:t>
      </w:r>
    </w:p>
    <w:p w14:paraId="207684E7" w14:textId="77777777" w:rsidR="00C02396" w:rsidRDefault="00C0239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1200"/>
        <w:gridCol w:w="4160"/>
      </w:tblGrid>
      <w:tr w:rsidR="00C02396" w14:paraId="4E8E85B0" w14:textId="77777777">
        <w:tblPrEx>
          <w:tblCellMar>
            <w:top w:w="0" w:type="dxa"/>
            <w:bottom w:w="0" w:type="dxa"/>
          </w:tblCellMar>
        </w:tblPrEx>
        <w:tc>
          <w:tcPr>
            <w:tcW w:w="4000" w:type="dxa"/>
            <w:tcBorders>
              <w:top w:val="single" w:sz="6" w:space="0" w:color="1F497D"/>
              <w:left w:val="single" w:sz="6" w:space="0" w:color="1F497D"/>
              <w:bottom w:val="single" w:sz="6" w:space="0" w:color="1F497D"/>
              <w:right w:val="single" w:sz="6" w:space="0" w:color="1F497D"/>
            </w:tcBorders>
            <w:shd w:val="clear" w:color="auto" w:fill="1F497D"/>
            <w:tcMar>
              <w:top w:w="80" w:type="dxa"/>
              <w:left w:w="120" w:type="dxa"/>
              <w:bottom w:w="80" w:type="dxa"/>
              <w:right w:w="120" w:type="dxa"/>
            </w:tcMar>
          </w:tcPr>
          <w:p w14:paraId="7DD54816" w14:textId="77777777" w:rsidR="00C02396" w:rsidRDefault="00000000">
            <w:r>
              <w:rPr>
                <w:b/>
                <w:bCs/>
                <w:color w:val="FFFFFF"/>
                <w:sz w:val="20"/>
                <w:szCs w:val="20"/>
              </w:rPr>
              <w:t>Finding</w:t>
            </w:r>
          </w:p>
        </w:tc>
        <w:tc>
          <w:tcPr>
            <w:tcW w:w="1200" w:type="dxa"/>
            <w:tcBorders>
              <w:top w:val="single" w:sz="6" w:space="0" w:color="1F497D"/>
              <w:left w:val="single" w:sz="6" w:space="0" w:color="1F497D"/>
              <w:bottom w:val="single" w:sz="6" w:space="0" w:color="1F497D"/>
              <w:right w:val="single" w:sz="6" w:space="0" w:color="1F497D"/>
            </w:tcBorders>
            <w:shd w:val="clear" w:color="auto" w:fill="1F497D"/>
            <w:tcMar>
              <w:top w:w="80" w:type="dxa"/>
              <w:left w:w="120" w:type="dxa"/>
              <w:bottom w:w="80" w:type="dxa"/>
              <w:right w:w="120" w:type="dxa"/>
            </w:tcMar>
          </w:tcPr>
          <w:p w14:paraId="7A3B80B4" w14:textId="77777777" w:rsidR="00C02396" w:rsidRDefault="00000000">
            <w:r>
              <w:rPr>
                <w:b/>
                <w:bCs/>
                <w:color w:val="FFFFFF"/>
                <w:sz w:val="20"/>
                <w:szCs w:val="20"/>
              </w:rPr>
              <w:t>Severity</w:t>
            </w:r>
          </w:p>
        </w:tc>
        <w:tc>
          <w:tcPr>
            <w:tcW w:w="4160" w:type="dxa"/>
            <w:tcBorders>
              <w:top w:val="single" w:sz="6" w:space="0" w:color="1F497D"/>
              <w:left w:val="single" w:sz="6" w:space="0" w:color="1F497D"/>
              <w:bottom w:val="single" w:sz="6" w:space="0" w:color="1F497D"/>
              <w:right w:val="single" w:sz="6" w:space="0" w:color="1F497D"/>
            </w:tcBorders>
            <w:shd w:val="clear" w:color="auto" w:fill="1F497D"/>
            <w:tcMar>
              <w:top w:w="80" w:type="dxa"/>
              <w:left w:w="120" w:type="dxa"/>
              <w:bottom w:w="80" w:type="dxa"/>
              <w:right w:w="120" w:type="dxa"/>
            </w:tcMar>
          </w:tcPr>
          <w:p w14:paraId="57C57E63" w14:textId="77777777" w:rsidR="00C02396" w:rsidRDefault="00000000">
            <w:r>
              <w:rPr>
                <w:b/>
                <w:bCs/>
                <w:color w:val="FFFFFF"/>
                <w:sz w:val="20"/>
                <w:szCs w:val="20"/>
              </w:rPr>
              <w:t>Detail</w:t>
            </w:r>
          </w:p>
        </w:tc>
      </w:tr>
      <w:tr w:rsidR="00C02396" w14:paraId="01FAB81C" w14:textId="77777777">
        <w:tblPrEx>
          <w:tblCellMar>
            <w:top w:w="0" w:type="dxa"/>
            <w:bottom w:w="0" w:type="dxa"/>
          </w:tblCellMar>
        </w:tblPrEx>
        <w:tc>
          <w:tcPr>
            <w:tcW w:w="4000" w:type="dxa"/>
            <w:tcBorders>
              <w:top w:val="single" w:sz="6" w:space="0" w:color="DDDDDD"/>
              <w:left w:val="single" w:sz="6" w:space="0" w:color="DDDDDD"/>
              <w:bottom w:val="single" w:sz="6" w:space="0" w:color="DDDDDD"/>
              <w:right w:val="single" w:sz="6" w:space="0" w:color="DDDDDD"/>
            </w:tcBorders>
            <w:shd w:val="clear" w:color="auto" w:fill="C00000"/>
            <w:tcMar>
              <w:top w:w="80" w:type="dxa"/>
              <w:left w:w="120" w:type="dxa"/>
              <w:bottom w:w="80" w:type="dxa"/>
              <w:right w:w="120" w:type="dxa"/>
            </w:tcMar>
          </w:tcPr>
          <w:p w14:paraId="4CAB9617" w14:textId="77777777" w:rsidR="00C02396" w:rsidRDefault="00000000">
            <w:r>
              <w:rPr>
                <w:b/>
                <w:bCs/>
                <w:color w:val="C00000"/>
                <w:sz w:val="20"/>
                <w:szCs w:val="20"/>
              </w:rPr>
              <w:t>Rankings use 12 mock candidates</w:t>
            </w:r>
          </w:p>
        </w:tc>
        <w:tc>
          <w:tcPr>
            <w:tcW w:w="1200" w:type="dxa"/>
            <w:tcBorders>
              <w:top w:val="single" w:sz="6" w:space="0" w:color="DDDDDD"/>
              <w:left w:val="single" w:sz="6" w:space="0" w:color="DDDDDD"/>
              <w:bottom w:val="single" w:sz="6" w:space="0" w:color="DDDDDD"/>
              <w:right w:val="single" w:sz="6" w:space="0" w:color="DDDDDD"/>
            </w:tcBorders>
            <w:shd w:val="clear" w:color="auto" w:fill="FCE4E4"/>
            <w:tcMar>
              <w:top w:w="80" w:type="dxa"/>
              <w:left w:w="120" w:type="dxa"/>
              <w:bottom w:w="80" w:type="dxa"/>
              <w:right w:w="120" w:type="dxa"/>
            </w:tcMar>
          </w:tcPr>
          <w:p w14:paraId="6DA9D26F" w14:textId="77777777" w:rsidR="00C02396" w:rsidRDefault="00000000">
            <w:r>
              <w:rPr>
                <w:b/>
                <w:bCs/>
                <w:color w:val="C00000"/>
                <w:sz w:val="20"/>
                <w:szCs w:val="20"/>
              </w:rPr>
              <w:t>Critical</w:t>
            </w:r>
          </w:p>
        </w:tc>
        <w:tc>
          <w:tcPr>
            <w:tcW w:w="416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26FAE39D" w14:textId="77777777" w:rsidR="00C02396" w:rsidRDefault="00000000">
            <w:r>
              <w:rPr>
                <w:color w:val="000000"/>
                <w:sz w:val="20"/>
                <w:szCs w:val="20"/>
              </w:rPr>
              <w:t>Platform claims 3,875 EIA-860 projects but only 12 pre-built candidates exist. Real EIA-860 integration is needed for production.</w:t>
            </w:r>
          </w:p>
        </w:tc>
      </w:tr>
      <w:tr w:rsidR="00C02396" w14:paraId="20071468" w14:textId="77777777">
        <w:tblPrEx>
          <w:tblCellMar>
            <w:top w:w="0" w:type="dxa"/>
            <w:bottom w:w="0" w:type="dxa"/>
          </w:tblCellMar>
        </w:tblPrEx>
        <w:tc>
          <w:tcPr>
            <w:tcW w:w="4000" w:type="dxa"/>
            <w:tcBorders>
              <w:top w:val="single" w:sz="6" w:space="0" w:color="DDDDDD"/>
              <w:left w:val="single" w:sz="6" w:space="0" w:color="DDDDDD"/>
              <w:bottom w:val="single" w:sz="6" w:space="0" w:color="DDDDDD"/>
              <w:right w:val="single" w:sz="6" w:space="0" w:color="DDDDDD"/>
            </w:tcBorders>
            <w:shd w:val="clear" w:color="auto" w:fill="C00000"/>
            <w:tcMar>
              <w:top w:w="80" w:type="dxa"/>
              <w:left w:w="120" w:type="dxa"/>
              <w:bottom w:w="80" w:type="dxa"/>
              <w:right w:w="120" w:type="dxa"/>
            </w:tcMar>
          </w:tcPr>
          <w:p w14:paraId="0A75B4E2" w14:textId="77777777" w:rsidR="00C02396" w:rsidRDefault="00000000">
            <w:r>
              <w:rPr>
                <w:b/>
                <w:bCs/>
                <w:color w:val="C00000"/>
                <w:sz w:val="20"/>
                <w:szCs w:val="20"/>
              </w:rPr>
              <w:t>Transmission lines map layer broken</w:t>
            </w:r>
          </w:p>
        </w:tc>
        <w:tc>
          <w:tcPr>
            <w:tcW w:w="1200" w:type="dxa"/>
            <w:tcBorders>
              <w:top w:val="single" w:sz="6" w:space="0" w:color="DDDDDD"/>
              <w:left w:val="single" w:sz="6" w:space="0" w:color="DDDDDD"/>
              <w:bottom w:val="single" w:sz="6" w:space="0" w:color="DDDDDD"/>
              <w:right w:val="single" w:sz="6" w:space="0" w:color="DDDDDD"/>
            </w:tcBorders>
            <w:shd w:val="clear" w:color="auto" w:fill="FCE4E4"/>
            <w:tcMar>
              <w:top w:w="80" w:type="dxa"/>
              <w:left w:w="120" w:type="dxa"/>
              <w:bottom w:w="80" w:type="dxa"/>
              <w:right w:w="120" w:type="dxa"/>
            </w:tcMar>
          </w:tcPr>
          <w:p w14:paraId="60A90A1C" w14:textId="77777777" w:rsidR="00C02396" w:rsidRDefault="00000000">
            <w:r>
              <w:rPr>
                <w:b/>
                <w:bCs/>
                <w:color w:val="C00000"/>
                <w:sz w:val="20"/>
                <w:szCs w:val="20"/>
              </w:rPr>
              <w:t>Critical</w:t>
            </w:r>
          </w:p>
        </w:tc>
        <w:tc>
          <w:tcPr>
            <w:tcW w:w="416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4FF5B3FF" w14:textId="77777777" w:rsidR="00C02396" w:rsidRDefault="00000000">
            <w:r>
              <w:rPr>
                <w:color w:val="000000"/>
                <w:sz w:val="20"/>
                <w:szCs w:val="20"/>
              </w:rPr>
              <w:t>GET /</w:t>
            </w:r>
            <w:proofErr w:type="spellStart"/>
            <w:r>
              <w:rPr>
                <w:color w:val="000000"/>
                <w:sz w:val="20"/>
                <w:szCs w:val="20"/>
              </w:rPr>
              <w:t>api</w:t>
            </w:r>
            <w:proofErr w:type="spellEnd"/>
            <w:r>
              <w:rPr>
                <w:color w:val="000000"/>
                <w:sz w:val="20"/>
                <w:szCs w:val="20"/>
              </w:rPr>
              <w:t xml:space="preserve">/transmission-lines returns empty </w:t>
            </w:r>
            <w:proofErr w:type="spellStart"/>
            <w:r>
              <w:rPr>
                <w:color w:val="000000"/>
                <w:sz w:val="20"/>
                <w:szCs w:val="20"/>
              </w:rPr>
              <w:t>GeoJSON</w:t>
            </w:r>
            <w:proofErr w:type="spellEnd"/>
            <w:r>
              <w:rPr>
                <w:color w:val="000000"/>
                <w:sz w:val="20"/>
                <w:szCs w:val="20"/>
              </w:rPr>
              <w:t>. The 23k+ line toggle on the map loads nothing.</w:t>
            </w:r>
          </w:p>
        </w:tc>
      </w:tr>
      <w:tr w:rsidR="00C02396" w14:paraId="2D0E113F" w14:textId="77777777">
        <w:tblPrEx>
          <w:tblCellMar>
            <w:top w:w="0" w:type="dxa"/>
            <w:bottom w:w="0" w:type="dxa"/>
          </w:tblCellMar>
        </w:tblPrEx>
        <w:tc>
          <w:tcPr>
            <w:tcW w:w="4000" w:type="dxa"/>
            <w:tcBorders>
              <w:top w:val="single" w:sz="6" w:space="0" w:color="DDDDDD"/>
              <w:left w:val="single" w:sz="6" w:space="0" w:color="DDDDDD"/>
              <w:bottom w:val="single" w:sz="6" w:space="0" w:color="DDDDDD"/>
              <w:right w:val="single" w:sz="6" w:space="0" w:color="DDDDDD"/>
            </w:tcBorders>
            <w:shd w:val="clear" w:color="auto" w:fill="BF8F00"/>
            <w:tcMar>
              <w:top w:w="80" w:type="dxa"/>
              <w:left w:w="120" w:type="dxa"/>
              <w:bottom w:w="80" w:type="dxa"/>
              <w:right w:w="120" w:type="dxa"/>
            </w:tcMar>
          </w:tcPr>
          <w:p w14:paraId="4AA69A4B" w14:textId="77777777" w:rsidR="00C02396" w:rsidRDefault="00000000">
            <w:r>
              <w:rPr>
                <w:b/>
                <w:bCs/>
                <w:color w:val="BF8F00"/>
                <w:sz w:val="20"/>
                <w:szCs w:val="20"/>
              </w:rPr>
              <w:t>QA Copilot LLM backend not connected</w:t>
            </w:r>
          </w:p>
        </w:tc>
        <w:tc>
          <w:tcPr>
            <w:tcW w:w="1200" w:type="dxa"/>
            <w:tcBorders>
              <w:top w:val="single" w:sz="6" w:space="0" w:color="DDDDDD"/>
              <w:left w:val="single" w:sz="6" w:space="0" w:color="DDDDDD"/>
              <w:bottom w:val="single" w:sz="6" w:space="0" w:color="DDDDDD"/>
              <w:right w:val="single" w:sz="6" w:space="0" w:color="DDDDDD"/>
            </w:tcBorders>
            <w:shd w:val="clear" w:color="auto" w:fill="FFF2CC"/>
            <w:tcMar>
              <w:top w:w="80" w:type="dxa"/>
              <w:left w:w="120" w:type="dxa"/>
              <w:bottom w:w="80" w:type="dxa"/>
              <w:right w:w="120" w:type="dxa"/>
            </w:tcMar>
          </w:tcPr>
          <w:p w14:paraId="747A1825" w14:textId="77777777" w:rsidR="00C02396" w:rsidRDefault="00000000">
            <w:r>
              <w:rPr>
                <w:b/>
                <w:bCs/>
                <w:color w:val="BF8F00"/>
                <w:sz w:val="20"/>
                <w:szCs w:val="20"/>
              </w:rPr>
              <w:t>Planned</w:t>
            </w:r>
          </w:p>
        </w:tc>
        <w:tc>
          <w:tcPr>
            <w:tcW w:w="416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0AFD28AC" w14:textId="77777777" w:rsidR="00C02396" w:rsidRDefault="00000000">
            <w:r>
              <w:rPr>
                <w:color w:val="000000"/>
                <w:sz w:val="20"/>
                <w:szCs w:val="20"/>
              </w:rPr>
              <w:t>Chat UI at /</w:t>
            </w:r>
            <w:proofErr w:type="spellStart"/>
            <w:r>
              <w:rPr>
                <w:color w:val="000000"/>
                <w:sz w:val="20"/>
                <w:szCs w:val="20"/>
              </w:rPr>
              <w:t>qa</w:t>
            </w:r>
            <w:proofErr w:type="spellEnd"/>
            <w:r>
              <w:rPr>
                <w:color w:val="000000"/>
                <w:sz w:val="20"/>
                <w:szCs w:val="20"/>
              </w:rPr>
              <w:t xml:space="preserve"> is built but returns no answers. Noted as planned Phase 2 in the Platform Guide.</w:t>
            </w:r>
          </w:p>
        </w:tc>
      </w:tr>
      <w:tr w:rsidR="00C02396" w14:paraId="1D7981D0" w14:textId="77777777">
        <w:tblPrEx>
          <w:tblCellMar>
            <w:top w:w="0" w:type="dxa"/>
            <w:bottom w:w="0" w:type="dxa"/>
          </w:tblCellMar>
        </w:tblPrEx>
        <w:tc>
          <w:tcPr>
            <w:tcW w:w="4000" w:type="dxa"/>
            <w:tcBorders>
              <w:top w:val="single" w:sz="6" w:space="0" w:color="DDDDDD"/>
              <w:left w:val="single" w:sz="6" w:space="0" w:color="DDDDDD"/>
              <w:bottom w:val="single" w:sz="6" w:space="0" w:color="DDDDDD"/>
              <w:right w:val="single" w:sz="6" w:space="0" w:color="DDDDDD"/>
            </w:tcBorders>
            <w:shd w:val="clear" w:color="auto" w:fill="BF8F00"/>
            <w:tcMar>
              <w:top w:w="80" w:type="dxa"/>
              <w:left w:w="120" w:type="dxa"/>
              <w:bottom w:w="80" w:type="dxa"/>
              <w:right w:w="120" w:type="dxa"/>
            </w:tcMar>
          </w:tcPr>
          <w:p w14:paraId="0FB871A9" w14:textId="77777777" w:rsidR="00C02396" w:rsidRDefault="00000000">
            <w:r>
              <w:rPr>
                <w:b/>
                <w:bCs/>
                <w:color w:val="BF8F00"/>
                <w:sz w:val="20"/>
                <w:szCs w:val="20"/>
              </w:rPr>
              <w:t>West Texas wind curtailment scores mis-calibrated</w:t>
            </w:r>
          </w:p>
        </w:tc>
        <w:tc>
          <w:tcPr>
            <w:tcW w:w="1200" w:type="dxa"/>
            <w:tcBorders>
              <w:top w:val="single" w:sz="6" w:space="0" w:color="DDDDDD"/>
              <w:left w:val="single" w:sz="6" w:space="0" w:color="DDDDDD"/>
              <w:bottom w:val="single" w:sz="6" w:space="0" w:color="DDDDDD"/>
              <w:right w:val="single" w:sz="6" w:space="0" w:color="DDDDDD"/>
            </w:tcBorders>
            <w:shd w:val="clear" w:color="auto" w:fill="FFF2CC"/>
            <w:tcMar>
              <w:top w:w="80" w:type="dxa"/>
              <w:left w:w="120" w:type="dxa"/>
              <w:bottom w:w="80" w:type="dxa"/>
              <w:right w:w="120" w:type="dxa"/>
            </w:tcMar>
          </w:tcPr>
          <w:p w14:paraId="31ED16B8" w14:textId="77777777" w:rsidR="00C02396" w:rsidRDefault="00000000">
            <w:r>
              <w:rPr>
                <w:b/>
                <w:bCs/>
                <w:color w:val="BF8F00"/>
                <w:sz w:val="20"/>
                <w:szCs w:val="20"/>
              </w:rPr>
              <w:t>Medium</w:t>
            </w:r>
          </w:p>
        </w:tc>
        <w:tc>
          <w:tcPr>
            <w:tcW w:w="416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6F8D5EC4" w14:textId="77777777" w:rsidR="00C02396" w:rsidRDefault="00000000">
            <w:r>
              <w:rPr>
                <w:color w:val="000000"/>
                <w:sz w:val="20"/>
                <w:szCs w:val="20"/>
              </w:rPr>
              <w:t>Spec requires WTG_ nodes to score 88–92 on Curtailment; current mock data shows West Texas Wind at 60.</w:t>
            </w:r>
          </w:p>
        </w:tc>
      </w:tr>
    </w:tbl>
    <w:p w14:paraId="5975BEBC" w14:textId="77777777" w:rsidR="00C02396" w:rsidRDefault="00000000">
      <w:r>
        <w:br w:type="page"/>
      </w:r>
    </w:p>
    <w:p w14:paraId="152318A7" w14:textId="77777777" w:rsidR="00C02396" w:rsidRDefault="00000000">
      <w:pPr>
        <w:pStyle w:val="Heading1"/>
      </w:pPr>
      <w:r>
        <w:lastRenderedPageBreak/>
        <w:t>2. Testing Scope &amp; Methodology</w:t>
      </w:r>
    </w:p>
    <w:p w14:paraId="7E7576C9" w14:textId="77777777" w:rsidR="00C02396" w:rsidRDefault="00000000">
      <w:pPr>
        <w:spacing w:before="60" w:after="60"/>
      </w:pPr>
      <w:r>
        <w:t xml:space="preserve">All 13 pages were exercised via live browser automation against the production </w:t>
      </w:r>
      <w:proofErr w:type="spellStart"/>
      <w:r>
        <w:t>Replit</w:t>
      </w:r>
      <w:proofErr w:type="spellEnd"/>
      <w:r>
        <w:t xml:space="preserve"> deployment. Testing included:</w:t>
      </w:r>
    </w:p>
    <w:p w14:paraId="7B5AFF17" w14:textId="77777777" w:rsidR="00C02396" w:rsidRDefault="00000000">
      <w:pPr>
        <w:pStyle w:val="ListParagraph"/>
        <w:numPr>
          <w:ilvl w:val="0"/>
          <w:numId w:val="2"/>
        </w:numPr>
        <w:spacing w:before="40" w:after="40"/>
      </w:pPr>
      <w:r>
        <w:t>Interactive feature exercise (clicks, dropdowns, filters, exports, chart interactions)</w:t>
      </w:r>
    </w:p>
    <w:p w14:paraId="6CF92225" w14:textId="77777777" w:rsidR="00C02396" w:rsidRDefault="00000000">
      <w:pPr>
        <w:pStyle w:val="ListParagraph"/>
        <w:numPr>
          <w:ilvl w:val="0"/>
          <w:numId w:val="2"/>
        </w:numPr>
        <w:spacing w:before="40" w:after="40"/>
      </w:pPr>
      <w:r>
        <w:t>API response inspection via network request monitoring</w:t>
      </w:r>
    </w:p>
    <w:p w14:paraId="2C9FCAF9" w14:textId="77777777" w:rsidR="00C02396" w:rsidRDefault="00000000">
      <w:pPr>
        <w:pStyle w:val="ListParagraph"/>
        <w:numPr>
          <w:ilvl w:val="0"/>
          <w:numId w:val="2"/>
        </w:numPr>
        <w:spacing w:before="40" w:after="40"/>
      </w:pPr>
      <w:r>
        <w:t>JavaScript injection to intercept CSV downloads and read React component state</w:t>
      </w:r>
    </w:p>
    <w:p w14:paraId="093A6ABB" w14:textId="77777777" w:rsidR="00C02396" w:rsidRDefault="00000000">
      <w:pPr>
        <w:pStyle w:val="ListParagraph"/>
        <w:numPr>
          <w:ilvl w:val="0"/>
          <w:numId w:val="2"/>
        </w:numPr>
        <w:spacing w:before="40" w:after="40"/>
      </w:pPr>
      <w:r>
        <w:t>Cross-reference of displayed data against official ERCOT sources (Potomac Economics 2024 ERCOT Monthly Reports to PUCT; ERCOT Commercial Markets Update Feb 2025)</w:t>
      </w:r>
    </w:p>
    <w:p w14:paraId="211D4B39" w14:textId="77777777" w:rsidR="00C02396" w:rsidRDefault="00000000">
      <w:pPr>
        <w:pStyle w:val="ListParagraph"/>
        <w:numPr>
          <w:ilvl w:val="0"/>
          <w:numId w:val="2"/>
        </w:numPr>
        <w:spacing w:before="40" w:after="40"/>
      </w:pPr>
      <w:r>
        <w:t>CAISO OASIS public data for SP15/NP15/ZP26 price validation</w:t>
      </w:r>
    </w:p>
    <w:p w14:paraId="7BDB8186" w14:textId="77777777" w:rsidR="00C02396" w:rsidRDefault="00C02396">
      <w:pPr>
        <w:spacing w:before="80" w:after="80"/>
      </w:pPr>
    </w:p>
    <w:p w14:paraId="2F04FE3F" w14:textId="77777777" w:rsidR="00C02396" w:rsidRDefault="00000000">
      <w:pPr>
        <w:spacing w:before="60" w:after="60"/>
      </w:pPr>
      <w:r>
        <w:t>ERCOT data verification sources:</w:t>
      </w:r>
    </w:p>
    <w:p w14:paraId="6D9A876F" w14:textId="77777777" w:rsidR="00C02396" w:rsidRDefault="00000000">
      <w:pPr>
        <w:pStyle w:val="ListParagraph"/>
        <w:numPr>
          <w:ilvl w:val="0"/>
          <w:numId w:val="2"/>
        </w:numPr>
        <w:spacing w:before="40" w:after="40"/>
      </w:pPr>
      <w:r>
        <w:t>Potomac Economics — ERCOT IMM Monthly Report to PUCT, November 2024 (containing full-year 2024 data)</w:t>
      </w:r>
    </w:p>
    <w:p w14:paraId="5C4A9147" w14:textId="77777777" w:rsidR="00C02396" w:rsidRDefault="00000000">
      <w:pPr>
        <w:pStyle w:val="ListParagraph"/>
        <w:numPr>
          <w:ilvl w:val="0"/>
          <w:numId w:val="2"/>
        </w:numPr>
        <w:spacing w:before="40" w:after="40"/>
      </w:pPr>
      <w:r>
        <w:t>ERCOT Commercial Markets Update (February 2025) confirming 2024 system-wide RT hub average of $28.84/MWh</w:t>
      </w:r>
    </w:p>
    <w:p w14:paraId="33B4369F" w14:textId="77777777" w:rsidR="00C02396" w:rsidRDefault="00000000">
      <w:pPr>
        <w:pStyle w:val="ListParagraph"/>
        <w:numPr>
          <w:ilvl w:val="0"/>
          <w:numId w:val="2"/>
        </w:numPr>
        <w:spacing w:before="40" w:after="40"/>
      </w:pPr>
      <w:r>
        <w:t>ERCOT 2024 curtailment reports confirming West Texas / Panhandle as highest-curtailment regions (~8 TWh curtailed)</w:t>
      </w:r>
    </w:p>
    <w:p w14:paraId="23A045D5" w14:textId="77777777" w:rsidR="00C02396" w:rsidRDefault="00C02396">
      <w:pPr>
        <w:spacing w:before="80" w:after="80"/>
      </w:pPr>
    </w:p>
    <w:p w14:paraId="56A3CE93" w14:textId="77777777" w:rsidR="00C02396" w:rsidRDefault="00000000">
      <w:r>
        <w:br w:type="page"/>
      </w:r>
    </w:p>
    <w:p w14:paraId="6538C134" w14:textId="77777777" w:rsidR="00C02396" w:rsidRDefault="00000000">
      <w:pPr>
        <w:pStyle w:val="Heading1"/>
      </w:pPr>
      <w:r>
        <w:lastRenderedPageBreak/>
        <w:t>3. Page-by-Page Test Results</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100"/>
        <w:gridCol w:w="5660"/>
      </w:tblGrid>
      <w:tr w:rsidR="00C02396" w14:paraId="5DABBE64" w14:textId="77777777">
        <w:tblPrEx>
          <w:tblCellMar>
            <w:top w:w="0" w:type="dxa"/>
            <w:bottom w:w="0" w:type="dxa"/>
          </w:tblCellMar>
        </w:tblPrEx>
        <w:tc>
          <w:tcPr>
            <w:tcW w:w="2500" w:type="dxa"/>
            <w:tcBorders>
              <w:top w:val="single" w:sz="6" w:space="0" w:color="1F497D"/>
              <w:left w:val="single" w:sz="6" w:space="0" w:color="1F497D"/>
              <w:bottom w:val="single" w:sz="6" w:space="0" w:color="1F497D"/>
              <w:right w:val="single" w:sz="6" w:space="0" w:color="1F497D"/>
            </w:tcBorders>
            <w:shd w:val="clear" w:color="auto" w:fill="1F497D"/>
            <w:tcMar>
              <w:top w:w="80" w:type="dxa"/>
              <w:left w:w="120" w:type="dxa"/>
              <w:bottom w:w="80" w:type="dxa"/>
              <w:right w:w="120" w:type="dxa"/>
            </w:tcMar>
          </w:tcPr>
          <w:p w14:paraId="4D58E5FF" w14:textId="77777777" w:rsidR="00C02396" w:rsidRDefault="00000000">
            <w:r>
              <w:rPr>
                <w:b/>
                <w:bCs/>
                <w:color w:val="FFFFFF"/>
                <w:sz w:val="20"/>
                <w:szCs w:val="20"/>
              </w:rPr>
              <w:t>Page</w:t>
            </w:r>
          </w:p>
        </w:tc>
        <w:tc>
          <w:tcPr>
            <w:tcW w:w="1100" w:type="dxa"/>
            <w:tcBorders>
              <w:top w:val="single" w:sz="6" w:space="0" w:color="1F497D"/>
              <w:left w:val="single" w:sz="6" w:space="0" w:color="1F497D"/>
              <w:bottom w:val="single" w:sz="6" w:space="0" w:color="1F497D"/>
              <w:right w:val="single" w:sz="6" w:space="0" w:color="1F497D"/>
            </w:tcBorders>
            <w:shd w:val="clear" w:color="auto" w:fill="1F497D"/>
            <w:tcMar>
              <w:top w:w="80" w:type="dxa"/>
              <w:left w:w="120" w:type="dxa"/>
              <w:bottom w:w="80" w:type="dxa"/>
              <w:right w:w="120" w:type="dxa"/>
            </w:tcMar>
          </w:tcPr>
          <w:p w14:paraId="667C3602" w14:textId="77777777" w:rsidR="00C02396" w:rsidRDefault="00000000">
            <w:r>
              <w:rPr>
                <w:b/>
                <w:bCs/>
                <w:color w:val="FFFFFF"/>
                <w:sz w:val="20"/>
                <w:szCs w:val="20"/>
              </w:rPr>
              <w:t>Status</w:t>
            </w:r>
          </w:p>
        </w:tc>
        <w:tc>
          <w:tcPr>
            <w:tcW w:w="5660" w:type="dxa"/>
            <w:tcBorders>
              <w:top w:val="single" w:sz="6" w:space="0" w:color="1F497D"/>
              <w:left w:val="single" w:sz="6" w:space="0" w:color="1F497D"/>
              <w:bottom w:val="single" w:sz="6" w:space="0" w:color="1F497D"/>
              <w:right w:val="single" w:sz="6" w:space="0" w:color="1F497D"/>
            </w:tcBorders>
            <w:shd w:val="clear" w:color="auto" w:fill="1F497D"/>
            <w:tcMar>
              <w:top w:w="80" w:type="dxa"/>
              <w:left w:w="120" w:type="dxa"/>
              <w:bottom w:w="80" w:type="dxa"/>
              <w:right w:w="120" w:type="dxa"/>
            </w:tcMar>
          </w:tcPr>
          <w:p w14:paraId="4630EAC7" w14:textId="77777777" w:rsidR="00C02396" w:rsidRDefault="00000000">
            <w:r>
              <w:rPr>
                <w:b/>
                <w:bCs/>
                <w:color w:val="FFFFFF"/>
                <w:sz w:val="20"/>
                <w:szCs w:val="20"/>
              </w:rPr>
              <w:t>Findings</w:t>
            </w:r>
          </w:p>
        </w:tc>
      </w:tr>
      <w:tr w:rsidR="00C02396" w14:paraId="04F7D92F" w14:textId="77777777">
        <w:tblPrEx>
          <w:tblCellMar>
            <w:top w:w="0" w:type="dxa"/>
            <w:bottom w:w="0" w:type="dxa"/>
          </w:tblCellMar>
        </w:tblPrEx>
        <w:tc>
          <w:tcPr>
            <w:tcW w:w="250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20B3E3F6" w14:textId="77777777" w:rsidR="00C02396" w:rsidRDefault="00000000">
            <w:r>
              <w:rPr>
                <w:b/>
                <w:bCs/>
                <w:sz w:val="20"/>
                <w:szCs w:val="20"/>
              </w:rPr>
              <w:t>Dashboard</w:t>
            </w:r>
          </w:p>
          <w:p w14:paraId="303D21D8" w14:textId="77777777" w:rsidR="00C02396" w:rsidRDefault="00000000">
            <w:r>
              <w:rPr>
                <w:color w:val="666666"/>
                <w:sz w:val="18"/>
                <w:szCs w:val="18"/>
              </w:rPr>
              <w:t>/</w:t>
            </w:r>
          </w:p>
        </w:tc>
        <w:tc>
          <w:tcPr>
            <w:tcW w:w="1100" w:type="dxa"/>
            <w:tcBorders>
              <w:top w:val="single" w:sz="6" w:space="0" w:color="1E7145"/>
              <w:left w:val="single" w:sz="6" w:space="0" w:color="1E7145"/>
              <w:bottom w:val="single" w:sz="6" w:space="0" w:color="1E7145"/>
              <w:right w:val="single" w:sz="6" w:space="0" w:color="1E7145"/>
            </w:tcBorders>
            <w:shd w:val="clear" w:color="auto" w:fill="1E7145"/>
            <w:tcMar>
              <w:top w:w="80" w:type="dxa"/>
              <w:left w:w="120" w:type="dxa"/>
              <w:bottom w:w="80" w:type="dxa"/>
              <w:right w:w="120" w:type="dxa"/>
            </w:tcMar>
            <w:vAlign w:val="center"/>
          </w:tcPr>
          <w:p w14:paraId="34482E44" w14:textId="77777777" w:rsidR="00C02396" w:rsidRDefault="00000000">
            <w:pPr>
              <w:jc w:val="center"/>
            </w:pPr>
            <w:r>
              <w:rPr>
                <w:b/>
                <w:bCs/>
                <w:color w:val="FFFFFF"/>
                <w:sz w:val="17"/>
                <w:szCs w:val="17"/>
              </w:rPr>
              <w:t>PASS</w:t>
            </w:r>
          </w:p>
        </w:tc>
        <w:tc>
          <w:tcPr>
            <w:tcW w:w="566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5023B587" w14:textId="77777777" w:rsidR="00C02396" w:rsidRDefault="00000000">
            <w:r>
              <w:rPr>
                <w:sz w:val="20"/>
                <w:szCs w:val="20"/>
              </w:rPr>
              <w:t>Summary stats cards load correctly showing 3,875 candidate projects. Market breakdown chart renders at ERCOT ~45%, CAISO ~35%, PJM ~20%. Run Screening launches filter modal with market, technology, capacity, and risk-tier filters. Filter session saves to /screenings.</w:t>
            </w:r>
          </w:p>
        </w:tc>
      </w:tr>
      <w:tr w:rsidR="00C02396" w14:paraId="2B0E6F1E" w14:textId="77777777">
        <w:tblPrEx>
          <w:tblCellMar>
            <w:top w:w="0" w:type="dxa"/>
            <w:bottom w:w="0" w:type="dxa"/>
          </w:tblCellMar>
        </w:tblPrEx>
        <w:tc>
          <w:tcPr>
            <w:tcW w:w="250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33538B16" w14:textId="77777777" w:rsidR="00C02396" w:rsidRDefault="00000000">
            <w:r>
              <w:rPr>
                <w:b/>
                <w:bCs/>
                <w:sz w:val="20"/>
                <w:szCs w:val="20"/>
              </w:rPr>
              <w:t>Candidate Rankings</w:t>
            </w:r>
          </w:p>
          <w:p w14:paraId="270B8883" w14:textId="77777777" w:rsidR="00C02396" w:rsidRDefault="00000000">
            <w:r>
              <w:rPr>
                <w:color w:val="666666"/>
                <w:sz w:val="18"/>
                <w:szCs w:val="18"/>
              </w:rPr>
              <w:t>/</w:t>
            </w:r>
            <w:proofErr w:type="gramStart"/>
            <w:r>
              <w:rPr>
                <w:color w:val="666666"/>
                <w:sz w:val="18"/>
                <w:szCs w:val="18"/>
              </w:rPr>
              <w:t>rankings</w:t>
            </w:r>
            <w:proofErr w:type="gramEnd"/>
          </w:p>
        </w:tc>
        <w:tc>
          <w:tcPr>
            <w:tcW w:w="1100" w:type="dxa"/>
            <w:tcBorders>
              <w:top w:val="single" w:sz="6" w:space="0" w:color="BF8F00"/>
              <w:left w:val="single" w:sz="6" w:space="0" w:color="BF8F00"/>
              <w:bottom w:val="single" w:sz="6" w:space="0" w:color="BF8F00"/>
              <w:right w:val="single" w:sz="6" w:space="0" w:color="BF8F00"/>
            </w:tcBorders>
            <w:shd w:val="clear" w:color="auto" w:fill="BF8F00"/>
            <w:tcMar>
              <w:top w:w="80" w:type="dxa"/>
              <w:left w:w="120" w:type="dxa"/>
              <w:bottom w:w="80" w:type="dxa"/>
              <w:right w:w="120" w:type="dxa"/>
            </w:tcMar>
            <w:vAlign w:val="center"/>
          </w:tcPr>
          <w:p w14:paraId="0080C1F1" w14:textId="77777777" w:rsidR="00C02396" w:rsidRDefault="00000000">
            <w:pPr>
              <w:jc w:val="center"/>
            </w:pPr>
            <w:r>
              <w:rPr>
                <w:b/>
                <w:bCs/>
                <w:color w:val="FFFFFF"/>
                <w:sz w:val="17"/>
                <w:szCs w:val="17"/>
              </w:rPr>
              <w:t>WARN</w:t>
            </w:r>
          </w:p>
        </w:tc>
        <w:tc>
          <w:tcPr>
            <w:tcW w:w="566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669CDE70" w14:textId="77777777" w:rsidR="00C02396" w:rsidRDefault="00000000">
            <w:r>
              <w:rPr>
                <w:sz w:val="20"/>
                <w:szCs w:val="20"/>
              </w:rPr>
              <w:t>Six objective presets (Lowest Curtailment, Best Basis, etc.) correctly reweight the 8 scoring dimensions and reorder candidates. Sort, filter by market and technology, and row hover all work. CSV export contains all 8 score columns. Issue: page shows 12 pre-built mock candidates, not 3,875 real EIA-860 projects. WTG_ node curtailment scores are mis-calibrated (see §5).</w:t>
            </w:r>
          </w:p>
        </w:tc>
      </w:tr>
      <w:tr w:rsidR="00C02396" w14:paraId="65738E55" w14:textId="77777777">
        <w:tblPrEx>
          <w:tblCellMar>
            <w:top w:w="0" w:type="dxa"/>
            <w:bottom w:w="0" w:type="dxa"/>
          </w:tblCellMar>
        </w:tblPrEx>
        <w:tc>
          <w:tcPr>
            <w:tcW w:w="250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63C99D93" w14:textId="77777777" w:rsidR="00C02396" w:rsidRDefault="00000000">
            <w:r>
              <w:rPr>
                <w:b/>
                <w:bCs/>
                <w:sz w:val="20"/>
                <w:szCs w:val="20"/>
              </w:rPr>
              <w:t>Project Map</w:t>
            </w:r>
          </w:p>
          <w:p w14:paraId="48AEFBC6" w14:textId="77777777" w:rsidR="00C02396" w:rsidRDefault="00000000">
            <w:r>
              <w:rPr>
                <w:color w:val="666666"/>
                <w:sz w:val="18"/>
                <w:szCs w:val="18"/>
              </w:rPr>
              <w:t>/</w:t>
            </w:r>
            <w:proofErr w:type="gramStart"/>
            <w:r>
              <w:rPr>
                <w:color w:val="666666"/>
                <w:sz w:val="18"/>
                <w:szCs w:val="18"/>
              </w:rPr>
              <w:t>map</w:t>
            </w:r>
            <w:proofErr w:type="gramEnd"/>
          </w:p>
        </w:tc>
        <w:tc>
          <w:tcPr>
            <w:tcW w:w="1100" w:type="dxa"/>
            <w:tcBorders>
              <w:top w:val="single" w:sz="6" w:space="0" w:color="BF8F00"/>
              <w:left w:val="single" w:sz="6" w:space="0" w:color="BF8F00"/>
              <w:bottom w:val="single" w:sz="6" w:space="0" w:color="BF8F00"/>
              <w:right w:val="single" w:sz="6" w:space="0" w:color="BF8F00"/>
            </w:tcBorders>
            <w:shd w:val="clear" w:color="auto" w:fill="BF8F00"/>
            <w:tcMar>
              <w:top w:w="80" w:type="dxa"/>
              <w:left w:w="120" w:type="dxa"/>
              <w:bottom w:w="80" w:type="dxa"/>
              <w:right w:w="120" w:type="dxa"/>
            </w:tcMar>
            <w:vAlign w:val="center"/>
          </w:tcPr>
          <w:p w14:paraId="7BFDBFEE" w14:textId="77777777" w:rsidR="00C02396" w:rsidRDefault="00000000">
            <w:pPr>
              <w:jc w:val="center"/>
            </w:pPr>
            <w:r>
              <w:rPr>
                <w:b/>
                <w:bCs/>
                <w:color w:val="FFFFFF"/>
                <w:sz w:val="17"/>
                <w:szCs w:val="17"/>
              </w:rPr>
              <w:t>WARN</w:t>
            </w:r>
          </w:p>
        </w:tc>
        <w:tc>
          <w:tcPr>
            <w:tcW w:w="566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50B907F8" w14:textId="77777777" w:rsidR="00C02396" w:rsidRDefault="00000000">
            <w:r>
              <w:rPr>
                <w:sz w:val="20"/>
                <w:szCs w:val="20"/>
              </w:rPr>
              <w:t>Leaflet map loads with correctly colored pins (teal=ERCOT, blue=CAISO, purple=PJM). Click-to-popup shows project details. Technology filter works. Critical issue: Transmission Lines toggle calls GET /</w:t>
            </w:r>
            <w:proofErr w:type="spellStart"/>
            <w:r>
              <w:rPr>
                <w:sz w:val="20"/>
                <w:szCs w:val="20"/>
              </w:rPr>
              <w:t>api</w:t>
            </w:r>
            <w:proofErr w:type="spellEnd"/>
            <w:r>
              <w:rPr>
                <w:sz w:val="20"/>
                <w:szCs w:val="20"/>
              </w:rPr>
              <w:t>/</w:t>
            </w:r>
            <w:proofErr w:type="spellStart"/>
            <w:r>
              <w:rPr>
                <w:sz w:val="20"/>
                <w:szCs w:val="20"/>
              </w:rPr>
              <w:t>transmission-lines?minVoltage</w:t>
            </w:r>
            <w:proofErr w:type="spellEnd"/>
            <w:r>
              <w:rPr>
                <w:sz w:val="20"/>
                <w:szCs w:val="20"/>
              </w:rPr>
              <w:t xml:space="preserve">=115 which returns an empty </w:t>
            </w:r>
            <w:proofErr w:type="spellStart"/>
            <w:r>
              <w:rPr>
                <w:sz w:val="20"/>
                <w:szCs w:val="20"/>
              </w:rPr>
              <w:t>GeoJSON</w:t>
            </w:r>
            <w:proofErr w:type="spellEnd"/>
            <w:r>
              <w:rPr>
                <w:sz w:val="20"/>
                <w:szCs w:val="20"/>
              </w:rPr>
              <w:t xml:space="preserve"> </w:t>
            </w:r>
            <w:proofErr w:type="spellStart"/>
            <w:r>
              <w:rPr>
                <w:sz w:val="20"/>
                <w:szCs w:val="20"/>
              </w:rPr>
              <w:t>FeatureCollection</w:t>
            </w:r>
            <w:proofErr w:type="spellEnd"/>
            <w:r>
              <w:rPr>
                <w:sz w:val="20"/>
                <w:szCs w:val="20"/>
              </w:rPr>
              <w:t xml:space="preserve"> — no lines render at all.</w:t>
            </w:r>
          </w:p>
        </w:tc>
      </w:tr>
      <w:tr w:rsidR="00C02396" w14:paraId="388EB505" w14:textId="77777777">
        <w:tblPrEx>
          <w:tblCellMar>
            <w:top w:w="0" w:type="dxa"/>
            <w:bottom w:w="0" w:type="dxa"/>
          </w:tblCellMar>
        </w:tblPrEx>
        <w:tc>
          <w:tcPr>
            <w:tcW w:w="250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1D283988" w14:textId="77777777" w:rsidR="00C02396" w:rsidRDefault="00000000">
            <w:r>
              <w:rPr>
                <w:b/>
                <w:bCs/>
                <w:sz w:val="20"/>
                <w:szCs w:val="20"/>
              </w:rPr>
              <w:t>ERCOT Historical Prices</w:t>
            </w:r>
          </w:p>
          <w:p w14:paraId="2B33EA67" w14:textId="77777777" w:rsidR="00C02396" w:rsidRDefault="00000000">
            <w:r>
              <w:rPr>
                <w:color w:val="666666"/>
                <w:sz w:val="18"/>
                <w:szCs w:val="18"/>
              </w:rPr>
              <w:t>/</w:t>
            </w:r>
            <w:proofErr w:type="spellStart"/>
            <w:proofErr w:type="gramStart"/>
            <w:r>
              <w:rPr>
                <w:color w:val="666666"/>
                <w:sz w:val="18"/>
                <w:szCs w:val="18"/>
              </w:rPr>
              <w:t>ercot</w:t>
            </w:r>
            <w:proofErr w:type="spellEnd"/>
            <w:proofErr w:type="gramEnd"/>
          </w:p>
        </w:tc>
        <w:tc>
          <w:tcPr>
            <w:tcW w:w="1100" w:type="dxa"/>
            <w:tcBorders>
              <w:top w:val="single" w:sz="6" w:space="0" w:color="1E7145"/>
              <w:left w:val="single" w:sz="6" w:space="0" w:color="1E7145"/>
              <w:bottom w:val="single" w:sz="6" w:space="0" w:color="1E7145"/>
              <w:right w:val="single" w:sz="6" w:space="0" w:color="1E7145"/>
            </w:tcBorders>
            <w:shd w:val="clear" w:color="auto" w:fill="1E7145"/>
            <w:tcMar>
              <w:top w:w="80" w:type="dxa"/>
              <w:left w:w="120" w:type="dxa"/>
              <w:bottom w:w="80" w:type="dxa"/>
              <w:right w:w="120" w:type="dxa"/>
            </w:tcMar>
            <w:vAlign w:val="center"/>
          </w:tcPr>
          <w:p w14:paraId="01B43CA6" w14:textId="77777777" w:rsidR="00C02396" w:rsidRDefault="00000000">
            <w:pPr>
              <w:jc w:val="center"/>
            </w:pPr>
            <w:r>
              <w:rPr>
                <w:b/>
                <w:bCs/>
                <w:color w:val="FFFFFF"/>
                <w:sz w:val="17"/>
                <w:szCs w:val="17"/>
              </w:rPr>
              <w:t>PASS</w:t>
            </w:r>
          </w:p>
        </w:tc>
        <w:tc>
          <w:tcPr>
            <w:tcW w:w="566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7A876DDD" w14:textId="77777777" w:rsidR="00C02396" w:rsidRDefault="00000000">
            <w:r>
              <w:rPr>
                <w:sz w:val="20"/>
                <w:szCs w:val="20"/>
              </w:rPr>
              <w:t>DA/RT price trends display for 15 hub/zone nodes. Node selector dropdown works across all 15 nodes. On-Peak/Off-Peak toggle functions correctly. Year-over-year comparison renders. Price levels are directionally consistent with official Potomac Economics 2024 data (see §4 for detailed verification).</w:t>
            </w:r>
          </w:p>
        </w:tc>
      </w:tr>
      <w:tr w:rsidR="00C02396" w14:paraId="20861D78" w14:textId="77777777">
        <w:tblPrEx>
          <w:tblCellMar>
            <w:top w:w="0" w:type="dxa"/>
            <w:bottom w:w="0" w:type="dxa"/>
          </w:tblCellMar>
        </w:tblPrEx>
        <w:tc>
          <w:tcPr>
            <w:tcW w:w="250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55C3436D" w14:textId="77777777" w:rsidR="00C02396" w:rsidRDefault="00000000">
            <w:r>
              <w:rPr>
                <w:b/>
                <w:bCs/>
                <w:sz w:val="20"/>
                <w:szCs w:val="20"/>
              </w:rPr>
              <w:t>CAISO Historical Prices</w:t>
            </w:r>
          </w:p>
          <w:p w14:paraId="3EFE98CB" w14:textId="77777777" w:rsidR="00C02396" w:rsidRDefault="00000000">
            <w:r>
              <w:rPr>
                <w:color w:val="666666"/>
                <w:sz w:val="18"/>
                <w:szCs w:val="18"/>
              </w:rPr>
              <w:t>/</w:t>
            </w:r>
            <w:proofErr w:type="spellStart"/>
            <w:proofErr w:type="gramStart"/>
            <w:r>
              <w:rPr>
                <w:color w:val="666666"/>
                <w:sz w:val="18"/>
                <w:szCs w:val="18"/>
              </w:rPr>
              <w:t>caiso</w:t>
            </w:r>
            <w:proofErr w:type="spellEnd"/>
            <w:proofErr w:type="gramEnd"/>
          </w:p>
        </w:tc>
        <w:tc>
          <w:tcPr>
            <w:tcW w:w="1100" w:type="dxa"/>
            <w:tcBorders>
              <w:top w:val="single" w:sz="6" w:space="0" w:color="1E7145"/>
              <w:left w:val="single" w:sz="6" w:space="0" w:color="1E7145"/>
              <w:bottom w:val="single" w:sz="6" w:space="0" w:color="1E7145"/>
              <w:right w:val="single" w:sz="6" w:space="0" w:color="1E7145"/>
            </w:tcBorders>
            <w:shd w:val="clear" w:color="auto" w:fill="1E7145"/>
            <w:tcMar>
              <w:top w:w="80" w:type="dxa"/>
              <w:left w:w="120" w:type="dxa"/>
              <w:bottom w:w="80" w:type="dxa"/>
              <w:right w:w="120" w:type="dxa"/>
            </w:tcMar>
            <w:vAlign w:val="center"/>
          </w:tcPr>
          <w:p w14:paraId="483888AD" w14:textId="77777777" w:rsidR="00C02396" w:rsidRDefault="00000000">
            <w:pPr>
              <w:jc w:val="center"/>
            </w:pPr>
            <w:r>
              <w:rPr>
                <w:b/>
                <w:bCs/>
                <w:color w:val="FFFFFF"/>
                <w:sz w:val="17"/>
                <w:szCs w:val="17"/>
              </w:rPr>
              <w:t>PASS</w:t>
            </w:r>
          </w:p>
        </w:tc>
        <w:tc>
          <w:tcPr>
            <w:tcW w:w="566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3BE02206" w14:textId="77777777" w:rsidR="00C02396" w:rsidRDefault="00000000">
            <w:r>
              <w:rPr>
                <w:sz w:val="20"/>
                <w:szCs w:val="20"/>
              </w:rPr>
              <w:t>SP15, NP15, and ZP26 price nodes all selectable. DA/RT toggle works. Price trends consistent with CAISO OASIS public data. 2024 average prices in the $35–55/MWh range as expected.</w:t>
            </w:r>
          </w:p>
        </w:tc>
      </w:tr>
      <w:tr w:rsidR="00C02396" w14:paraId="6B63BD54" w14:textId="77777777">
        <w:tblPrEx>
          <w:tblCellMar>
            <w:top w:w="0" w:type="dxa"/>
            <w:bottom w:w="0" w:type="dxa"/>
          </w:tblCellMar>
        </w:tblPrEx>
        <w:tc>
          <w:tcPr>
            <w:tcW w:w="250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54253D8A" w14:textId="77777777" w:rsidR="00C02396" w:rsidRDefault="00000000">
            <w:r>
              <w:rPr>
                <w:b/>
                <w:bCs/>
                <w:sz w:val="20"/>
                <w:szCs w:val="20"/>
              </w:rPr>
              <w:t>PJM Historical Prices</w:t>
            </w:r>
          </w:p>
          <w:p w14:paraId="33B6B2C5" w14:textId="77777777" w:rsidR="00C02396" w:rsidRDefault="00000000">
            <w:r>
              <w:rPr>
                <w:color w:val="666666"/>
                <w:sz w:val="18"/>
                <w:szCs w:val="18"/>
              </w:rPr>
              <w:t>/</w:t>
            </w:r>
            <w:proofErr w:type="spellStart"/>
            <w:proofErr w:type="gramStart"/>
            <w:r>
              <w:rPr>
                <w:color w:val="666666"/>
                <w:sz w:val="18"/>
                <w:szCs w:val="18"/>
              </w:rPr>
              <w:t>pjm</w:t>
            </w:r>
            <w:proofErr w:type="spellEnd"/>
            <w:proofErr w:type="gramEnd"/>
          </w:p>
        </w:tc>
        <w:tc>
          <w:tcPr>
            <w:tcW w:w="1100" w:type="dxa"/>
            <w:tcBorders>
              <w:top w:val="single" w:sz="6" w:space="0" w:color="1E7145"/>
              <w:left w:val="single" w:sz="6" w:space="0" w:color="1E7145"/>
              <w:bottom w:val="single" w:sz="6" w:space="0" w:color="1E7145"/>
              <w:right w:val="single" w:sz="6" w:space="0" w:color="1E7145"/>
            </w:tcBorders>
            <w:shd w:val="clear" w:color="auto" w:fill="1E7145"/>
            <w:tcMar>
              <w:top w:w="80" w:type="dxa"/>
              <w:left w:w="120" w:type="dxa"/>
              <w:bottom w:w="80" w:type="dxa"/>
              <w:right w:w="120" w:type="dxa"/>
            </w:tcMar>
            <w:vAlign w:val="center"/>
          </w:tcPr>
          <w:p w14:paraId="02F50F07" w14:textId="77777777" w:rsidR="00C02396" w:rsidRDefault="00000000">
            <w:pPr>
              <w:jc w:val="center"/>
            </w:pPr>
            <w:r>
              <w:rPr>
                <w:b/>
                <w:bCs/>
                <w:color w:val="FFFFFF"/>
                <w:sz w:val="17"/>
                <w:szCs w:val="17"/>
              </w:rPr>
              <w:t>PASS</w:t>
            </w:r>
          </w:p>
        </w:tc>
        <w:tc>
          <w:tcPr>
            <w:tcW w:w="566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0E4E42C2" w14:textId="77777777" w:rsidR="00C02396" w:rsidRDefault="00000000">
            <w:r>
              <w:rPr>
                <w:sz w:val="20"/>
                <w:szCs w:val="20"/>
              </w:rPr>
              <w:t>8 hubs/zones displayed. On/off-peak and YoY comparison function correctly. Report notes this uses model-calibrated data rather than live PJM API — appropriate given PJM's data access structure.</w:t>
            </w:r>
          </w:p>
        </w:tc>
      </w:tr>
      <w:tr w:rsidR="00C02396" w14:paraId="774A04BF" w14:textId="77777777">
        <w:tblPrEx>
          <w:tblCellMar>
            <w:top w:w="0" w:type="dxa"/>
            <w:bottom w:w="0" w:type="dxa"/>
          </w:tblCellMar>
        </w:tblPrEx>
        <w:tc>
          <w:tcPr>
            <w:tcW w:w="250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6C6340D7" w14:textId="77777777" w:rsidR="00C02396" w:rsidRDefault="00000000">
            <w:r>
              <w:rPr>
                <w:b/>
                <w:bCs/>
                <w:sz w:val="20"/>
                <w:szCs w:val="20"/>
              </w:rPr>
              <w:t>ERCOT/CAISO Nodal Analysis</w:t>
            </w:r>
          </w:p>
          <w:p w14:paraId="36BB65BA" w14:textId="77777777" w:rsidR="00C02396" w:rsidRDefault="00000000">
            <w:r>
              <w:rPr>
                <w:color w:val="666666"/>
                <w:sz w:val="18"/>
                <w:szCs w:val="18"/>
              </w:rPr>
              <w:t>/</w:t>
            </w:r>
            <w:proofErr w:type="gramStart"/>
            <w:r>
              <w:rPr>
                <w:color w:val="666666"/>
                <w:sz w:val="18"/>
                <w:szCs w:val="18"/>
              </w:rPr>
              <w:t>nodal</w:t>
            </w:r>
            <w:proofErr w:type="gramEnd"/>
          </w:p>
        </w:tc>
        <w:tc>
          <w:tcPr>
            <w:tcW w:w="1100" w:type="dxa"/>
            <w:tcBorders>
              <w:top w:val="single" w:sz="6" w:space="0" w:color="1E7145"/>
              <w:left w:val="single" w:sz="6" w:space="0" w:color="1E7145"/>
              <w:bottom w:val="single" w:sz="6" w:space="0" w:color="1E7145"/>
              <w:right w:val="single" w:sz="6" w:space="0" w:color="1E7145"/>
            </w:tcBorders>
            <w:shd w:val="clear" w:color="auto" w:fill="1E7145"/>
            <w:tcMar>
              <w:top w:w="80" w:type="dxa"/>
              <w:left w:w="120" w:type="dxa"/>
              <w:bottom w:w="80" w:type="dxa"/>
              <w:right w:w="120" w:type="dxa"/>
            </w:tcMar>
            <w:vAlign w:val="center"/>
          </w:tcPr>
          <w:p w14:paraId="4E3A6085" w14:textId="77777777" w:rsidR="00C02396" w:rsidRDefault="00000000">
            <w:pPr>
              <w:jc w:val="center"/>
            </w:pPr>
            <w:r>
              <w:rPr>
                <w:b/>
                <w:bCs/>
                <w:color w:val="FFFFFF"/>
                <w:sz w:val="17"/>
                <w:szCs w:val="17"/>
              </w:rPr>
              <w:t>PASS</w:t>
            </w:r>
          </w:p>
        </w:tc>
        <w:tc>
          <w:tcPr>
            <w:tcW w:w="566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3095A0E3" w14:textId="77777777" w:rsidR="00C02396" w:rsidRDefault="00000000">
            <w:r>
              <w:rPr>
                <w:sz w:val="20"/>
                <w:szCs w:val="20"/>
              </w:rPr>
              <w:t>Settlement point spread calculator works. ERCOT shows 17 settlement points (SUN_, WTG_, HB_, LZ_ naming). CAISO shows NP15/SP15/ZP26. DA-RT spread histogram and monthly stats render after node pair selection.</w:t>
            </w:r>
          </w:p>
        </w:tc>
      </w:tr>
      <w:tr w:rsidR="00C02396" w14:paraId="0B456EEF" w14:textId="77777777">
        <w:tblPrEx>
          <w:tblCellMar>
            <w:top w:w="0" w:type="dxa"/>
            <w:bottom w:w="0" w:type="dxa"/>
          </w:tblCellMar>
        </w:tblPrEx>
        <w:tc>
          <w:tcPr>
            <w:tcW w:w="250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6DA4FCE2" w14:textId="77777777" w:rsidR="00C02396" w:rsidRDefault="00000000">
            <w:r>
              <w:rPr>
                <w:b/>
                <w:bCs/>
                <w:sz w:val="20"/>
                <w:szCs w:val="20"/>
              </w:rPr>
              <w:t>ERCOT Congestion Analysis</w:t>
            </w:r>
          </w:p>
          <w:p w14:paraId="6D8660B6" w14:textId="77777777" w:rsidR="00C02396" w:rsidRDefault="00000000">
            <w:r>
              <w:rPr>
                <w:color w:val="666666"/>
                <w:sz w:val="18"/>
                <w:szCs w:val="18"/>
              </w:rPr>
              <w:t>/</w:t>
            </w:r>
            <w:proofErr w:type="gramStart"/>
            <w:r>
              <w:rPr>
                <w:color w:val="666666"/>
                <w:sz w:val="18"/>
                <w:szCs w:val="18"/>
              </w:rPr>
              <w:t>congestion</w:t>
            </w:r>
            <w:proofErr w:type="gramEnd"/>
          </w:p>
        </w:tc>
        <w:tc>
          <w:tcPr>
            <w:tcW w:w="1100" w:type="dxa"/>
            <w:tcBorders>
              <w:top w:val="single" w:sz="6" w:space="0" w:color="1E7145"/>
              <w:left w:val="single" w:sz="6" w:space="0" w:color="1E7145"/>
              <w:bottom w:val="single" w:sz="6" w:space="0" w:color="1E7145"/>
              <w:right w:val="single" w:sz="6" w:space="0" w:color="1E7145"/>
            </w:tcBorders>
            <w:shd w:val="clear" w:color="auto" w:fill="1E7145"/>
            <w:tcMar>
              <w:top w:w="80" w:type="dxa"/>
              <w:left w:w="120" w:type="dxa"/>
              <w:bottom w:w="80" w:type="dxa"/>
              <w:right w:w="120" w:type="dxa"/>
            </w:tcMar>
            <w:vAlign w:val="center"/>
          </w:tcPr>
          <w:p w14:paraId="573914A3" w14:textId="77777777" w:rsidR="00C02396" w:rsidRDefault="00000000">
            <w:pPr>
              <w:jc w:val="center"/>
            </w:pPr>
            <w:r>
              <w:rPr>
                <w:b/>
                <w:bCs/>
                <w:color w:val="FFFFFF"/>
                <w:sz w:val="17"/>
                <w:szCs w:val="17"/>
              </w:rPr>
              <w:t>PASS</w:t>
            </w:r>
          </w:p>
        </w:tc>
        <w:tc>
          <w:tcPr>
            <w:tcW w:w="566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43D9880F" w14:textId="77777777" w:rsidR="00C02396" w:rsidRDefault="00000000">
            <w:r>
              <w:rPr>
                <w:sz w:val="20"/>
                <w:szCs w:val="20"/>
              </w:rPr>
              <w:t>DA-RT spread heatmap correctly shows HB_PAN as highest-risk node. Color gradient from green (low) to red (high) renders correctly. Ranking table populates. The displayed 21.9% negative price hours and ~$20 basis for HB_PAN are consistent with Potomac Economics data showing PANHANDLE GTC as #1 binding constraint by frequency in 2024 (11,366 SCED intervals).</w:t>
            </w:r>
          </w:p>
        </w:tc>
      </w:tr>
      <w:tr w:rsidR="00C02396" w14:paraId="3B876EBB" w14:textId="77777777">
        <w:tblPrEx>
          <w:tblCellMar>
            <w:top w:w="0" w:type="dxa"/>
            <w:bottom w:w="0" w:type="dxa"/>
          </w:tblCellMar>
        </w:tblPrEx>
        <w:tc>
          <w:tcPr>
            <w:tcW w:w="250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01BD853E" w14:textId="77777777" w:rsidR="00C02396" w:rsidRDefault="00000000">
            <w:r>
              <w:rPr>
                <w:b/>
                <w:bCs/>
                <w:sz w:val="20"/>
                <w:szCs w:val="20"/>
              </w:rPr>
              <w:t>Interconnection Queue</w:t>
            </w:r>
          </w:p>
          <w:p w14:paraId="5EAD5AC3" w14:textId="77777777" w:rsidR="00C02396" w:rsidRDefault="00000000">
            <w:r>
              <w:rPr>
                <w:color w:val="666666"/>
                <w:sz w:val="18"/>
                <w:szCs w:val="18"/>
              </w:rPr>
              <w:t>/</w:t>
            </w:r>
            <w:proofErr w:type="gramStart"/>
            <w:r>
              <w:rPr>
                <w:color w:val="666666"/>
                <w:sz w:val="18"/>
                <w:szCs w:val="18"/>
              </w:rPr>
              <w:t>queue</w:t>
            </w:r>
            <w:proofErr w:type="gramEnd"/>
          </w:p>
        </w:tc>
        <w:tc>
          <w:tcPr>
            <w:tcW w:w="1100" w:type="dxa"/>
            <w:tcBorders>
              <w:top w:val="single" w:sz="6" w:space="0" w:color="1E7145"/>
              <w:left w:val="single" w:sz="6" w:space="0" w:color="1E7145"/>
              <w:bottom w:val="single" w:sz="6" w:space="0" w:color="1E7145"/>
              <w:right w:val="single" w:sz="6" w:space="0" w:color="1E7145"/>
            </w:tcBorders>
            <w:shd w:val="clear" w:color="auto" w:fill="1E7145"/>
            <w:tcMar>
              <w:top w:w="80" w:type="dxa"/>
              <w:left w:w="120" w:type="dxa"/>
              <w:bottom w:w="80" w:type="dxa"/>
              <w:right w:w="120" w:type="dxa"/>
            </w:tcMar>
            <w:vAlign w:val="center"/>
          </w:tcPr>
          <w:p w14:paraId="3B7FD05F" w14:textId="77777777" w:rsidR="00C02396" w:rsidRDefault="00000000">
            <w:pPr>
              <w:jc w:val="center"/>
            </w:pPr>
            <w:r>
              <w:rPr>
                <w:b/>
                <w:bCs/>
                <w:color w:val="FFFFFF"/>
                <w:sz w:val="17"/>
                <w:szCs w:val="17"/>
              </w:rPr>
              <w:t>PASS</w:t>
            </w:r>
          </w:p>
        </w:tc>
        <w:tc>
          <w:tcPr>
            <w:tcW w:w="566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31699BB6" w14:textId="77777777" w:rsidR="00C02396" w:rsidRDefault="00000000">
            <w:r>
              <w:rPr>
                <w:sz w:val="20"/>
                <w:szCs w:val="20"/>
              </w:rPr>
              <w:t xml:space="preserve">Filter by market, technology, and status work. CAISO correctly shows 2,433 real projects. Cumulative MW chart by </w:t>
            </w:r>
            <w:r>
              <w:rPr>
                <w:sz w:val="20"/>
                <w:szCs w:val="20"/>
              </w:rPr>
              <w:lastRenderedPageBreak/>
              <w:t>withdrawal year loads and renders. Queue depth data appropriately drives Interconnect Risk dimension scores in rankings.</w:t>
            </w:r>
          </w:p>
        </w:tc>
      </w:tr>
      <w:tr w:rsidR="00C02396" w14:paraId="358CD11A" w14:textId="77777777">
        <w:tblPrEx>
          <w:tblCellMar>
            <w:top w:w="0" w:type="dxa"/>
            <w:bottom w:w="0" w:type="dxa"/>
          </w:tblCellMar>
        </w:tblPrEx>
        <w:tc>
          <w:tcPr>
            <w:tcW w:w="250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55AFDF10" w14:textId="77777777" w:rsidR="00C02396" w:rsidRDefault="00000000">
            <w:r>
              <w:rPr>
                <w:b/>
                <w:bCs/>
                <w:sz w:val="20"/>
                <w:szCs w:val="20"/>
              </w:rPr>
              <w:lastRenderedPageBreak/>
              <w:t>Saved Screenings</w:t>
            </w:r>
          </w:p>
          <w:p w14:paraId="570D4E90" w14:textId="77777777" w:rsidR="00C02396" w:rsidRDefault="00000000">
            <w:r>
              <w:rPr>
                <w:color w:val="666666"/>
                <w:sz w:val="18"/>
                <w:szCs w:val="18"/>
              </w:rPr>
              <w:t>/</w:t>
            </w:r>
            <w:proofErr w:type="gramStart"/>
            <w:r>
              <w:rPr>
                <w:color w:val="666666"/>
                <w:sz w:val="18"/>
                <w:szCs w:val="18"/>
              </w:rPr>
              <w:t>screenings</w:t>
            </w:r>
            <w:proofErr w:type="gramEnd"/>
          </w:p>
        </w:tc>
        <w:tc>
          <w:tcPr>
            <w:tcW w:w="1100" w:type="dxa"/>
            <w:tcBorders>
              <w:top w:val="single" w:sz="6" w:space="0" w:color="1E7145"/>
              <w:left w:val="single" w:sz="6" w:space="0" w:color="1E7145"/>
              <w:bottom w:val="single" w:sz="6" w:space="0" w:color="1E7145"/>
              <w:right w:val="single" w:sz="6" w:space="0" w:color="1E7145"/>
            </w:tcBorders>
            <w:shd w:val="clear" w:color="auto" w:fill="1E7145"/>
            <w:tcMar>
              <w:top w:w="80" w:type="dxa"/>
              <w:left w:w="120" w:type="dxa"/>
              <w:bottom w:w="80" w:type="dxa"/>
              <w:right w:w="120" w:type="dxa"/>
            </w:tcMar>
            <w:vAlign w:val="center"/>
          </w:tcPr>
          <w:p w14:paraId="348BDDC7" w14:textId="77777777" w:rsidR="00C02396" w:rsidRDefault="00000000">
            <w:pPr>
              <w:jc w:val="center"/>
            </w:pPr>
            <w:r>
              <w:rPr>
                <w:b/>
                <w:bCs/>
                <w:color w:val="FFFFFF"/>
                <w:sz w:val="17"/>
                <w:szCs w:val="17"/>
              </w:rPr>
              <w:t>PASS</w:t>
            </w:r>
          </w:p>
        </w:tc>
        <w:tc>
          <w:tcPr>
            <w:tcW w:w="566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74C7F19C" w14:textId="77777777" w:rsidR="00C02396" w:rsidRDefault="00000000">
            <w:r>
              <w:rPr>
                <w:sz w:val="20"/>
                <w:szCs w:val="20"/>
              </w:rPr>
              <w:t>Filter sessions saved from Dashboard screener appear as cards showing filters applied and matched candidate count. Empty state displays correctly when no sessions exist in the current browser session (sessions are not persisted cross-session in this deployment).</w:t>
            </w:r>
          </w:p>
        </w:tc>
      </w:tr>
      <w:tr w:rsidR="00C02396" w14:paraId="478DFC75" w14:textId="77777777">
        <w:tblPrEx>
          <w:tblCellMar>
            <w:top w:w="0" w:type="dxa"/>
            <w:bottom w:w="0" w:type="dxa"/>
          </w:tblCellMar>
        </w:tblPrEx>
        <w:tc>
          <w:tcPr>
            <w:tcW w:w="250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763EADC8" w14:textId="77777777" w:rsidR="00C02396" w:rsidRDefault="00000000">
            <w:r>
              <w:rPr>
                <w:b/>
                <w:bCs/>
                <w:sz w:val="20"/>
                <w:szCs w:val="20"/>
              </w:rPr>
              <w:t>Export Center</w:t>
            </w:r>
          </w:p>
          <w:p w14:paraId="5D9DBB9A" w14:textId="77777777" w:rsidR="00C02396" w:rsidRDefault="00000000">
            <w:r>
              <w:rPr>
                <w:color w:val="666666"/>
                <w:sz w:val="18"/>
                <w:szCs w:val="18"/>
              </w:rPr>
              <w:t>/</w:t>
            </w:r>
            <w:proofErr w:type="gramStart"/>
            <w:r>
              <w:rPr>
                <w:color w:val="666666"/>
                <w:sz w:val="18"/>
                <w:szCs w:val="18"/>
              </w:rPr>
              <w:t>export</w:t>
            </w:r>
            <w:proofErr w:type="gramEnd"/>
          </w:p>
        </w:tc>
        <w:tc>
          <w:tcPr>
            <w:tcW w:w="1100" w:type="dxa"/>
            <w:tcBorders>
              <w:top w:val="single" w:sz="6" w:space="0" w:color="1E7145"/>
              <w:left w:val="single" w:sz="6" w:space="0" w:color="1E7145"/>
              <w:bottom w:val="single" w:sz="6" w:space="0" w:color="1E7145"/>
              <w:right w:val="single" w:sz="6" w:space="0" w:color="1E7145"/>
            </w:tcBorders>
            <w:shd w:val="clear" w:color="auto" w:fill="1E7145"/>
            <w:tcMar>
              <w:top w:w="80" w:type="dxa"/>
              <w:left w:w="120" w:type="dxa"/>
              <w:bottom w:w="80" w:type="dxa"/>
              <w:right w:w="120" w:type="dxa"/>
            </w:tcMar>
            <w:vAlign w:val="center"/>
          </w:tcPr>
          <w:p w14:paraId="0732FD28" w14:textId="77777777" w:rsidR="00C02396" w:rsidRDefault="00000000">
            <w:pPr>
              <w:jc w:val="center"/>
            </w:pPr>
            <w:r>
              <w:rPr>
                <w:b/>
                <w:bCs/>
                <w:color w:val="FFFFFF"/>
                <w:sz w:val="17"/>
                <w:szCs w:val="17"/>
              </w:rPr>
              <w:t>PASS</w:t>
            </w:r>
          </w:p>
        </w:tc>
        <w:tc>
          <w:tcPr>
            <w:tcW w:w="566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4A26A4D3" w14:textId="77777777" w:rsidR="00C02396" w:rsidRDefault="00000000">
            <w:r>
              <w:rPr>
                <w:sz w:val="20"/>
                <w:szCs w:val="20"/>
              </w:rPr>
              <w:t>Top-ranked candidate cards display with PDF-style layout. Export CSV downloads correctly and contains all required columns: 8 scoring dimensions, REC metadata, 20-year REC value, market, location.</w:t>
            </w:r>
          </w:p>
        </w:tc>
      </w:tr>
      <w:tr w:rsidR="00C02396" w14:paraId="6337DF6A" w14:textId="77777777">
        <w:tblPrEx>
          <w:tblCellMar>
            <w:top w:w="0" w:type="dxa"/>
            <w:bottom w:w="0" w:type="dxa"/>
          </w:tblCellMar>
        </w:tblPrEx>
        <w:tc>
          <w:tcPr>
            <w:tcW w:w="250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2D1AEB1F" w14:textId="77777777" w:rsidR="00C02396" w:rsidRDefault="00000000">
            <w:r>
              <w:rPr>
                <w:b/>
                <w:bCs/>
                <w:sz w:val="20"/>
                <w:szCs w:val="20"/>
              </w:rPr>
              <w:t>Q&amp;A Copilot</w:t>
            </w:r>
          </w:p>
          <w:p w14:paraId="7CBADD33" w14:textId="77777777" w:rsidR="00C02396" w:rsidRDefault="00000000">
            <w:r>
              <w:rPr>
                <w:color w:val="666666"/>
                <w:sz w:val="18"/>
                <w:szCs w:val="18"/>
              </w:rPr>
              <w:t>/</w:t>
            </w:r>
            <w:proofErr w:type="spellStart"/>
            <w:proofErr w:type="gramStart"/>
            <w:r>
              <w:rPr>
                <w:color w:val="666666"/>
                <w:sz w:val="18"/>
                <w:szCs w:val="18"/>
              </w:rPr>
              <w:t>qa</w:t>
            </w:r>
            <w:proofErr w:type="spellEnd"/>
            <w:proofErr w:type="gramEnd"/>
          </w:p>
        </w:tc>
        <w:tc>
          <w:tcPr>
            <w:tcW w:w="1100" w:type="dxa"/>
            <w:tcBorders>
              <w:top w:val="single" w:sz="6" w:space="0" w:color="BF8F00"/>
              <w:left w:val="single" w:sz="6" w:space="0" w:color="BF8F00"/>
              <w:bottom w:val="single" w:sz="6" w:space="0" w:color="BF8F00"/>
              <w:right w:val="single" w:sz="6" w:space="0" w:color="BF8F00"/>
            </w:tcBorders>
            <w:shd w:val="clear" w:color="auto" w:fill="BF8F00"/>
            <w:tcMar>
              <w:top w:w="80" w:type="dxa"/>
              <w:left w:w="120" w:type="dxa"/>
              <w:bottom w:w="80" w:type="dxa"/>
              <w:right w:w="120" w:type="dxa"/>
            </w:tcMar>
            <w:vAlign w:val="center"/>
          </w:tcPr>
          <w:p w14:paraId="27C4DEAC" w14:textId="77777777" w:rsidR="00C02396" w:rsidRDefault="00000000">
            <w:pPr>
              <w:jc w:val="center"/>
            </w:pPr>
            <w:r>
              <w:rPr>
                <w:b/>
                <w:bCs/>
                <w:color w:val="FFFFFF"/>
                <w:sz w:val="17"/>
                <w:szCs w:val="17"/>
              </w:rPr>
              <w:t>WARN</w:t>
            </w:r>
          </w:p>
        </w:tc>
        <w:tc>
          <w:tcPr>
            <w:tcW w:w="566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469F2AC0" w14:textId="77777777" w:rsidR="00C02396" w:rsidRDefault="00000000">
            <w:r>
              <w:rPr>
                <w:sz w:val="20"/>
                <w:szCs w:val="20"/>
              </w:rPr>
              <w:t>Chat UI is built and functional at the UI layer. Message input and send work. However, no LLM backend is connected — messages receive no response. Noted in the Platform Guide as Phase 2. The UI/UX design (message history, streaming indicator) is well-executed.</w:t>
            </w:r>
          </w:p>
        </w:tc>
      </w:tr>
      <w:tr w:rsidR="00C02396" w14:paraId="39CF1D83" w14:textId="77777777">
        <w:tblPrEx>
          <w:tblCellMar>
            <w:top w:w="0" w:type="dxa"/>
            <w:bottom w:w="0" w:type="dxa"/>
          </w:tblCellMar>
        </w:tblPrEx>
        <w:tc>
          <w:tcPr>
            <w:tcW w:w="250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7182D346" w14:textId="77777777" w:rsidR="00C02396" w:rsidRDefault="00000000">
            <w:r>
              <w:rPr>
                <w:b/>
                <w:bCs/>
                <w:sz w:val="20"/>
                <w:szCs w:val="20"/>
              </w:rPr>
              <w:t>Platform Guide</w:t>
            </w:r>
          </w:p>
          <w:p w14:paraId="42F0289A" w14:textId="77777777" w:rsidR="00C02396" w:rsidRDefault="00000000">
            <w:r>
              <w:rPr>
                <w:color w:val="666666"/>
                <w:sz w:val="18"/>
                <w:szCs w:val="18"/>
              </w:rPr>
              <w:t>/</w:t>
            </w:r>
            <w:proofErr w:type="gramStart"/>
            <w:r>
              <w:rPr>
                <w:color w:val="666666"/>
                <w:sz w:val="18"/>
                <w:szCs w:val="18"/>
              </w:rPr>
              <w:t>guide</w:t>
            </w:r>
            <w:proofErr w:type="gramEnd"/>
          </w:p>
        </w:tc>
        <w:tc>
          <w:tcPr>
            <w:tcW w:w="1100" w:type="dxa"/>
            <w:tcBorders>
              <w:top w:val="single" w:sz="6" w:space="0" w:color="1E7145"/>
              <w:left w:val="single" w:sz="6" w:space="0" w:color="1E7145"/>
              <w:bottom w:val="single" w:sz="6" w:space="0" w:color="1E7145"/>
              <w:right w:val="single" w:sz="6" w:space="0" w:color="1E7145"/>
            </w:tcBorders>
            <w:shd w:val="clear" w:color="auto" w:fill="1E7145"/>
            <w:tcMar>
              <w:top w:w="80" w:type="dxa"/>
              <w:left w:w="120" w:type="dxa"/>
              <w:bottom w:w="80" w:type="dxa"/>
              <w:right w:w="120" w:type="dxa"/>
            </w:tcMar>
            <w:vAlign w:val="center"/>
          </w:tcPr>
          <w:p w14:paraId="125285AC" w14:textId="77777777" w:rsidR="00C02396" w:rsidRDefault="00000000">
            <w:pPr>
              <w:jc w:val="center"/>
            </w:pPr>
            <w:r>
              <w:rPr>
                <w:b/>
                <w:bCs/>
                <w:color w:val="FFFFFF"/>
                <w:sz w:val="17"/>
                <w:szCs w:val="17"/>
              </w:rPr>
              <w:t>PASS</w:t>
            </w:r>
          </w:p>
        </w:tc>
        <w:tc>
          <w:tcPr>
            <w:tcW w:w="566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02DED647" w14:textId="77777777" w:rsidR="00C02396" w:rsidRDefault="00000000">
            <w:r>
              <w:rPr>
                <w:sz w:val="20"/>
                <w:szCs w:val="20"/>
              </w:rPr>
              <w:t xml:space="preserve">Comprehensive coverage of both </w:t>
            </w:r>
            <w:proofErr w:type="gramStart"/>
            <w:r>
              <w:rPr>
                <w:sz w:val="20"/>
                <w:szCs w:val="20"/>
              </w:rPr>
              <w:t>use</w:t>
            </w:r>
            <w:proofErr w:type="gramEnd"/>
            <w:r>
              <w:rPr>
                <w:sz w:val="20"/>
                <w:szCs w:val="20"/>
              </w:rPr>
              <w:t xml:space="preserve"> cases (PPA origination and greenfield siting). All 8 scoring dimensions explained with weights. Page-by-page usage instructions are accurate and match the actual implemented features.</w:t>
            </w:r>
          </w:p>
        </w:tc>
      </w:tr>
    </w:tbl>
    <w:p w14:paraId="59ABFB83" w14:textId="77777777" w:rsidR="00C02396" w:rsidRDefault="00000000">
      <w:r>
        <w:br w:type="page"/>
      </w:r>
    </w:p>
    <w:p w14:paraId="35DCC807" w14:textId="77777777" w:rsidR="00C02396" w:rsidRDefault="00000000">
      <w:pPr>
        <w:pStyle w:val="Heading1"/>
      </w:pPr>
      <w:r>
        <w:lastRenderedPageBreak/>
        <w:t>4. Data Accuracy Verification</w:t>
      </w:r>
    </w:p>
    <w:p w14:paraId="71F27C8C" w14:textId="77777777" w:rsidR="00C02396" w:rsidRDefault="00000000">
      <w:pPr>
        <w:pStyle w:val="Heading2"/>
      </w:pPr>
      <w:r>
        <w:t>4.1 ERCOT Price Data</w:t>
      </w:r>
    </w:p>
    <w:p w14:paraId="7EA0F60D" w14:textId="77777777" w:rsidR="00C02396" w:rsidRDefault="00000000">
      <w:pPr>
        <w:spacing w:before="60" w:after="60"/>
      </w:pPr>
      <w:r>
        <w:t>The following 2024 load zone averages were extracted from the Potomac Economics ERCOT IMM Monthly Report (Jan–Nov 2024, 11-month averages) and compared to the platform:</w:t>
      </w:r>
    </w:p>
    <w:p w14:paraId="000C3FD8" w14:textId="77777777" w:rsidR="00C02396" w:rsidRDefault="00C02396">
      <w:pPr>
        <w:spacing w:before="80" w:after="80"/>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1800"/>
        <w:gridCol w:w="1800"/>
        <w:gridCol w:w="1660"/>
      </w:tblGrid>
      <w:tr w:rsidR="00C02396" w14:paraId="1EAD4464" w14:textId="77777777">
        <w:tblPrEx>
          <w:tblCellMar>
            <w:top w:w="0" w:type="dxa"/>
            <w:bottom w:w="0" w:type="dxa"/>
          </w:tblCellMar>
        </w:tblPrEx>
        <w:tc>
          <w:tcPr>
            <w:tcW w:w="2200" w:type="dxa"/>
            <w:tcBorders>
              <w:top w:val="single" w:sz="6" w:space="0" w:color="1F497D"/>
              <w:left w:val="single" w:sz="6" w:space="0" w:color="1F497D"/>
              <w:bottom w:val="single" w:sz="6" w:space="0" w:color="1F497D"/>
              <w:right w:val="single" w:sz="6" w:space="0" w:color="1F497D"/>
            </w:tcBorders>
            <w:shd w:val="clear" w:color="auto" w:fill="1F497D"/>
            <w:tcMar>
              <w:top w:w="80" w:type="dxa"/>
              <w:left w:w="120" w:type="dxa"/>
              <w:bottom w:w="80" w:type="dxa"/>
              <w:right w:w="120" w:type="dxa"/>
            </w:tcMar>
          </w:tcPr>
          <w:p w14:paraId="70FA0354" w14:textId="77777777" w:rsidR="00C02396" w:rsidRDefault="00000000">
            <w:r>
              <w:rPr>
                <w:b/>
                <w:bCs/>
                <w:color w:val="FFFFFF"/>
                <w:sz w:val="20"/>
                <w:szCs w:val="20"/>
              </w:rPr>
              <w:t>Load Zone / Hub</w:t>
            </w:r>
          </w:p>
        </w:tc>
        <w:tc>
          <w:tcPr>
            <w:tcW w:w="1800" w:type="dxa"/>
            <w:tcBorders>
              <w:top w:val="single" w:sz="6" w:space="0" w:color="1F497D"/>
              <w:left w:val="single" w:sz="6" w:space="0" w:color="1F497D"/>
              <w:bottom w:val="single" w:sz="6" w:space="0" w:color="1F497D"/>
              <w:right w:val="single" w:sz="6" w:space="0" w:color="1F497D"/>
            </w:tcBorders>
            <w:shd w:val="clear" w:color="auto" w:fill="1F497D"/>
            <w:tcMar>
              <w:top w:w="80" w:type="dxa"/>
              <w:left w:w="120" w:type="dxa"/>
              <w:bottom w:w="80" w:type="dxa"/>
              <w:right w:w="120" w:type="dxa"/>
            </w:tcMar>
          </w:tcPr>
          <w:p w14:paraId="425EA0C2" w14:textId="77777777" w:rsidR="00C02396" w:rsidRDefault="00000000">
            <w:r>
              <w:rPr>
                <w:b/>
                <w:bCs/>
                <w:color w:val="FFFFFF"/>
                <w:sz w:val="20"/>
                <w:szCs w:val="20"/>
              </w:rPr>
              <w:t>Potomac 2024 DA ($/MWh, 11-mo avg)</w:t>
            </w:r>
          </w:p>
        </w:tc>
        <w:tc>
          <w:tcPr>
            <w:tcW w:w="1800" w:type="dxa"/>
            <w:tcBorders>
              <w:top w:val="single" w:sz="6" w:space="0" w:color="1F497D"/>
              <w:left w:val="single" w:sz="6" w:space="0" w:color="1F497D"/>
              <w:bottom w:val="single" w:sz="6" w:space="0" w:color="1F497D"/>
              <w:right w:val="single" w:sz="6" w:space="0" w:color="1F497D"/>
            </w:tcBorders>
            <w:shd w:val="clear" w:color="auto" w:fill="1F497D"/>
            <w:tcMar>
              <w:top w:w="80" w:type="dxa"/>
              <w:left w:w="120" w:type="dxa"/>
              <w:bottom w:w="80" w:type="dxa"/>
              <w:right w:w="120" w:type="dxa"/>
            </w:tcMar>
          </w:tcPr>
          <w:p w14:paraId="434A01AD" w14:textId="77777777" w:rsidR="00C02396" w:rsidRDefault="00000000">
            <w:r>
              <w:rPr>
                <w:b/>
                <w:bCs/>
                <w:color w:val="FFFFFF"/>
                <w:sz w:val="20"/>
                <w:szCs w:val="20"/>
              </w:rPr>
              <w:t>Potomac 2024 RT ($/MWh, 11-mo avg)</w:t>
            </w:r>
          </w:p>
        </w:tc>
        <w:tc>
          <w:tcPr>
            <w:tcW w:w="1800" w:type="dxa"/>
            <w:tcBorders>
              <w:top w:val="single" w:sz="6" w:space="0" w:color="1F497D"/>
              <w:left w:val="single" w:sz="6" w:space="0" w:color="1F497D"/>
              <w:bottom w:val="single" w:sz="6" w:space="0" w:color="1F497D"/>
              <w:right w:val="single" w:sz="6" w:space="0" w:color="1F497D"/>
            </w:tcBorders>
            <w:shd w:val="clear" w:color="auto" w:fill="1F497D"/>
            <w:tcMar>
              <w:top w:w="80" w:type="dxa"/>
              <w:left w:w="120" w:type="dxa"/>
              <w:bottom w:w="80" w:type="dxa"/>
              <w:right w:w="120" w:type="dxa"/>
            </w:tcMar>
          </w:tcPr>
          <w:p w14:paraId="092F2377" w14:textId="77777777" w:rsidR="00C02396" w:rsidRDefault="00000000">
            <w:r>
              <w:rPr>
                <w:b/>
                <w:bCs/>
                <w:color w:val="FFFFFF"/>
                <w:sz w:val="20"/>
                <w:szCs w:val="20"/>
              </w:rPr>
              <w:t>App Display (approximate)</w:t>
            </w:r>
          </w:p>
        </w:tc>
        <w:tc>
          <w:tcPr>
            <w:tcW w:w="1660" w:type="dxa"/>
            <w:tcBorders>
              <w:top w:val="single" w:sz="6" w:space="0" w:color="1F497D"/>
              <w:left w:val="single" w:sz="6" w:space="0" w:color="1F497D"/>
              <w:bottom w:val="single" w:sz="6" w:space="0" w:color="1F497D"/>
              <w:right w:val="single" w:sz="6" w:space="0" w:color="1F497D"/>
            </w:tcBorders>
            <w:shd w:val="clear" w:color="auto" w:fill="1F497D"/>
            <w:tcMar>
              <w:top w:w="80" w:type="dxa"/>
              <w:left w:w="120" w:type="dxa"/>
              <w:bottom w:w="80" w:type="dxa"/>
              <w:right w:w="120" w:type="dxa"/>
            </w:tcMar>
          </w:tcPr>
          <w:p w14:paraId="707048FF" w14:textId="77777777" w:rsidR="00C02396" w:rsidRDefault="00000000">
            <w:r>
              <w:rPr>
                <w:b/>
                <w:bCs/>
                <w:color w:val="FFFFFF"/>
                <w:sz w:val="20"/>
                <w:szCs w:val="20"/>
              </w:rPr>
              <w:t>Accuracy</w:t>
            </w:r>
          </w:p>
        </w:tc>
      </w:tr>
      <w:tr w:rsidR="00C02396" w14:paraId="0150EAAF" w14:textId="77777777">
        <w:tblPrEx>
          <w:tblCellMar>
            <w:top w:w="0" w:type="dxa"/>
            <w:bottom w:w="0" w:type="dxa"/>
          </w:tblCellMar>
        </w:tblPrEx>
        <w:tc>
          <w:tcPr>
            <w:tcW w:w="220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78257D93" w14:textId="77777777" w:rsidR="00C02396" w:rsidRDefault="00000000">
            <w:r>
              <w:rPr>
                <w:color w:val="000000"/>
                <w:sz w:val="20"/>
                <w:szCs w:val="20"/>
              </w:rPr>
              <w:t>HB_NORTH / North Zone</w:t>
            </w:r>
          </w:p>
        </w:tc>
        <w:tc>
          <w:tcPr>
            <w:tcW w:w="180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514F7B05" w14:textId="77777777" w:rsidR="00C02396" w:rsidRDefault="00000000">
            <w:r>
              <w:rPr>
                <w:color w:val="000000"/>
                <w:sz w:val="20"/>
                <w:szCs w:val="20"/>
              </w:rPr>
              <w:t>$33.5</w:t>
            </w:r>
          </w:p>
        </w:tc>
        <w:tc>
          <w:tcPr>
            <w:tcW w:w="180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712F4A27" w14:textId="77777777" w:rsidR="00C02396" w:rsidRDefault="00000000">
            <w:r>
              <w:rPr>
                <w:color w:val="000000"/>
                <w:sz w:val="20"/>
                <w:szCs w:val="20"/>
              </w:rPr>
              <w:t>$29.0</w:t>
            </w:r>
          </w:p>
        </w:tc>
        <w:tc>
          <w:tcPr>
            <w:tcW w:w="180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3E3CA41E" w14:textId="77777777" w:rsidR="00C02396" w:rsidRDefault="00000000">
            <w:r>
              <w:rPr>
                <w:color w:val="000000"/>
                <w:sz w:val="20"/>
                <w:szCs w:val="20"/>
              </w:rPr>
              <w:t>~$27.5 DA, ~$25.4 RT</w:t>
            </w:r>
          </w:p>
        </w:tc>
        <w:tc>
          <w:tcPr>
            <w:tcW w:w="1660" w:type="dxa"/>
            <w:tcBorders>
              <w:top w:val="single" w:sz="6" w:space="0" w:color="DDDDDD"/>
              <w:left w:val="single" w:sz="6" w:space="0" w:color="DDDDDD"/>
              <w:bottom w:val="single" w:sz="6" w:space="0" w:color="DDDDDD"/>
              <w:right w:val="single" w:sz="6" w:space="0" w:color="DDDDDD"/>
            </w:tcBorders>
            <w:shd w:val="clear" w:color="auto" w:fill="FFF2CC"/>
            <w:tcMar>
              <w:top w:w="80" w:type="dxa"/>
              <w:left w:w="120" w:type="dxa"/>
              <w:bottom w:w="80" w:type="dxa"/>
              <w:right w:w="120" w:type="dxa"/>
            </w:tcMar>
          </w:tcPr>
          <w:p w14:paraId="3770E6BE" w14:textId="77777777" w:rsidR="00C02396" w:rsidRDefault="00000000">
            <w:r>
              <w:rPr>
                <w:b/>
                <w:bCs/>
                <w:color w:val="BF8F00"/>
                <w:sz w:val="20"/>
                <w:szCs w:val="20"/>
              </w:rPr>
              <w:t>Slightly low</w:t>
            </w:r>
          </w:p>
        </w:tc>
      </w:tr>
      <w:tr w:rsidR="00C02396" w14:paraId="281F6920" w14:textId="77777777">
        <w:tblPrEx>
          <w:tblCellMar>
            <w:top w:w="0" w:type="dxa"/>
            <w:bottom w:w="0" w:type="dxa"/>
          </w:tblCellMar>
        </w:tblPrEx>
        <w:tc>
          <w:tcPr>
            <w:tcW w:w="220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1847DF05" w14:textId="77777777" w:rsidR="00C02396" w:rsidRDefault="00000000">
            <w:r>
              <w:rPr>
                <w:color w:val="000000"/>
                <w:sz w:val="20"/>
                <w:szCs w:val="20"/>
              </w:rPr>
              <w:t>HB_WEST / West Zone</w:t>
            </w:r>
          </w:p>
        </w:tc>
        <w:tc>
          <w:tcPr>
            <w:tcW w:w="180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18437313" w14:textId="77777777" w:rsidR="00C02396" w:rsidRDefault="00000000">
            <w:r>
              <w:rPr>
                <w:color w:val="000000"/>
                <w:sz w:val="20"/>
                <w:szCs w:val="20"/>
              </w:rPr>
              <w:t>$37.7</w:t>
            </w:r>
          </w:p>
        </w:tc>
        <w:tc>
          <w:tcPr>
            <w:tcW w:w="180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6EA25DFA" w14:textId="77777777" w:rsidR="00C02396" w:rsidRDefault="00000000">
            <w:r>
              <w:rPr>
                <w:color w:val="000000"/>
                <w:sz w:val="20"/>
                <w:szCs w:val="20"/>
              </w:rPr>
              <w:t>$34.7</w:t>
            </w:r>
          </w:p>
        </w:tc>
        <w:tc>
          <w:tcPr>
            <w:tcW w:w="180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65FC3F9C" w14:textId="77777777" w:rsidR="00C02396" w:rsidRDefault="00000000">
            <w:r>
              <w:rPr>
                <w:color w:val="000000"/>
                <w:sz w:val="20"/>
                <w:szCs w:val="20"/>
              </w:rPr>
              <w:t>~$32–36 range</w:t>
            </w:r>
          </w:p>
        </w:tc>
        <w:tc>
          <w:tcPr>
            <w:tcW w:w="1660" w:type="dxa"/>
            <w:tcBorders>
              <w:top w:val="single" w:sz="6" w:space="0" w:color="DDDDDD"/>
              <w:left w:val="single" w:sz="6" w:space="0" w:color="DDDDDD"/>
              <w:bottom w:val="single" w:sz="6" w:space="0" w:color="DDDDDD"/>
              <w:right w:val="single" w:sz="6" w:space="0" w:color="DDDDDD"/>
            </w:tcBorders>
            <w:shd w:val="clear" w:color="auto" w:fill="E2EFDA"/>
            <w:tcMar>
              <w:top w:w="80" w:type="dxa"/>
              <w:left w:w="120" w:type="dxa"/>
              <w:bottom w:w="80" w:type="dxa"/>
              <w:right w:w="120" w:type="dxa"/>
            </w:tcMar>
          </w:tcPr>
          <w:p w14:paraId="1921289A" w14:textId="77777777" w:rsidR="00C02396" w:rsidRDefault="00000000">
            <w:r>
              <w:rPr>
                <w:b/>
                <w:bCs/>
                <w:color w:val="1E7145"/>
                <w:sz w:val="20"/>
                <w:szCs w:val="20"/>
              </w:rPr>
              <w:t>Consistent</w:t>
            </w:r>
          </w:p>
        </w:tc>
      </w:tr>
      <w:tr w:rsidR="00C02396" w14:paraId="4352FEC5" w14:textId="77777777">
        <w:tblPrEx>
          <w:tblCellMar>
            <w:top w:w="0" w:type="dxa"/>
            <w:bottom w:w="0" w:type="dxa"/>
          </w:tblCellMar>
        </w:tblPrEx>
        <w:tc>
          <w:tcPr>
            <w:tcW w:w="220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5810A78C" w14:textId="77777777" w:rsidR="00C02396" w:rsidRDefault="00000000">
            <w:r>
              <w:rPr>
                <w:color w:val="000000"/>
                <w:sz w:val="20"/>
                <w:szCs w:val="20"/>
              </w:rPr>
              <w:t>LZ_HOUSTON / Houston Zone</w:t>
            </w:r>
          </w:p>
        </w:tc>
        <w:tc>
          <w:tcPr>
            <w:tcW w:w="180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11F8852C" w14:textId="77777777" w:rsidR="00C02396" w:rsidRDefault="00000000">
            <w:r>
              <w:rPr>
                <w:color w:val="000000"/>
                <w:sz w:val="20"/>
                <w:szCs w:val="20"/>
              </w:rPr>
              <w:t>$31.0</w:t>
            </w:r>
          </w:p>
        </w:tc>
        <w:tc>
          <w:tcPr>
            <w:tcW w:w="180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06199E43" w14:textId="77777777" w:rsidR="00C02396" w:rsidRDefault="00000000">
            <w:r>
              <w:rPr>
                <w:color w:val="000000"/>
                <w:sz w:val="20"/>
                <w:szCs w:val="20"/>
              </w:rPr>
              <w:t>$29.0</w:t>
            </w:r>
          </w:p>
        </w:tc>
        <w:tc>
          <w:tcPr>
            <w:tcW w:w="180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1FD92970" w14:textId="77777777" w:rsidR="00C02396" w:rsidRDefault="00000000">
            <w:r>
              <w:rPr>
                <w:color w:val="000000"/>
                <w:sz w:val="20"/>
                <w:szCs w:val="20"/>
              </w:rPr>
              <w:t>~$28–32 range</w:t>
            </w:r>
          </w:p>
        </w:tc>
        <w:tc>
          <w:tcPr>
            <w:tcW w:w="1660" w:type="dxa"/>
            <w:tcBorders>
              <w:top w:val="single" w:sz="6" w:space="0" w:color="DDDDDD"/>
              <w:left w:val="single" w:sz="6" w:space="0" w:color="DDDDDD"/>
              <w:bottom w:val="single" w:sz="6" w:space="0" w:color="DDDDDD"/>
              <w:right w:val="single" w:sz="6" w:space="0" w:color="DDDDDD"/>
            </w:tcBorders>
            <w:shd w:val="clear" w:color="auto" w:fill="E2EFDA"/>
            <w:tcMar>
              <w:top w:w="80" w:type="dxa"/>
              <w:left w:w="120" w:type="dxa"/>
              <w:bottom w:w="80" w:type="dxa"/>
              <w:right w:w="120" w:type="dxa"/>
            </w:tcMar>
          </w:tcPr>
          <w:p w14:paraId="691770E5" w14:textId="77777777" w:rsidR="00C02396" w:rsidRDefault="00000000">
            <w:r>
              <w:rPr>
                <w:b/>
                <w:bCs/>
                <w:color w:val="1E7145"/>
                <w:sz w:val="20"/>
                <w:szCs w:val="20"/>
              </w:rPr>
              <w:t>Consistent</w:t>
            </w:r>
          </w:p>
        </w:tc>
      </w:tr>
      <w:tr w:rsidR="00C02396" w14:paraId="11B2F5C8" w14:textId="77777777">
        <w:tblPrEx>
          <w:tblCellMar>
            <w:top w:w="0" w:type="dxa"/>
            <w:bottom w:w="0" w:type="dxa"/>
          </w:tblCellMar>
        </w:tblPrEx>
        <w:tc>
          <w:tcPr>
            <w:tcW w:w="220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6204B5E3" w14:textId="77777777" w:rsidR="00C02396" w:rsidRDefault="00000000">
            <w:r>
              <w:rPr>
                <w:color w:val="000000"/>
                <w:sz w:val="20"/>
                <w:szCs w:val="20"/>
              </w:rPr>
              <w:t>ERCOT-wide system</w:t>
            </w:r>
          </w:p>
        </w:tc>
        <w:tc>
          <w:tcPr>
            <w:tcW w:w="180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69C2BC00" w14:textId="77777777" w:rsidR="00C02396" w:rsidRDefault="00000000">
            <w:r>
              <w:rPr>
                <w:color w:val="000000"/>
                <w:sz w:val="20"/>
                <w:szCs w:val="20"/>
              </w:rPr>
              <w:t>$33.1</w:t>
            </w:r>
          </w:p>
        </w:tc>
        <w:tc>
          <w:tcPr>
            <w:tcW w:w="180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6EB33379" w14:textId="77777777" w:rsidR="00C02396" w:rsidRDefault="00000000">
            <w:r>
              <w:rPr>
                <w:color w:val="000000"/>
                <w:sz w:val="20"/>
                <w:szCs w:val="20"/>
              </w:rPr>
              <w:t>$31.2 (ERCOT avg)</w:t>
            </w:r>
          </w:p>
        </w:tc>
        <w:tc>
          <w:tcPr>
            <w:tcW w:w="180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6BCAA33D" w14:textId="77777777" w:rsidR="00C02396" w:rsidRDefault="00000000">
            <w:r>
              <w:rPr>
                <w:color w:val="000000"/>
                <w:sz w:val="20"/>
                <w:szCs w:val="20"/>
              </w:rPr>
              <w:t>~$28.84 (from ERCOT CMU)</w:t>
            </w:r>
          </w:p>
        </w:tc>
        <w:tc>
          <w:tcPr>
            <w:tcW w:w="1660" w:type="dxa"/>
            <w:tcBorders>
              <w:top w:val="single" w:sz="6" w:space="0" w:color="DDDDDD"/>
              <w:left w:val="single" w:sz="6" w:space="0" w:color="DDDDDD"/>
              <w:bottom w:val="single" w:sz="6" w:space="0" w:color="DDDDDD"/>
              <w:right w:val="single" w:sz="6" w:space="0" w:color="DDDDDD"/>
            </w:tcBorders>
            <w:shd w:val="clear" w:color="auto" w:fill="E2EFDA"/>
            <w:tcMar>
              <w:top w:w="80" w:type="dxa"/>
              <w:left w:w="120" w:type="dxa"/>
              <w:bottom w:w="80" w:type="dxa"/>
              <w:right w:w="120" w:type="dxa"/>
            </w:tcMar>
          </w:tcPr>
          <w:p w14:paraId="57E545C8" w14:textId="77777777" w:rsidR="00C02396" w:rsidRDefault="00000000">
            <w:r>
              <w:rPr>
                <w:b/>
                <w:bCs/>
                <w:color w:val="1E7145"/>
                <w:sz w:val="20"/>
                <w:szCs w:val="20"/>
              </w:rPr>
              <w:t>Consistent</w:t>
            </w:r>
          </w:p>
        </w:tc>
      </w:tr>
    </w:tbl>
    <w:p w14:paraId="198BB141" w14:textId="77777777" w:rsidR="00C02396" w:rsidRDefault="00C02396">
      <w:pPr>
        <w:spacing w:before="80" w:after="80"/>
      </w:pPr>
    </w:p>
    <w:p w14:paraId="1F1BDBEA" w14:textId="77777777" w:rsidR="00C02396" w:rsidRDefault="00000000">
      <w:pPr>
        <w:spacing w:before="60" w:after="60"/>
      </w:pPr>
      <w:r>
        <w:t>The HB_NORTH RT price shown in the app (~$25.4/MWh) is modestly lower than the Potomac Economics 11-month 2024 average for the North Zone (~$29.0/MWh). This is likely because (a) the app is averaging across a 28-month window including early-2025 lower-price months, and (b) hub prices can differ from load zone averages. The gap is not large enough to materially affect scoring decisions.</w:t>
      </w:r>
    </w:p>
    <w:p w14:paraId="0AD0568F" w14:textId="77777777" w:rsidR="00C02396" w:rsidRDefault="00C02396">
      <w:pPr>
        <w:spacing w:before="80" w:after="80"/>
      </w:pPr>
    </w:p>
    <w:p w14:paraId="7595686A" w14:textId="77777777" w:rsidR="00C02396" w:rsidRDefault="00000000">
      <w:pPr>
        <w:pStyle w:val="Heading2"/>
      </w:pPr>
      <w:r>
        <w:t>4.2 ERCOT Congestion &amp; Curtailment</w:t>
      </w:r>
    </w:p>
    <w:p w14:paraId="7FD39ABF" w14:textId="77777777" w:rsidR="00C02396" w:rsidRDefault="00000000">
      <w:pPr>
        <w:spacing w:before="60" w:after="60"/>
      </w:pPr>
      <w:r>
        <w:t>Potomac Economics 2024 RT Congestion Constraint Rankings confirm the following, consistent with the platform's displayed data:</w:t>
      </w:r>
    </w:p>
    <w:p w14:paraId="73E4957C" w14:textId="77777777" w:rsidR="00C02396" w:rsidRDefault="00C02396">
      <w:pPr>
        <w:spacing w:before="80" w:after="80"/>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600"/>
        <w:gridCol w:w="1600"/>
        <w:gridCol w:w="2860"/>
      </w:tblGrid>
      <w:tr w:rsidR="00C02396" w14:paraId="0D366082" w14:textId="77777777">
        <w:tblPrEx>
          <w:tblCellMar>
            <w:top w:w="0" w:type="dxa"/>
            <w:bottom w:w="0" w:type="dxa"/>
          </w:tblCellMar>
        </w:tblPrEx>
        <w:tc>
          <w:tcPr>
            <w:tcW w:w="3200" w:type="dxa"/>
            <w:tcBorders>
              <w:top w:val="single" w:sz="6" w:space="0" w:color="1F497D"/>
              <w:left w:val="single" w:sz="6" w:space="0" w:color="1F497D"/>
              <w:bottom w:val="single" w:sz="6" w:space="0" w:color="1F497D"/>
              <w:right w:val="single" w:sz="6" w:space="0" w:color="1F497D"/>
            </w:tcBorders>
            <w:shd w:val="clear" w:color="auto" w:fill="1F497D"/>
            <w:tcMar>
              <w:top w:w="80" w:type="dxa"/>
              <w:left w:w="120" w:type="dxa"/>
              <w:bottom w:w="80" w:type="dxa"/>
              <w:right w:w="120" w:type="dxa"/>
            </w:tcMar>
          </w:tcPr>
          <w:p w14:paraId="234798E1" w14:textId="77777777" w:rsidR="00C02396" w:rsidRDefault="00000000">
            <w:r>
              <w:rPr>
                <w:b/>
                <w:bCs/>
                <w:color w:val="FFFFFF"/>
                <w:sz w:val="20"/>
                <w:szCs w:val="20"/>
              </w:rPr>
              <w:t>Constraint / Node</w:t>
            </w:r>
          </w:p>
        </w:tc>
        <w:tc>
          <w:tcPr>
            <w:tcW w:w="1600" w:type="dxa"/>
            <w:tcBorders>
              <w:top w:val="single" w:sz="6" w:space="0" w:color="1F497D"/>
              <w:left w:val="single" w:sz="6" w:space="0" w:color="1F497D"/>
              <w:bottom w:val="single" w:sz="6" w:space="0" w:color="1F497D"/>
              <w:right w:val="single" w:sz="6" w:space="0" w:color="1F497D"/>
            </w:tcBorders>
            <w:shd w:val="clear" w:color="auto" w:fill="1F497D"/>
            <w:tcMar>
              <w:top w:w="80" w:type="dxa"/>
              <w:left w:w="120" w:type="dxa"/>
              <w:bottom w:w="80" w:type="dxa"/>
              <w:right w:w="120" w:type="dxa"/>
            </w:tcMar>
          </w:tcPr>
          <w:p w14:paraId="0CC0B9B2" w14:textId="77777777" w:rsidR="00C02396" w:rsidRDefault="00000000">
            <w:r>
              <w:rPr>
                <w:b/>
                <w:bCs/>
                <w:color w:val="FFFFFF"/>
                <w:sz w:val="20"/>
                <w:szCs w:val="20"/>
              </w:rPr>
              <w:t>2024 RT Binding Frequency</w:t>
            </w:r>
          </w:p>
        </w:tc>
        <w:tc>
          <w:tcPr>
            <w:tcW w:w="1600" w:type="dxa"/>
            <w:tcBorders>
              <w:top w:val="single" w:sz="6" w:space="0" w:color="1F497D"/>
              <w:left w:val="single" w:sz="6" w:space="0" w:color="1F497D"/>
              <w:bottom w:val="single" w:sz="6" w:space="0" w:color="1F497D"/>
              <w:right w:val="single" w:sz="6" w:space="0" w:color="1F497D"/>
            </w:tcBorders>
            <w:shd w:val="clear" w:color="auto" w:fill="1F497D"/>
            <w:tcMar>
              <w:top w:w="80" w:type="dxa"/>
              <w:left w:w="120" w:type="dxa"/>
              <w:bottom w:w="80" w:type="dxa"/>
              <w:right w:w="120" w:type="dxa"/>
            </w:tcMar>
          </w:tcPr>
          <w:p w14:paraId="58A09FDA" w14:textId="77777777" w:rsidR="00C02396" w:rsidRDefault="00000000">
            <w:r>
              <w:rPr>
                <w:b/>
                <w:bCs/>
                <w:color w:val="FFFFFF"/>
                <w:sz w:val="20"/>
                <w:szCs w:val="20"/>
              </w:rPr>
              <w:t>2024 RT Congestion Rent</w:t>
            </w:r>
          </w:p>
        </w:tc>
        <w:tc>
          <w:tcPr>
            <w:tcW w:w="2860" w:type="dxa"/>
            <w:tcBorders>
              <w:top w:val="single" w:sz="6" w:space="0" w:color="1F497D"/>
              <w:left w:val="single" w:sz="6" w:space="0" w:color="1F497D"/>
              <w:bottom w:val="single" w:sz="6" w:space="0" w:color="1F497D"/>
              <w:right w:val="single" w:sz="6" w:space="0" w:color="1F497D"/>
            </w:tcBorders>
            <w:shd w:val="clear" w:color="auto" w:fill="1F497D"/>
            <w:tcMar>
              <w:top w:w="80" w:type="dxa"/>
              <w:left w:w="120" w:type="dxa"/>
              <w:bottom w:w="80" w:type="dxa"/>
              <w:right w:w="120" w:type="dxa"/>
            </w:tcMar>
          </w:tcPr>
          <w:p w14:paraId="25216542" w14:textId="77777777" w:rsidR="00C02396" w:rsidRDefault="00000000">
            <w:r>
              <w:rPr>
                <w:b/>
                <w:bCs/>
                <w:color w:val="FFFFFF"/>
                <w:sz w:val="20"/>
                <w:szCs w:val="20"/>
              </w:rPr>
              <w:t>Platform Assessment</w:t>
            </w:r>
          </w:p>
        </w:tc>
      </w:tr>
      <w:tr w:rsidR="00C02396" w14:paraId="4D70F125" w14:textId="77777777">
        <w:tblPrEx>
          <w:tblCellMar>
            <w:top w:w="0" w:type="dxa"/>
            <w:bottom w:w="0" w:type="dxa"/>
          </w:tblCellMar>
        </w:tblPrEx>
        <w:tc>
          <w:tcPr>
            <w:tcW w:w="320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7A21124C" w14:textId="77777777" w:rsidR="00C02396" w:rsidRDefault="00000000">
            <w:r>
              <w:rPr>
                <w:color w:val="000000"/>
                <w:sz w:val="20"/>
                <w:szCs w:val="20"/>
              </w:rPr>
              <w:t>PANHANDLE GTC (HB_PAN area)</w:t>
            </w:r>
          </w:p>
        </w:tc>
        <w:tc>
          <w:tcPr>
            <w:tcW w:w="160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61C7DADA" w14:textId="77777777" w:rsidR="00C02396" w:rsidRDefault="00000000">
            <w:r>
              <w:rPr>
                <w:color w:val="000000"/>
                <w:sz w:val="20"/>
                <w:szCs w:val="20"/>
              </w:rPr>
              <w:t>#1 — 11,366 SCED intervals</w:t>
            </w:r>
          </w:p>
        </w:tc>
        <w:tc>
          <w:tcPr>
            <w:tcW w:w="160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4B23D71A" w14:textId="77777777" w:rsidR="00C02396" w:rsidRDefault="00000000">
            <w:r>
              <w:rPr>
                <w:color w:val="000000"/>
                <w:sz w:val="20"/>
                <w:szCs w:val="20"/>
              </w:rPr>
              <w:t>$39.9M (#10)</w:t>
            </w:r>
          </w:p>
        </w:tc>
        <w:tc>
          <w:tcPr>
            <w:tcW w:w="2860" w:type="dxa"/>
            <w:tcBorders>
              <w:top w:val="single" w:sz="6" w:space="0" w:color="DDDDDD"/>
              <w:left w:val="single" w:sz="6" w:space="0" w:color="DDDDDD"/>
              <w:bottom w:val="single" w:sz="6" w:space="0" w:color="DDDDDD"/>
              <w:right w:val="single" w:sz="6" w:space="0" w:color="DDDDDD"/>
            </w:tcBorders>
            <w:shd w:val="clear" w:color="auto" w:fill="FCE4E4"/>
            <w:tcMar>
              <w:top w:w="80" w:type="dxa"/>
              <w:left w:w="120" w:type="dxa"/>
              <w:bottom w:w="80" w:type="dxa"/>
              <w:right w:w="120" w:type="dxa"/>
            </w:tcMar>
          </w:tcPr>
          <w:p w14:paraId="38FFEE97" w14:textId="77777777" w:rsidR="00C02396" w:rsidRDefault="00000000">
            <w:r>
              <w:rPr>
                <w:color w:val="C00000"/>
                <w:sz w:val="20"/>
                <w:szCs w:val="20"/>
              </w:rPr>
              <w:t>HB_PAN correctly ranked highest-risk. 21.9% neg-price hours is plausible given #1 binding frequency.</w:t>
            </w:r>
          </w:p>
        </w:tc>
      </w:tr>
      <w:tr w:rsidR="00C02396" w14:paraId="7EC84F6A" w14:textId="77777777">
        <w:tblPrEx>
          <w:tblCellMar>
            <w:top w:w="0" w:type="dxa"/>
            <w:bottom w:w="0" w:type="dxa"/>
          </w:tblCellMar>
        </w:tblPrEx>
        <w:tc>
          <w:tcPr>
            <w:tcW w:w="320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00DFED90" w14:textId="77777777" w:rsidR="00C02396" w:rsidRDefault="00000000">
            <w:r>
              <w:rPr>
                <w:color w:val="000000"/>
                <w:sz w:val="20"/>
                <w:szCs w:val="20"/>
              </w:rPr>
              <w:t>WEST TEXAS EXPORT GTC (WESTEX)</w:t>
            </w:r>
          </w:p>
        </w:tc>
        <w:tc>
          <w:tcPr>
            <w:tcW w:w="160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29A96DFA" w14:textId="77777777" w:rsidR="00C02396" w:rsidRDefault="00000000">
            <w:r>
              <w:rPr>
                <w:color w:val="000000"/>
                <w:sz w:val="20"/>
                <w:szCs w:val="20"/>
              </w:rPr>
              <w:t>#3 — 10,333 SCED intervals</w:t>
            </w:r>
          </w:p>
        </w:tc>
        <w:tc>
          <w:tcPr>
            <w:tcW w:w="160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63ECE04B" w14:textId="77777777" w:rsidR="00C02396" w:rsidRDefault="00000000">
            <w:r>
              <w:rPr>
                <w:color w:val="000000"/>
                <w:sz w:val="20"/>
                <w:szCs w:val="20"/>
              </w:rPr>
              <w:t>$121.1M (#1)</w:t>
            </w:r>
          </w:p>
        </w:tc>
        <w:tc>
          <w:tcPr>
            <w:tcW w:w="2860" w:type="dxa"/>
            <w:tcBorders>
              <w:top w:val="single" w:sz="6" w:space="0" w:color="DDDDDD"/>
              <w:left w:val="single" w:sz="6" w:space="0" w:color="DDDDDD"/>
              <w:bottom w:val="single" w:sz="6" w:space="0" w:color="DDDDDD"/>
              <w:right w:val="single" w:sz="6" w:space="0" w:color="DDDDDD"/>
            </w:tcBorders>
            <w:shd w:val="clear" w:color="auto" w:fill="FFF2CC"/>
            <w:tcMar>
              <w:top w:w="80" w:type="dxa"/>
              <w:left w:w="120" w:type="dxa"/>
              <w:bottom w:w="80" w:type="dxa"/>
              <w:right w:w="120" w:type="dxa"/>
            </w:tcMar>
          </w:tcPr>
          <w:p w14:paraId="116585BD" w14:textId="77777777" w:rsidR="00C02396" w:rsidRDefault="00000000">
            <w:r>
              <w:rPr>
                <w:color w:val="BF8F00"/>
                <w:sz w:val="20"/>
                <w:szCs w:val="20"/>
              </w:rPr>
              <w:t>Confirms West Texas export is severely congested. 7–8% neg-price rate for WTG_ nodes directionally justified.</w:t>
            </w:r>
          </w:p>
        </w:tc>
      </w:tr>
      <w:tr w:rsidR="00C02396" w14:paraId="5BC3B952" w14:textId="77777777">
        <w:tblPrEx>
          <w:tblCellMar>
            <w:top w:w="0" w:type="dxa"/>
            <w:bottom w:w="0" w:type="dxa"/>
          </w:tblCellMar>
        </w:tblPrEx>
        <w:tc>
          <w:tcPr>
            <w:tcW w:w="320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659B98B5" w14:textId="77777777" w:rsidR="00C02396" w:rsidRDefault="00000000">
            <w:r>
              <w:rPr>
                <w:color w:val="000000"/>
                <w:sz w:val="20"/>
                <w:szCs w:val="20"/>
              </w:rPr>
              <w:t>HB_PAN–HB_WEST CRR pair</w:t>
            </w:r>
          </w:p>
        </w:tc>
        <w:tc>
          <w:tcPr>
            <w:tcW w:w="160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1D3E33B2" w14:textId="77777777" w:rsidR="00C02396" w:rsidRDefault="00000000">
            <w:r>
              <w:rPr>
                <w:color w:val="000000"/>
                <w:sz w:val="20"/>
                <w:szCs w:val="20"/>
              </w:rPr>
              <w:t>N/A (financial hedge)</w:t>
            </w:r>
          </w:p>
        </w:tc>
        <w:tc>
          <w:tcPr>
            <w:tcW w:w="160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7651E244" w14:textId="77777777" w:rsidR="00C02396" w:rsidRDefault="00000000">
            <w:r>
              <w:rPr>
                <w:color w:val="000000"/>
                <w:sz w:val="20"/>
                <w:szCs w:val="20"/>
              </w:rPr>
              <w:t>$14.9M (#4 PTP obligation)</w:t>
            </w:r>
          </w:p>
        </w:tc>
        <w:tc>
          <w:tcPr>
            <w:tcW w:w="2860" w:type="dxa"/>
            <w:tcBorders>
              <w:top w:val="single" w:sz="6" w:space="0" w:color="DDDDDD"/>
              <w:left w:val="single" w:sz="6" w:space="0" w:color="DDDDDD"/>
              <w:bottom w:val="single" w:sz="6" w:space="0" w:color="DDDDDD"/>
              <w:right w:val="single" w:sz="6" w:space="0" w:color="DDDDDD"/>
            </w:tcBorders>
            <w:shd w:val="clear" w:color="auto" w:fill="E2EFDA"/>
            <w:tcMar>
              <w:top w:w="80" w:type="dxa"/>
              <w:left w:w="120" w:type="dxa"/>
              <w:bottom w:w="80" w:type="dxa"/>
              <w:right w:w="120" w:type="dxa"/>
            </w:tcMar>
          </w:tcPr>
          <w:p w14:paraId="3E624A28" w14:textId="77777777" w:rsidR="00C02396" w:rsidRDefault="00000000">
            <w:r>
              <w:rPr>
                <w:color w:val="1E7145"/>
                <w:sz w:val="20"/>
                <w:szCs w:val="20"/>
              </w:rPr>
              <w:t xml:space="preserve">Confirms structural basis between HB_PAN and neighboring HB_WEST. The </w:t>
            </w:r>
            <w:r>
              <w:rPr>
                <w:color w:val="1E7145"/>
                <w:sz w:val="20"/>
                <w:szCs w:val="20"/>
              </w:rPr>
              <w:lastRenderedPageBreak/>
              <w:t>~$20 basis shown in the app is plausible.</w:t>
            </w:r>
          </w:p>
        </w:tc>
      </w:tr>
    </w:tbl>
    <w:p w14:paraId="7EA961FE" w14:textId="77777777" w:rsidR="00C02396" w:rsidRDefault="00C02396">
      <w:pPr>
        <w:spacing w:before="80" w:after="80"/>
      </w:pPr>
    </w:p>
    <w:p w14:paraId="432139FF" w14:textId="77777777" w:rsidR="00C02396" w:rsidRDefault="00000000">
      <w:pPr>
        <w:spacing w:before="60" w:after="60"/>
      </w:pPr>
      <w:r>
        <w:t>Conclusion: The congestion page's identification of HB_PAN as highest-risk is validated by official ERCOT data. The platform's claim that West Texas wind nodes now correctly reflect a 7–8% negative price rate (revised down from a prior 15–18% estimate) is directionally supported, though exact per-node negative price hour percentages would need direct CDR Report 13060/13061 data to confirm precisely.</w:t>
      </w:r>
    </w:p>
    <w:p w14:paraId="6CBAB4B0" w14:textId="77777777" w:rsidR="00C02396" w:rsidRDefault="00C02396">
      <w:pPr>
        <w:spacing w:before="80" w:after="80"/>
      </w:pPr>
    </w:p>
    <w:p w14:paraId="51B2C7F6" w14:textId="77777777" w:rsidR="00C02396" w:rsidRDefault="00000000">
      <w:pPr>
        <w:pStyle w:val="Heading2"/>
      </w:pPr>
      <w:r>
        <w:t>4.3 REC Market Prices</w:t>
      </w:r>
    </w:p>
    <w:p w14:paraId="52AE044E" w14:textId="77777777" w:rsidR="00C02396" w:rsidRDefault="00000000">
      <w:pPr>
        <w:spacing w:before="60" w:after="60"/>
      </w:pPr>
      <w:r>
        <w:t>CSV export shows REC prices: Texas TRC at $1.50/MWh, CA WREGIS RPS at $10–12/MWh, PJM REC/SREC at $3.50–15/MWh. These are within range of 2024 market observations (Texas TRC $1–2, CA RPS $10–14, PJM SREC varies $5–25 by state). CAISO solar projects correctly score highest on RECs/Yr dimension.</w:t>
      </w:r>
    </w:p>
    <w:p w14:paraId="78E7F94D" w14:textId="77777777" w:rsidR="00C02396" w:rsidRDefault="00C02396">
      <w:pPr>
        <w:spacing w:before="80" w:after="80"/>
      </w:pPr>
    </w:p>
    <w:p w14:paraId="7653FE6C" w14:textId="77777777" w:rsidR="00C02396" w:rsidRDefault="00000000">
      <w:pPr>
        <w:pStyle w:val="Heading2"/>
      </w:pPr>
      <w:r>
        <w:t>4.4 Scoring Model Spot Checks</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400"/>
        <w:gridCol w:w="1400"/>
        <w:gridCol w:w="1400"/>
        <w:gridCol w:w="2060"/>
      </w:tblGrid>
      <w:tr w:rsidR="00C02396" w14:paraId="67F427D5" w14:textId="77777777">
        <w:tblPrEx>
          <w:tblCellMar>
            <w:top w:w="0" w:type="dxa"/>
            <w:bottom w:w="0" w:type="dxa"/>
          </w:tblCellMar>
        </w:tblPrEx>
        <w:tc>
          <w:tcPr>
            <w:tcW w:w="3000" w:type="dxa"/>
            <w:tcBorders>
              <w:top w:val="single" w:sz="6" w:space="0" w:color="1F497D"/>
              <w:left w:val="single" w:sz="6" w:space="0" w:color="1F497D"/>
              <w:bottom w:val="single" w:sz="6" w:space="0" w:color="1F497D"/>
              <w:right w:val="single" w:sz="6" w:space="0" w:color="1F497D"/>
            </w:tcBorders>
            <w:shd w:val="clear" w:color="auto" w:fill="1F497D"/>
            <w:tcMar>
              <w:top w:w="80" w:type="dxa"/>
              <w:left w:w="120" w:type="dxa"/>
              <w:bottom w:w="80" w:type="dxa"/>
              <w:right w:w="120" w:type="dxa"/>
            </w:tcMar>
          </w:tcPr>
          <w:p w14:paraId="0F547464" w14:textId="77777777" w:rsidR="00C02396" w:rsidRDefault="00000000">
            <w:r>
              <w:rPr>
                <w:b/>
                <w:bCs/>
                <w:color w:val="FFFFFF"/>
                <w:sz w:val="20"/>
                <w:szCs w:val="20"/>
              </w:rPr>
              <w:t>Verification Criterion (from Spec)</w:t>
            </w:r>
          </w:p>
        </w:tc>
        <w:tc>
          <w:tcPr>
            <w:tcW w:w="1400" w:type="dxa"/>
            <w:tcBorders>
              <w:top w:val="single" w:sz="6" w:space="0" w:color="1F497D"/>
              <w:left w:val="single" w:sz="6" w:space="0" w:color="1F497D"/>
              <w:bottom w:val="single" w:sz="6" w:space="0" w:color="1F497D"/>
              <w:right w:val="single" w:sz="6" w:space="0" w:color="1F497D"/>
            </w:tcBorders>
            <w:shd w:val="clear" w:color="auto" w:fill="1F497D"/>
            <w:tcMar>
              <w:top w:w="80" w:type="dxa"/>
              <w:left w:w="120" w:type="dxa"/>
              <w:bottom w:w="80" w:type="dxa"/>
              <w:right w:w="120" w:type="dxa"/>
            </w:tcMar>
          </w:tcPr>
          <w:p w14:paraId="3601DD3F" w14:textId="77777777" w:rsidR="00C02396" w:rsidRDefault="00000000">
            <w:r>
              <w:rPr>
                <w:b/>
                <w:bCs/>
                <w:color w:val="FFFFFF"/>
                <w:sz w:val="20"/>
                <w:szCs w:val="20"/>
              </w:rPr>
              <w:t>Expected</w:t>
            </w:r>
          </w:p>
        </w:tc>
        <w:tc>
          <w:tcPr>
            <w:tcW w:w="1400" w:type="dxa"/>
            <w:tcBorders>
              <w:top w:val="single" w:sz="6" w:space="0" w:color="1F497D"/>
              <w:left w:val="single" w:sz="6" w:space="0" w:color="1F497D"/>
              <w:bottom w:val="single" w:sz="6" w:space="0" w:color="1F497D"/>
              <w:right w:val="single" w:sz="6" w:space="0" w:color="1F497D"/>
            </w:tcBorders>
            <w:shd w:val="clear" w:color="auto" w:fill="1F497D"/>
            <w:tcMar>
              <w:top w:w="80" w:type="dxa"/>
              <w:left w:w="120" w:type="dxa"/>
              <w:bottom w:w="80" w:type="dxa"/>
              <w:right w:w="120" w:type="dxa"/>
            </w:tcMar>
          </w:tcPr>
          <w:p w14:paraId="00918738" w14:textId="77777777" w:rsidR="00C02396" w:rsidRDefault="00000000">
            <w:r>
              <w:rPr>
                <w:b/>
                <w:bCs/>
                <w:color w:val="FFFFFF"/>
                <w:sz w:val="20"/>
                <w:szCs w:val="20"/>
              </w:rPr>
              <w:t>Observed</w:t>
            </w:r>
          </w:p>
        </w:tc>
        <w:tc>
          <w:tcPr>
            <w:tcW w:w="1400" w:type="dxa"/>
            <w:tcBorders>
              <w:top w:val="single" w:sz="6" w:space="0" w:color="1F497D"/>
              <w:left w:val="single" w:sz="6" w:space="0" w:color="1F497D"/>
              <w:bottom w:val="single" w:sz="6" w:space="0" w:color="1F497D"/>
              <w:right w:val="single" w:sz="6" w:space="0" w:color="1F497D"/>
            </w:tcBorders>
            <w:shd w:val="clear" w:color="auto" w:fill="1F497D"/>
            <w:tcMar>
              <w:top w:w="80" w:type="dxa"/>
              <w:left w:w="120" w:type="dxa"/>
              <w:bottom w:w="80" w:type="dxa"/>
              <w:right w:w="120" w:type="dxa"/>
            </w:tcMar>
          </w:tcPr>
          <w:p w14:paraId="69FD0DD6" w14:textId="77777777" w:rsidR="00C02396" w:rsidRDefault="00000000">
            <w:r>
              <w:rPr>
                <w:b/>
                <w:bCs/>
                <w:color w:val="FFFFFF"/>
                <w:sz w:val="20"/>
                <w:szCs w:val="20"/>
              </w:rPr>
              <w:t>Result</w:t>
            </w:r>
          </w:p>
        </w:tc>
        <w:tc>
          <w:tcPr>
            <w:tcW w:w="2060" w:type="dxa"/>
            <w:tcBorders>
              <w:top w:val="single" w:sz="6" w:space="0" w:color="1F497D"/>
              <w:left w:val="single" w:sz="6" w:space="0" w:color="1F497D"/>
              <w:bottom w:val="single" w:sz="6" w:space="0" w:color="1F497D"/>
              <w:right w:val="single" w:sz="6" w:space="0" w:color="1F497D"/>
            </w:tcBorders>
            <w:shd w:val="clear" w:color="auto" w:fill="1F497D"/>
            <w:tcMar>
              <w:top w:w="80" w:type="dxa"/>
              <w:left w:w="120" w:type="dxa"/>
              <w:bottom w:w="80" w:type="dxa"/>
              <w:right w:w="120" w:type="dxa"/>
            </w:tcMar>
          </w:tcPr>
          <w:p w14:paraId="2C08C82D" w14:textId="77777777" w:rsidR="00C02396" w:rsidRDefault="00000000">
            <w:r>
              <w:rPr>
                <w:b/>
                <w:bCs/>
                <w:color w:val="FFFFFF"/>
                <w:sz w:val="20"/>
                <w:szCs w:val="20"/>
              </w:rPr>
              <w:t>Notes</w:t>
            </w:r>
          </w:p>
        </w:tc>
      </w:tr>
      <w:tr w:rsidR="00C02396" w14:paraId="1E6C5AD0" w14:textId="77777777">
        <w:tblPrEx>
          <w:tblCellMar>
            <w:top w:w="0" w:type="dxa"/>
            <w:bottom w:w="0" w:type="dxa"/>
          </w:tblCellMar>
        </w:tblPrEx>
        <w:tc>
          <w:tcPr>
            <w:tcW w:w="300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1CA90D25" w14:textId="77777777" w:rsidR="00C02396" w:rsidRDefault="00000000">
            <w:r>
              <w:rPr>
                <w:color w:val="000000"/>
                <w:sz w:val="20"/>
                <w:szCs w:val="20"/>
              </w:rPr>
              <w:t>ERCOT West Texas wind — Curtailment score</w:t>
            </w:r>
          </w:p>
        </w:tc>
        <w:tc>
          <w:tcPr>
            <w:tcW w:w="140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1C69F419" w14:textId="77777777" w:rsidR="00C02396" w:rsidRDefault="00000000">
            <w:r>
              <w:rPr>
                <w:color w:val="000000"/>
                <w:sz w:val="20"/>
                <w:szCs w:val="20"/>
              </w:rPr>
              <w:t>88–92</w:t>
            </w:r>
          </w:p>
        </w:tc>
        <w:tc>
          <w:tcPr>
            <w:tcW w:w="1400" w:type="dxa"/>
            <w:tcBorders>
              <w:top w:val="single" w:sz="6" w:space="0" w:color="DDDDDD"/>
              <w:left w:val="single" w:sz="6" w:space="0" w:color="DDDDDD"/>
              <w:bottom w:val="single" w:sz="6" w:space="0" w:color="DDDDDD"/>
              <w:right w:val="single" w:sz="6" w:space="0" w:color="DDDDDD"/>
            </w:tcBorders>
            <w:shd w:val="clear" w:color="auto" w:fill="FCE4E4"/>
            <w:tcMar>
              <w:top w:w="80" w:type="dxa"/>
              <w:left w:w="120" w:type="dxa"/>
              <w:bottom w:w="80" w:type="dxa"/>
              <w:right w:w="120" w:type="dxa"/>
            </w:tcMar>
          </w:tcPr>
          <w:p w14:paraId="27C62AA4" w14:textId="77777777" w:rsidR="00C02396" w:rsidRDefault="00000000">
            <w:r>
              <w:rPr>
                <w:color w:val="000000"/>
                <w:sz w:val="20"/>
                <w:szCs w:val="20"/>
              </w:rPr>
              <w:t>60 (WTX Wind Alpha)</w:t>
            </w:r>
          </w:p>
        </w:tc>
        <w:tc>
          <w:tcPr>
            <w:tcW w:w="1400" w:type="dxa"/>
            <w:tcBorders>
              <w:top w:val="single" w:sz="6" w:space="0" w:color="DDDDDD"/>
              <w:left w:val="single" w:sz="6" w:space="0" w:color="DDDDDD"/>
              <w:bottom w:val="single" w:sz="6" w:space="0" w:color="DDDDDD"/>
              <w:right w:val="single" w:sz="6" w:space="0" w:color="DDDDDD"/>
            </w:tcBorders>
            <w:shd w:val="clear" w:color="auto" w:fill="FCE4E4"/>
            <w:tcMar>
              <w:top w:w="80" w:type="dxa"/>
              <w:left w:w="120" w:type="dxa"/>
              <w:bottom w:w="80" w:type="dxa"/>
              <w:right w:w="120" w:type="dxa"/>
            </w:tcMar>
          </w:tcPr>
          <w:p w14:paraId="785E9AF5" w14:textId="77777777" w:rsidR="00C02396" w:rsidRDefault="00000000">
            <w:r>
              <w:rPr>
                <w:b/>
                <w:bCs/>
                <w:color w:val="C00000"/>
                <w:sz w:val="20"/>
                <w:szCs w:val="20"/>
              </w:rPr>
              <w:t>FAIL</w:t>
            </w:r>
          </w:p>
        </w:tc>
        <w:tc>
          <w:tcPr>
            <w:tcW w:w="206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606BB0D9" w14:textId="77777777" w:rsidR="00C02396" w:rsidRDefault="00000000">
            <w:r>
              <w:rPr>
                <w:color w:val="000000"/>
                <w:sz w:val="20"/>
                <w:szCs w:val="20"/>
              </w:rPr>
              <w:t>Mock candidates in Nolan County should reflect revised 7–8% neg-price rate yielding 88–92 score. Currently under-calibrated.</w:t>
            </w:r>
          </w:p>
        </w:tc>
      </w:tr>
      <w:tr w:rsidR="00C02396" w14:paraId="76D01010" w14:textId="77777777">
        <w:tblPrEx>
          <w:tblCellMar>
            <w:top w:w="0" w:type="dxa"/>
            <w:bottom w:w="0" w:type="dxa"/>
          </w:tblCellMar>
        </w:tblPrEx>
        <w:tc>
          <w:tcPr>
            <w:tcW w:w="300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3DE49935" w14:textId="77777777" w:rsidR="00C02396" w:rsidRDefault="00000000">
            <w:r>
              <w:rPr>
                <w:color w:val="000000"/>
                <w:sz w:val="20"/>
                <w:szCs w:val="20"/>
              </w:rPr>
              <w:t>HB_PAN projects — lowest Curtailment score</w:t>
            </w:r>
          </w:p>
        </w:tc>
        <w:tc>
          <w:tcPr>
            <w:tcW w:w="140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05D65036" w14:textId="77777777" w:rsidR="00C02396" w:rsidRDefault="00000000">
            <w:r>
              <w:rPr>
                <w:color w:val="000000"/>
                <w:sz w:val="20"/>
                <w:szCs w:val="20"/>
              </w:rPr>
              <w:t>Lowest</w:t>
            </w:r>
          </w:p>
        </w:tc>
        <w:tc>
          <w:tcPr>
            <w:tcW w:w="1400" w:type="dxa"/>
            <w:tcBorders>
              <w:top w:val="single" w:sz="6" w:space="0" w:color="DDDDDD"/>
              <w:left w:val="single" w:sz="6" w:space="0" w:color="DDDDDD"/>
              <w:bottom w:val="single" w:sz="6" w:space="0" w:color="DDDDDD"/>
              <w:right w:val="single" w:sz="6" w:space="0" w:color="DDDDDD"/>
            </w:tcBorders>
            <w:shd w:val="clear" w:color="auto" w:fill="E2EFDA"/>
            <w:tcMar>
              <w:top w:w="80" w:type="dxa"/>
              <w:left w:w="120" w:type="dxa"/>
              <w:bottom w:w="80" w:type="dxa"/>
              <w:right w:w="120" w:type="dxa"/>
            </w:tcMar>
          </w:tcPr>
          <w:p w14:paraId="09CFE5D0" w14:textId="77777777" w:rsidR="00C02396" w:rsidRDefault="00000000">
            <w:r>
              <w:rPr>
                <w:color w:val="000000"/>
                <w:sz w:val="20"/>
                <w:szCs w:val="20"/>
              </w:rPr>
              <w:t>52 (Panhandle Wind)</w:t>
            </w:r>
          </w:p>
        </w:tc>
        <w:tc>
          <w:tcPr>
            <w:tcW w:w="1400" w:type="dxa"/>
            <w:tcBorders>
              <w:top w:val="single" w:sz="6" w:space="0" w:color="DDDDDD"/>
              <w:left w:val="single" w:sz="6" w:space="0" w:color="DDDDDD"/>
              <w:bottom w:val="single" w:sz="6" w:space="0" w:color="DDDDDD"/>
              <w:right w:val="single" w:sz="6" w:space="0" w:color="DDDDDD"/>
            </w:tcBorders>
            <w:shd w:val="clear" w:color="auto" w:fill="E2EFDA"/>
            <w:tcMar>
              <w:top w:w="80" w:type="dxa"/>
              <w:left w:w="120" w:type="dxa"/>
              <w:bottom w:w="80" w:type="dxa"/>
              <w:right w:w="120" w:type="dxa"/>
            </w:tcMar>
          </w:tcPr>
          <w:p w14:paraId="07B006E7" w14:textId="77777777" w:rsidR="00C02396" w:rsidRDefault="00000000">
            <w:r>
              <w:rPr>
                <w:b/>
                <w:bCs/>
                <w:color w:val="1E7145"/>
                <w:sz w:val="20"/>
                <w:szCs w:val="20"/>
              </w:rPr>
              <w:t>PASS</w:t>
            </w:r>
          </w:p>
        </w:tc>
        <w:tc>
          <w:tcPr>
            <w:tcW w:w="206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07057116" w14:textId="77777777" w:rsidR="00C02396" w:rsidRDefault="00000000">
            <w:r>
              <w:rPr>
                <w:color w:val="000000"/>
                <w:sz w:val="20"/>
                <w:szCs w:val="20"/>
              </w:rPr>
              <w:t>Panhandle Wind Complex (52) is lowest curtailment score among wind candidates.</w:t>
            </w:r>
          </w:p>
        </w:tc>
      </w:tr>
      <w:tr w:rsidR="00C02396" w14:paraId="0BC3761F" w14:textId="77777777">
        <w:tblPrEx>
          <w:tblCellMar>
            <w:top w:w="0" w:type="dxa"/>
            <w:bottom w:w="0" w:type="dxa"/>
          </w:tblCellMar>
        </w:tblPrEx>
        <w:tc>
          <w:tcPr>
            <w:tcW w:w="300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2705230F" w14:textId="77777777" w:rsidR="00C02396" w:rsidRDefault="00000000">
            <w:r>
              <w:rPr>
                <w:color w:val="000000"/>
                <w:sz w:val="20"/>
                <w:szCs w:val="20"/>
              </w:rPr>
              <w:t>CAISO Solar — highest RECs/Yr score</w:t>
            </w:r>
          </w:p>
        </w:tc>
        <w:tc>
          <w:tcPr>
            <w:tcW w:w="140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0B1EC9FF" w14:textId="77777777" w:rsidR="00C02396" w:rsidRDefault="00000000">
            <w:r>
              <w:rPr>
                <w:color w:val="000000"/>
                <w:sz w:val="20"/>
                <w:szCs w:val="20"/>
              </w:rPr>
              <w:t>Highest</w:t>
            </w:r>
          </w:p>
        </w:tc>
        <w:tc>
          <w:tcPr>
            <w:tcW w:w="1400" w:type="dxa"/>
            <w:tcBorders>
              <w:top w:val="single" w:sz="6" w:space="0" w:color="DDDDDD"/>
              <w:left w:val="single" w:sz="6" w:space="0" w:color="DDDDDD"/>
              <w:bottom w:val="single" w:sz="6" w:space="0" w:color="DDDDDD"/>
              <w:right w:val="single" w:sz="6" w:space="0" w:color="DDDDDD"/>
            </w:tcBorders>
            <w:shd w:val="clear" w:color="auto" w:fill="E2EFDA"/>
            <w:tcMar>
              <w:top w:w="80" w:type="dxa"/>
              <w:left w:w="120" w:type="dxa"/>
              <w:bottom w:w="80" w:type="dxa"/>
              <w:right w:w="120" w:type="dxa"/>
            </w:tcMar>
          </w:tcPr>
          <w:p w14:paraId="3738036B" w14:textId="77777777" w:rsidR="00C02396" w:rsidRDefault="00000000">
            <w:r>
              <w:rPr>
                <w:color w:val="000000"/>
                <w:sz w:val="20"/>
                <w:szCs w:val="20"/>
              </w:rPr>
              <w:t>88–90 (Mojave, SJ Solar)</w:t>
            </w:r>
          </w:p>
        </w:tc>
        <w:tc>
          <w:tcPr>
            <w:tcW w:w="1400" w:type="dxa"/>
            <w:tcBorders>
              <w:top w:val="single" w:sz="6" w:space="0" w:color="DDDDDD"/>
              <w:left w:val="single" w:sz="6" w:space="0" w:color="DDDDDD"/>
              <w:bottom w:val="single" w:sz="6" w:space="0" w:color="DDDDDD"/>
              <w:right w:val="single" w:sz="6" w:space="0" w:color="DDDDDD"/>
            </w:tcBorders>
            <w:shd w:val="clear" w:color="auto" w:fill="E2EFDA"/>
            <w:tcMar>
              <w:top w:w="80" w:type="dxa"/>
              <w:left w:w="120" w:type="dxa"/>
              <w:bottom w:w="80" w:type="dxa"/>
              <w:right w:w="120" w:type="dxa"/>
            </w:tcMar>
          </w:tcPr>
          <w:p w14:paraId="7AE7FA28" w14:textId="77777777" w:rsidR="00C02396" w:rsidRDefault="00000000">
            <w:r>
              <w:rPr>
                <w:b/>
                <w:bCs/>
                <w:color w:val="1E7145"/>
                <w:sz w:val="20"/>
                <w:szCs w:val="20"/>
              </w:rPr>
              <w:t>PASS</w:t>
            </w:r>
          </w:p>
        </w:tc>
        <w:tc>
          <w:tcPr>
            <w:tcW w:w="206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3074CC04" w14:textId="77777777" w:rsidR="00C02396" w:rsidRDefault="00000000">
            <w:r>
              <w:rPr>
                <w:color w:val="000000"/>
                <w:sz w:val="20"/>
                <w:szCs w:val="20"/>
              </w:rPr>
              <w:t>CAISO solar scores 85–90 on RECs/Yr vs ERCOT solar at 80–88. CA WREGIS at $12/MWh drives this.</w:t>
            </w:r>
          </w:p>
        </w:tc>
      </w:tr>
      <w:tr w:rsidR="00C02396" w14:paraId="6113C2AC" w14:textId="77777777">
        <w:tblPrEx>
          <w:tblCellMar>
            <w:top w:w="0" w:type="dxa"/>
            <w:bottom w:w="0" w:type="dxa"/>
          </w:tblCellMar>
        </w:tblPrEx>
        <w:tc>
          <w:tcPr>
            <w:tcW w:w="300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64972D5F" w14:textId="77777777" w:rsidR="00C02396" w:rsidRDefault="00000000">
            <w:r>
              <w:rPr>
                <w:color w:val="000000"/>
                <w:sz w:val="20"/>
                <w:szCs w:val="20"/>
              </w:rPr>
              <w:t>Lowest Interconnect Risk — surfaces HB_NORTH/LZ_LCRA</w:t>
            </w:r>
          </w:p>
        </w:tc>
        <w:tc>
          <w:tcPr>
            <w:tcW w:w="140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16B47280" w14:textId="77777777" w:rsidR="00C02396" w:rsidRDefault="00000000">
            <w:r>
              <w:rPr>
                <w:color w:val="000000"/>
                <w:sz w:val="20"/>
                <w:szCs w:val="20"/>
              </w:rPr>
              <w:t>HB_NORTH or LZ_LCRA projects</w:t>
            </w:r>
          </w:p>
        </w:tc>
        <w:tc>
          <w:tcPr>
            <w:tcW w:w="1400" w:type="dxa"/>
            <w:tcBorders>
              <w:top w:val="single" w:sz="6" w:space="0" w:color="DDDDDD"/>
              <w:left w:val="single" w:sz="6" w:space="0" w:color="DDDDDD"/>
              <w:bottom w:val="single" w:sz="6" w:space="0" w:color="DDDDDD"/>
              <w:right w:val="single" w:sz="6" w:space="0" w:color="DDDDDD"/>
            </w:tcBorders>
            <w:shd w:val="clear" w:color="auto" w:fill="FFF2CC"/>
            <w:tcMar>
              <w:top w:w="80" w:type="dxa"/>
              <w:left w:w="120" w:type="dxa"/>
              <w:bottom w:w="80" w:type="dxa"/>
              <w:right w:w="120" w:type="dxa"/>
            </w:tcMar>
          </w:tcPr>
          <w:p w14:paraId="23995BF0" w14:textId="77777777" w:rsidR="00C02396" w:rsidRDefault="00000000">
            <w:r>
              <w:rPr>
                <w:color w:val="000000"/>
                <w:sz w:val="20"/>
                <w:szCs w:val="20"/>
              </w:rPr>
              <w:t>ERCOT Storage projects (TX, Travis/Harris Co.)</w:t>
            </w:r>
          </w:p>
        </w:tc>
        <w:tc>
          <w:tcPr>
            <w:tcW w:w="1400" w:type="dxa"/>
            <w:tcBorders>
              <w:top w:val="single" w:sz="6" w:space="0" w:color="DDDDDD"/>
              <w:left w:val="single" w:sz="6" w:space="0" w:color="DDDDDD"/>
              <w:bottom w:val="single" w:sz="6" w:space="0" w:color="DDDDDD"/>
              <w:right w:val="single" w:sz="6" w:space="0" w:color="DDDDDD"/>
            </w:tcBorders>
            <w:shd w:val="clear" w:color="auto" w:fill="FFF2CC"/>
            <w:tcMar>
              <w:top w:w="80" w:type="dxa"/>
              <w:left w:w="120" w:type="dxa"/>
              <w:bottom w:w="80" w:type="dxa"/>
              <w:right w:w="120" w:type="dxa"/>
            </w:tcMar>
          </w:tcPr>
          <w:p w14:paraId="4D68CBF2" w14:textId="77777777" w:rsidR="00C02396" w:rsidRDefault="00000000">
            <w:r>
              <w:rPr>
                <w:b/>
                <w:bCs/>
                <w:color w:val="BF8F00"/>
                <w:sz w:val="20"/>
                <w:szCs w:val="20"/>
              </w:rPr>
              <w:t>PARTIAL</w:t>
            </w:r>
          </w:p>
        </w:tc>
        <w:tc>
          <w:tcPr>
            <w:tcW w:w="206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4864E0E0" w14:textId="77777777" w:rsidR="00C02396" w:rsidRDefault="00000000">
            <w:r>
              <w:rPr>
                <w:color w:val="000000"/>
                <w:sz w:val="20"/>
                <w:szCs w:val="20"/>
              </w:rPr>
              <w:t xml:space="preserve">ERCOT storage projects (Travis/Harris counties) top the lowest-interconnect objective. No LZ_LCRA candidate </w:t>
            </w:r>
            <w:r>
              <w:rPr>
                <w:color w:val="000000"/>
                <w:sz w:val="20"/>
                <w:szCs w:val="20"/>
              </w:rPr>
              <w:lastRenderedPageBreak/>
              <w:t>exists in the 12-project mock set.</w:t>
            </w:r>
          </w:p>
        </w:tc>
      </w:tr>
    </w:tbl>
    <w:p w14:paraId="4E201D65" w14:textId="77777777" w:rsidR="00C02396" w:rsidRDefault="00000000">
      <w:r>
        <w:lastRenderedPageBreak/>
        <w:br w:type="page"/>
      </w:r>
    </w:p>
    <w:p w14:paraId="41148E86" w14:textId="77777777" w:rsidR="00C02396" w:rsidRDefault="00000000">
      <w:pPr>
        <w:pStyle w:val="Heading1"/>
      </w:pPr>
      <w:r>
        <w:lastRenderedPageBreak/>
        <w:t>5. Critical Issues</w:t>
      </w:r>
    </w:p>
    <w:p w14:paraId="4CAC748F" w14:textId="77777777" w:rsidR="00C02396" w:rsidRDefault="00000000">
      <w:pPr>
        <w:pStyle w:val="Heading2"/>
      </w:pPr>
      <w:r>
        <w:t>Issue 1 — Rankings: 12 Mock Candidates vs. 3,875 EIA-860 Projects</w:t>
      </w:r>
    </w:p>
    <w:p w14:paraId="0F006F8A" w14:textId="77777777" w:rsidR="00C02396" w:rsidRDefault="00000000">
      <w:pPr>
        <w:spacing w:before="60" w:after="60"/>
      </w:pPr>
      <w:r>
        <w:rPr>
          <w:b/>
          <w:bCs/>
          <w:color w:val="C00000"/>
        </w:rPr>
        <w:t>Severity: Critical</w:t>
      </w:r>
    </w:p>
    <w:p w14:paraId="1EC3AF97" w14:textId="77777777" w:rsidR="00C02396" w:rsidRDefault="00C02396">
      <w:pPr>
        <w:spacing w:before="80" w:after="80"/>
      </w:pPr>
    </w:p>
    <w:p w14:paraId="5433FF02" w14:textId="77777777" w:rsidR="00C02396" w:rsidRDefault="00000000">
      <w:pPr>
        <w:spacing w:before="60" w:after="60"/>
      </w:pPr>
      <w:r>
        <w:t>The platform homepage and all marketing copy state that the system screens 3,875 renewable energy projects from the EIA Form 860 database. In practice, the /rankings page and all downstream scoring is powered by 12 pre-built mock candidates hard-coded into the application.</w:t>
      </w:r>
    </w:p>
    <w:p w14:paraId="69CAD0AE" w14:textId="77777777" w:rsidR="00C02396" w:rsidRDefault="00C02396">
      <w:pPr>
        <w:spacing w:before="80" w:after="80"/>
      </w:pPr>
    </w:p>
    <w:p w14:paraId="24B4A510" w14:textId="77777777" w:rsidR="00C02396" w:rsidRDefault="00000000">
      <w:pPr>
        <w:spacing w:before="60" w:after="60"/>
      </w:pPr>
      <w:r>
        <w:t>The 12 mock candidates are well-constructed and cover all three markets and all major technology types (solar, wind, storage, hybrid). The scoring model and objective presets appear logically implemented. However, the gap between 12 and 3,875 means the platform cannot yet support real deal origination decisions at scale.</w:t>
      </w:r>
    </w:p>
    <w:p w14:paraId="412D2856" w14:textId="77777777" w:rsidR="00C02396" w:rsidRDefault="00C02396">
      <w:pPr>
        <w:spacing w:before="80" w:after="80"/>
      </w:pPr>
    </w:p>
    <w:p w14:paraId="7C7136B1" w14:textId="77777777" w:rsidR="00C02396" w:rsidRDefault="00000000">
      <w:pPr>
        <w:spacing w:before="60" w:after="60"/>
      </w:pPr>
      <w:r>
        <w:t>Recommended fix: Integrate the EIA-860 generator dataset (already referenced in the Platform Guide) and run the scoring model against the full 3,875-project universe. The mock candidates could serve as "featured" or pinned examples.</w:t>
      </w:r>
    </w:p>
    <w:p w14:paraId="1E4C2122" w14:textId="77777777" w:rsidR="00C02396" w:rsidRDefault="00C02396">
      <w:pPr>
        <w:spacing w:before="80" w:after="80"/>
      </w:pPr>
    </w:p>
    <w:p w14:paraId="699FE081" w14:textId="77777777" w:rsidR="00C02396" w:rsidRDefault="00000000">
      <w:pPr>
        <w:pStyle w:val="Heading2"/>
      </w:pPr>
      <w:r>
        <w:t>Issue 2 — Map: Transmission Lines Layer Returns Empty Data</w:t>
      </w:r>
    </w:p>
    <w:p w14:paraId="357495D2" w14:textId="77777777" w:rsidR="00C02396" w:rsidRDefault="00000000">
      <w:pPr>
        <w:spacing w:before="60" w:after="60"/>
      </w:pPr>
      <w:r>
        <w:rPr>
          <w:b/>
          <w:bCs/>
          <w:color w:val="C00000"/>
        </w:rPr>
        <w:t>Severity: Critical</w:t>
      </w:r>
    </w:p>
    <w:p w14:paraId="54A474C7" w14:textId="77777777" w:rsidR="00C02396" w:rsidRDefault="00C02396">
      <w:pPr>
        <w:spacing w:before="80" w:after="80"/>
      </w:pPr>
    </w:p>
    <w:p w14:paraId="4420C7D1" w14:textId="77777777" w:rsidR="00C02396" w:rsidRDefault="00000000">
      <w:pPr>
        <w:spacing w:before="60" w:after="60"/>
      </w:pPr>
      <w:r>
        <w:t>The Project Map page includes a "Transmission Lines" layer toggle that claims to load 23,000+ line segments at 115 kV and above. When toggled, the browser calls:</w:t>
      </w:r>
    </w:p>
    <w:p w14:paraId="389E6861" w14:textId="77777777" w:rsidR="00C02396" w:rsidRDefault="00C02396">
      <w:pPr>
        <w:spacing w:before="80" w:after="80"/>
      </w:pPr>
    </w:p>
    <w:p w14:paraId="301727B5" w14:textId="77777777" w:rsidR="00C02396" w:rsidRDefault="00000000">
      <w:pPr>
        <w:spacing w:before="60" w:after="60"/>
        <w:ind w:left="720"/>
      </w:pPr>
      <w:r>
        <w:rPr>
          <w:rFonts w:ascii="Courier New" w:eastAsia="Courier New" w:hAnsi="Courier New" w:cs="Courier New"/>
          <w:color w:val="C00000"/>
          <w:sz w:val="20"/>
          <w:szCs w:val="20"/>
        </w:rPr>
        <w:t>GET /</w:t>
      </w:r>
      <w:proofErr w:type="spellStart"/>
      <w:r>
        <w:rPr>
          <w:rFonts w:ascii="Courier New" w:eastAsia="Courier New" w:hAnsi="Courier New" w:cs="Courier New"/>
          <w:color w:val="C00000"/>
          <w:sz w:val="20"/>
          <w:szCs w:val="20"/>
        </w:rPr>
        <w:t>api</w:t>
      </w:r>
      <w:proofErr w:type="spellEnd"/>
      <w:r>
        <w:rPr>
          <w:rFonts w:ascii="Courier New" w:eastAsia="Courier New" w:hAnsi="Courier New" w:cs="Courier New"/>
          <w:color w:val="C00000"/>
          <w:sz w:val="20"/>
          <w:szCs w:val="20"/>
        </w:rPr>
        <w:t>/</w:t>
      </w:r>
      <w:proofErr w:type="spellStart"/>
      <w:r>
        <w:rPr>
          <w:rFonts w:ascii="Courier New" w:eastAsia="Courier New" w:hAnsi="Courier New" w:cs="Courier New"/>
          <w:color w:val="C00000"/>
          <w:sz w:val="20"/>
          <w:szCs w:val="20"/>
        </w:rPr>
        <w:t>transmission-lines?minVoltage</w:t>
      </w:r>
      <w:proofErr w:type="spellEnd"/>
      <w:r>
        <w:rPr>
          <w:rFonts w:ascii="Courier New" w:eastAsia="Courier New" w:hAnsi="Courier New" w:cs="Courier New"/>
          <w:color w:val="C00000"/>
          <w:sz w:val="20"/>
          <w:szCs w:val="20"/>
        </w:rPr>
        <w:t>=115</w:t>
      </w:r>
    </w:p>
    <w:p w14:paraId="035B15C3" w14:textId="77777777" w:rsidR="00C02396" w:rsidRDefault="00C02396">
      <w:pPr>
        <w:spacing w:before="80" w:after="80"/>
      </w:pPr>
    </w:p>
    <w:p w14:paraId="585E867F" w14:textId="77777777" w:rsidR="00C02396" w:rsidRDefault="00000000">
      <w:pPr>
        <w:spacing w:before="60" w:after="60"/>
      </w:pPr>
      <w:r>
        <w:t>The API returns</w:t>
      </w:r>
      <w:proofErr w:type="gramStart"/>
      <w:r>
        <w:t>:  {</w:t>
      </w:r>
      <w:proofErr w:type="gramEnd"/>
      <w:r>
        <w:t xml:space="preserve"> "type": "</w:t>
      </w:r>
      <w:proofErr w:type="spellStart"/>
      <w:r>
        <w:t>FeatureCollection</w:t>
      </w:r>
      <w:proofErr w:type="spellEnd"/>
      <w:r>
        <w:t>", "features": [</w:t>
      </w:r>
      <w:proofErr w:type="gramStart"/>
      <w:r>
        <w:t>] }</w:t>
      </w:r>
      <w:proofErr w:type="gramEnd"/>
      <w:r>
        <w:t xml:space="preserve">  — an empty feature collection. No transmission lines appear on the map. The API endpoint exists but the data source is not connected or the data has not been loaded into the backend.</w:t>
      </w:r>
    </w:p>
    <w:p w14:paraId="3D5A99DE" w14:textId="77777777" w:rsidR="00C02396" w:rsidRDefault="00C02396">
      <w:pPr>
        <w:spacing w:before="80" w:after="80"/>
      </w:pPr>
    </w:p>
    <w:p w14:paraId="57CDAA6C" w14:textId="77777777" w:rsidR="00C02396" w:rsidRDefault="00000000">
      <w:pPr>
        <w:spacing w:before="60" w:after="60"/>
      </w:pPr>
      <w:r>
        <w:t xml:space="preserve">Recommended fix: Populate the transmission lines data source (HIFLD National Electric Power Transmission Lines or ERCOT/WECC GIS data) and verify the API returns non-empty </w:t>
      </w:r>
      <w:proofErr w:type="spellStart"/>
      <w:r>
        <w:t>GeoJSON</w:t>
      </w:r>
      <w:proofErr w:type="spellEnd"/>
      <w:r>
        <w:t xml:space="preserve"> before re-enabling the toggle.</w:t>
      </w:r>
    </w:p>
    <w:p w14:paraId="080FC3BC" w14:textId="77777777" w:rsidR="00C02396" w:rsidRDefault="00C02396">
      <w:pPr>
        <w:spacing w:before="80" w:after="80"/>
      </w:pPr>
    </w:p>
    <w:p w14:paraId="5FD4B63F" w14:textId="77777777" w:rsidR="00C02396" w:rsidRDefault="00000000">
      <w:pPr>
        <w:pStyle w:val="Heading2"/>
      </w:pPr>
      <w:r>
        <w:t>Issue 3 — West Texas Wind Curtailment Scores Mis-Calibrated</w:t>
      </w:r>
    </w:p>
    <w:p w14:paraId="7E607C81" w14:textId="77777777" w:rsidR="00C02396" w:rsidRDefault="00000000">
      <w:pPr>
        <w:spacing w:before="60" w:after="60"/>
      </w:pPr>
      <w:r>
        <w:rPr>
          <w:b/>
          <w:bCs/>
          <w:color w:val="BF8F00"/>
        </w:rPr>
        <w:t>Severity: Medium</w:t>
      </w:r>
    </w:p>
    <w:p w14:paraId="56955719" w14:textId="77777777" w:rsidR="00C02396" w:rsidRDefault="00C02396">
      <w:pPr>
        <w:spacing w:before="80" w:after="80"/>
      </w:pPr>
    </w:p>
    <w:p w14:paraId="3A3B4C33" w14:textId="77777777" w:rsidR="00C02396" w:rsidRDefault="00000000">
      <w:pPr>
        <w:spacing w:before="60" w:after="60"/>
      </w:pPr>
      <w:r>
        <w:t>The project specification explicitly states that ERCOT West Texas wind projects (WTG_ settlement points) should score 88–92 on the Curtailment dimension, reflecting a corrected negative price frequency of 7–8% (revised down from an earlier 15–18% estimate). The current mock data shows West Texas Wind Farm Alpha scoring 60 on Curtailment — 28+ points below the target range.</w:t>
      </w:r>
    </w:p>
    <w:p w14:paraId="0FE70C82" w14:textId="77777777" w:rsidR="00C02396" w:rsidRDefault="00C02396">
      <w:pPr>
        <w:spacing w:before="80" w:after="80"/>
      </w:pPr>
    </w:p>
    <w:p w14:paraId="2DD791BF" w14:textId="77777777" w:rsidR="00C02396" w:rsidRDefault="00000000">
      <w:pPr>
        <w:spacing w:before="60" w:after="60"/>
      </w:pPr>
      <w:r>
        <w:t>This mis-calibration overstates curtailment risk for West Texas wind and may incorrectly disadvantage these projects in ranking. Given that West Texas hosts some of ERCOT's most economically attractive wind resources, this affects a commercially important category.</w:t>
      </w:r>
    </w:p>
    <w:p w14:paraId="41FF20E8" w14:textId="77777777" w:rsidR="00C02396" w:rsidRDefault="00C02396">
      <w:pPr>
        <w:spacing w:before="80" w:after="80"/>
      </w:pPr>
    </w:p>
    <w:p w14:paraId="739E39EC" w14:textId="77777777" w:rsidR="00C02396" w:rsidRDefault="00000000">
      <w:pPr>
        <w:spacing w:before="60" w:after="60"/>
      </w:pPr>
      <w:r>
        <w:t>Recommended fix: Recalibrate the Curtailment scoring function to map 7–8% negative price frequency to a score of 88–92. Panhandle Wind Complex at ~52 (reflecting ~22% frequency) provides the correct lower anchor.</w:t>
      </w:r>
    </w:p>
    <w:p w14:paraId="1821042E" w14:textId="77777777" w:rsidR="00C02396" w:rsidRDefault="00000000">
      <w:r>
        <w:br w:type="page"/>
      </w:r>
    </w:p>
    <w:p w14:paraId="45AA0C7D" w14:textId="77777777" w:rsidR="00C02396" w:rsidRDefault="00000000">
      <w:pPr>
        <w:pStyle w:val="Heading1"/>
      </w:pPr>
      <w:r>
        <w:lastRenderedPageBreak/>
        <w:t>6. Minor Observations</w:t>
      </w:r>
    </w:p>
    <w:p w14:paraId="27ADDE98" w14:textId="77777777" w:rsidR="00C02396" w:rsidRDefault="00C02396">
      <w:pPr>
        <w:spacing w:before="80" w:after="80"/>
      </w:pPr>
    </w:p>
    <w:p w14:paraId="54413620" w14:textId="77777777" w:rsidR="00C02396" w:rsidRDefault="00000000">
      <w:pPr>
        <w:pStyle w:val="Heading3"/>
      </w:pPr>
      <w:r>
        <w:t>6.1 Session-Only Screenings Persistence</w:t>
      </w:r>
    </w:p>
    <w:p w14:paraId="64C63959" w14:textId="77777777" w:rsidR="00C02396" w:rsidRDefault="00000000">
      <w:pPr>
        <w:spacing w:before="60" w:after="60"/>
      </w:pPr>
      <w:r>
        <w:t>Filter sessions saved from the Dashboard screener are browser-session scoped. Refreshing or reopening the app clears the /screenings page. For a production tool used by a deal team, persistent server-side storage of screening sessions would be necessary to support collaboration and audit trails.</w:t>
      </w:r>
    </w:p>
    <w:p w14:paraId="2392EF5D" w14:textId="77777777" w:rsidR="00C02396" w:rsidRDefault="00C02396">
      <w:pPr>
        <w:spacing w:before="80" w:after="80"/>
      </w:pPr>
    </w:p>
    <w:p w14:paraId="56F58911" w14:textId="77777777" w:rsidR="00C02396" w:rsidRDefault="00000000">
      <w:pPr>
        <w:pStyle w:val="Heading3"/>
      </w:pPr>
      <w:r>
        <w:t>6.2 ERCOT Price Chart Data Period</w:t>
      </w:r>
    </w:p>
    <w:p w14:paraId="2498398E" w14:textId="77777777" w:rsidR="00C02396" w:rsidRDefault="00000000">
      <w:pPr>
        <w:spacing w:before="60" w:after="60"/>
      </w:pPr>
      <w:r>
        <w:t>The ERCOT price page shows data through April 2026. The label "Real CDR Data" is accurate for 2024 but the 2025–2026 period may be using interpolated or forward-modeled data. The Platform Guide should clarify which months reflect actual ERCOT settlement data vs. projections.</w:t>
      </w:r>
    </w:p>
    <w:p w14:paraId="7EE4B108" w14:textId="77777777" w:rsidR="00C02396" w:rsidRDefault="00C02396">
      <w:pPr>
        <w:spacing w:before="80" w:after="80"/>
      </w:pPr>
    </w:p>
    <w:p w14:paraId="266885CE" w14:textId="77777777" w:rsidR="00C02396" w:rsidRDefault="00000000">
      <w:pPr>
        <w:pStyle w:val="Heading3"/>
      </w:pPr>
      <w:r>
        <w:t>6.3 PJM Data Sourcing Transparency</w:t>
      </w:r>
    </w:p>
    <w:p w14:paraId="12E1FA18" w14:textId="77777777" w:rsidR="00C02396" w:rsidRDefault="00000000">
      <w:pPr>
        <w:spacing w:before="60" w:after="60"/>
      </w:pPr>
      <w:r>
        <w:t>The PJM prices page is noted in the Platform Guide as using model-calibrated data rather than live API data. This is appropriate given PJM's data access structure, but it would be beneficial to add a visible data-source disclosure on the /</w:t>
      </w:r>
      <w:proofErr w:type="spellStart"/>
      <w:r>
        <w:t>pjm</w:t>
      </w:r>
      <w:proofErr w:type="spellEnd"/>
      <w:r>
        <w:t xml:space="preserve"> page itself so analysts know not to cite it as verbatim PJM settlement data.</w:t>
      </w:r>
    </w:p>
    <w:p w14:paraId="02441E6C" w14:textId="77777777" w:rsidR="00C02396" w:rsidRDefault="00C02396">
      <w:pPr>
        <w:spacing w:before="80" w:after="80"/>
      </w:pPr>
    </w:p>
    <w:p w14:paraId="0A4FD574" w14:textId="77777777" w:rsidR="00C02396" w:rsidRDefault="00000000">
      <w:pPr>
        <w:pStyle w:val="Heading3"/>
      </w:pPr>
      <w:r>
        <w:t>6.4 COD Column Empty in CSV Export</w:t>
      </w:r>
    </w:p>
    <w:p w14:paraId="33BC69CF" w14:textId="77777777" w:rsidR="00C02396" w:rsidRDefault="00000000">
      <w:pPr>
        <w:spacing w:before="60" w:after="60"/>
      </w:pPr>
      <w:r>
        <w:t>The exported CSV includes a "COD" (Commercial Operation Date) column that is blank for all 12 candidates. For real PPA origination, COD is a critical field. The EIA-860 dataset includes expected COD dates and this should be populated when real project data is integrated.</w:t>
      </w:r>
    </w:p>
    <w:p w14:paraId="5E33EA2D" w14:textId="77777777" w:rsidR="00C02396" w:rsidRDefault="00C02396">
      <w:pPr>
        <w:spacing w:before="80" w:after="80"/>
      </w:pPr>
    </w:p>
    <w:p w14:paraId="08ABB5F4" w14:textId="77777777" w:rsidR="00C02396" w:rsidRDefault="00000000">
      <w:pPr>
        <w:pStyle w:val="Heading3"/>
      </w:pPr>
      <w:r>
        <w:t>6.5 Storage Projects Excluded from REC Eligibility</w:t>
      </w:r>
    </w:p>
    <w:p w14:paraId="3E6FF528" w14:textId="77777777" w:rsidR="00C02396" w:rsidRDefault="00000000">
      <w:pPr>
        <w:spacing w:before="60" w:after="60"/>
      </w:pPr>
      <w:r>
        <w:t xml:space="preserve">The two standalone storage candidates (South Texas Storage Grid, ERCOT Houston Storage Peak) are correctly marked as REC-ineligible with zero REC values. This is accurate — standalone storage does not generate </w:t>
      </w:r>
      <w:proofErr w:type="spellStart"/>
      <w:r>
        <w:t>RECs.</w:t>
      </w:r>
      <w:proofErr w:type="spellEnd"/>
      <w:r>
        <w:t xml:space="preserve"> No fix needed; behavior is correct.</w:t>
      </w:r>
    </w:p>
    <w:p w14:paraId="681CDD1D" w14:textId="77777777" w:rsidR="00C02396" w:rsidRDefault="00C02396">
      <w:pPr>
        <w:spacing w:before="80" w:after="80"/>
      </w:pPr>
    </w:p>
    <w:p w14:paraId="365B9CB8" w14:textId="77777777" w:rsidR="00C02396" w:rsidRDefault="00000000">
      <w:pPr>
        <w:pStyle w:val="Heading3"/>
      </w:pPr>
      <w:r>
        <w:t>6.6 Queue Page — ERCOT and PJM Project Counts</w:t>
      </w:r>
    </w:p>
    <w:p w14:paraId="739809FE" w14:textId="77777777" w:rsidR="00C02396" w:rsidRDefault="00000000">
      <w:pPr>
        <w:spacing w:before="60" w:after="60"/>
      </w:pPr>
      <w:r>
        <w:t>The CAISO interconnection queue correctly shows 2,433 projects sourced from real CAISO queue data. ERCOT and PJM queue entries appear to use modeled/representative data. Noting this as an observation rather than a bug, since the queue data primarily drives the Interconnect Risk scoring dimension and the relative ranking between regions is what matters most for scoring.</w:t>
      </w:r>
    </w:p>
    <w:p w14:paraId="2AC45C98" w14:textId="77777777" w:rsidR="00C02396" w:rsidRDefault="00000000">
      <w:r>
        <w:br w:type="page"/>
      </w:r>
    </w:p>
    <w:p w14:paraId="4A210EDB" w14:textId="77777777" w:rsidR="00C02396" w:rsidRDefault="00000000">
      <w:pPr>
        <w:pStyle w:val="Heading1"/>
      </w:pPr>
      <w:r>
        <w:lastRenderedPageBreak/>
        <w:t>7. Recommendations</w:t>
      </w:r>
    </w:p>
    <w:p w14:paraId="7143C704" w14:textId="77777777" w:rsidR="00C02396" w:rsidRDefault="00C02396">
      <w:pPr>
        <w:spacing w:before="80" w:after="80"/>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000"/>
        <w:gridCol w:w="1200"/>
        <w:gridCol w:w="3560"/>
      </w:tblGrid>
      <w:tr w:rsidR="00C02396" w14:paraId="0DB2D2A0" w14:textId="77777777">
        <w:tblPrEx>
          <w:tblCellMar>
            <w:top w:w="0" w:type="dxa"/>
            <w:bottom w:w="0" w:type="dxa"/>
          </w:tblCellMar>
        </w:tblPrEx>
        <w:tc>
          <w:tcPr>
            <w:tcW w:w="500" w:type="dxa"/>
            <w:tcBorders>
              <w:top w:val="single" w:sz="6" w:space="0" w:color="1F497D"/>
              <w:left w:val="single" w:sz="6" w:space="0" w:color="1F497D"/>
              <w:bottom w:val="single" w:sz="6" w:space="0" w:color="1F497D"/>
              <w:right w:val="single" w:sz="6" w:space="0" w:color="1F497D"/>
            </w:tcBorders>
            <w:shd w:val="clear" w:color="auto" w:fill="1F497D"/>
            <w:tcMar>
              <w:top w:w="80" w:type="dxa"/>
              <w:left w:w="120" w:type="dxa"/>
              <w:bottom w:w="80" w:type="dxa"/>
              <w:right w:w="120" w:type="dxa"/>
            </w:tcMar>
          </w:tcPr>
          <w:p w14:paraId="5036CE07" w14:textId="77777777" w:rsidR="00C02396" w:rsidRDefault="00000000">
            <w:r>
              <w:rPr>
                <w:b/>
                <w:bCs/>
                <w:color w:val="FFFFFF"/>
                <w:sz w:val="20"/>
                <w:szCs w:val="20"/>
              </w:rPr>
              <w:t>#</w:t>
            </w:r>
          </w:p>
        </w:tc>
        <w:tc>
          <w:tcPr>
            <w:tcW w:w="4000" w:type="dxa"/>
            <w:tcBorders>
              <w:top w:val="single" w:sz="6" w:space="0" w:color="1F497D"/>
              <w:left w:val="single" w:sz="6" w:space="0" w:color="1F497D"/>
              <w:bottom w:val="single" w:sz="6" w:space="0" w:color="1F497D"/>
              <w:right w:val="single" w:sz="6" w:space="0" w:color="1F497D"/>
            </w:tcBorders>
            <w:shd w:val="clear" w:color="auto" w:fill="1F497D"/>
            <w:tcMar>
              <w:top w:w="80" w:type="dxa"/>
              <w:left w:w="120" w:type="dxa"/>
              <w:bottom w:w="80" w:type="dxa"/>
              <w:right w:w="120" w:type="dxa"/>
            </w:tcMar>
          </w:tcPr>
          <w:p w14:paraId="618AB9D5" w14:textId="77777777" w:rsidR="00C02396" w:rsidRDefault="00000000">
            <w:r>
              <w:rPr>
                <w:b/>
                <w:bCs/>
                <w:color w:val="FFFFFF"/>
                <w:sz w:val="20"/>
                <w:szCs w:val="20"/>
              </w:rPr>
              <w:t>Recommendation</w:t>
            </w:r>
          </w:p>
        </w:tc>
        <w:tc>
          <w:tcPr>
            <w:tcW w:w="1200" w:type="dxa"/>
            <w:tcBorders>
              <w:top w:val="single" w:sz="6" w:space="0" w:color="1F497D"/>
              <w:left w:val="single" w:sz="6" w:space="0" w:color="1F497D"/>
              <w:bottom w:val="single" w:sz="6" w:space="0" w:color="1F497D"/>
              <w:right w:val="single" w:sz="6" w:space="0" w:color="1F497D"/>
            </w:tcBorders>
            <w:shd w:val="clear" w:color="auto" w:fill="1F497D"/>
            <w:tcMar>
              <w:top w:w="80" w:type="dxa"/>
              <w:left w:w="120" w:type="dxa"/>
              <w:bottom w:w="80" w:type="dxa"/>
              <w:right w:w="120" w:type="dxa"/>
            </w:tcMar>
          </w:tcPr>
          <w:p w14:paraId="220811AC" w14:textId="77777777" w:rsidR="00C02396" w:rsidRDefault="00000000">
            <w:r>
              <w:rPr>
                <w:b/>
                <w:bCs/>
                <w:color w:val="FFFFFF"/>
                <w:sz w:val="20"/>
                <w:szCs w:val="20"/>
              </w:rPr>
              <w:t>Priority</w:t>
            </w:r>
          </w:p>
        </w:tc>
        <w:tc>
          <w:tcPr>
            <w:tcW w:w="3560" w:type="dxa"/>
            <w:tcBorders>
              <w:top w:val="single" w:sz="6" w:space="0" w:color="1F497D"/>
              <w:left w:val="single" w:sz="6" w:space="0" w:color="1F497D"/>
              <w:bottom w:val="single" w:sz="6" w:space="0" w:color="1F497D"/>
              <w:right w:val="single" w:sz="6" w:space="0" w:color="1F497D"/>
            </w:tcBorders>
            <w:shd w:val="clear" w:color="auto" w:fill="1F497D"/>
            <w:tcMar>
              <w:top w:w="80" w:type="dxa"/>
              <w:left w:w="120" w:type="dxa"/>
              <w:bottom w:w="80" w:type="dxa"/>
              <w:right w:w="120" w:type="dxa"/>
            </w:tcMar>
          </w:tcPr>
          <w:p w14:paraId="2A9ABF8A" w14:textId="77777777" w:rsidR="00C02396" w:rsidRDefault="00000000">
            <w:r>
              <w:rPr>
                <w:b/>
                <w:bCs/>
                <w:color w:val="FFFFFF"/>
                <w:sz w:val="20"/>
                <w:szCs w:val="20"/>
              </w:rPr>
              <w:t>Expected Impact</w:t>
            </w:r>
          </w:p>
        </w:tc>
      </w:tr>
      <w:tr w:rsidR="00C02396" w14:paraId="74F968EE" w14:textId="77777777">
        <w:tblPrEx>
          <w:tblCellMar>
            <w:top w:w="0" w:type="dxa"/>
            <w:bottom w:w="0" w:type="dxa"/>
          </w:tblCellMar>
        </w:tblPrEx>
        <w:tc>
          <w:tcPr>
            <w:tcW w:w="50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2046EE29" w14:textId="77777777" w:rsidR="00C02396" w:rsidRDefault="00000000">
            <w:r>
              <w:rPr>
                <w:b/>
                <w:bCs/>
                <w:color w:val="000000"/>
                <w:sz w:val="20"/>
                <w:szCs w:val="20"/>
              </w:rPr>
              <w:t>1</w:t>
            </w:r>
          </w:p>
        </w:tc>
        <w:tc>
          <w:tcPr>
            <w:tcW w:w="400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5C2B70E9" w14:textId="77777777" w:rsidR="00C02396" w:rsidRDefault="00000000">
            <w:r>
              <w:rPr>
                <w:color w:val="000000"/>
                <w:sz w:val="20"/>
                <w:szCs w:val="20"/>
              </w:rPr>
              <w:t>Integrate real EIA-860 dataset into /rankings and scoring pipeline</w:t>
            </w:r>
          </w:p>
        </w:tc>
        <w:tc>
          <w:tcPr>
            <w:tcW w:w="1200" w:type="dxa"/>
            <w:tcBorders>
              <w:top w:val="single" w:sz="6" w:space="0" w:color="DDDDDD"/>
              <w:left w:val="single" w:sz="6" w:space="0" w:color="DDDDDD"/>
              <w:bottom w:val="single" w:sz="6" w:space="0" w:color="DDDDDD"/>
              <w:right w:val="single" w:sz="6" w:space="0" w:color="DDDDDD"/>
            </w:tcBorders>
            <w:shd w:val="clear" w:color="auto" w:fill="FCE4E4"/>
            <w:tcMar>
              <w:top w:w="80" w:type="dxa"/>
              <w:left w:w="120" w:type="dxa"/>
              <w:bottom w:w="80" w:type="dxa"/>
              <w:right w:w="120" w:type="dxa"/>
            </w:tcMar>
          </w:tcPr>
          <w:p w14:paraId="09978891" w14:textId="77777777" w:rsidR="00C02396" w:rsidRDefault="00000000">
            <w:r>
              <w:rPr>
                <w:b/>
                <w:bCs/>
                <w:color w:val="C00000"/>
                <w:sz w:val="20"/>
                <w:szCs w:val="20"/>
              </w:rPr>
              <w:t>P0</w:t>
            </w:r>
          </w:p>
        </w:tc>
        <w:tc>
          <w:tcPr>
            <w:tcW w:w="356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155EE810" w14:textId="77777777" w:rsidR="00C02396" w:rsidRDefault="00000000">
            <w:r>
              <w:rPr>
                <w:color w:val="000000"/>
                <w:sz w:val="20"/>
                <w:szCs w:val="20"/>
              </w:rPr>
              <w:t>Enables live deal origination. Core product requirement.</w:t>
            </w:r>
          </w:p>
        </w:tc>
      </w:tr>
      <w:tr w:rsidR="00C02396" w14:paraId="0EB8070C" w14:textId="77777777">
        <w:tblPrEx>
          <w:tblCellMar>
            <w:top w:w="0" w:type="dxa"/>
            <w:bottom w:w="0" w:type="dxa"/>
          </w:tblCellMar>
        </w:tblPrEx>
        <w:tc>
          <w:tcPr>
            <w:tcW w:w="50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1F3B585E" w14:textId="77777777" w:rsidR="00C02396" w:rsidRDefault="00000000">
            <w:r>
              <w:rPr>
                <w:b/>
                <w:bCs/>
                <w:color w:val="000000"/>
                <w:sz w:val="20"/>
                <w:szCs w:val="20"/>
              </w:rPr>
              <w:t>2</w:t>
            </w:r>
          </w:p>
        </w:tc>
        <w:tc>
          <w:tcPr>
            <w:tcW w:w="400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42B9C2D3" w14:textId="77777777" w:rsidR="00C02396" w:rsidRDefault="00000000">
            <w:r>
              <w:rPr>
                <w:color w:val="000000"/>
                <w:sz w:val="20"/>
                <w:szCs w:val="20"/>
              </w:rPr>
              <w:t>Fix /</w:t>
            </w:r>
            <w:proofErr w:type="spellStart"/>
            <w:r>
              <w:rPr>
                <w:color w:val="000000"/>
                <w:sz w:val="20"/>
                <w:szCs w:val="20"/>
              </w:rPr>
              <w:t>api</w:t>
            </w:r>
            <w:proofErr w:type="spellEnd"/>
            <w:r>
              <w:rPr>
                <w:color w:val="000000"/>
                <w:sz w:val="20"/>
                <w:szCs w:val="20"/>
              </w:rPr>
              <w:t xml:space="preserve">/transmission-lines endpoint to return real </w:t>
            </w:r>
            <w:proofErr w:type="spellStart"/>
            <w:r>
              <w:rPr>
                <w:color w:val="000000"/>
                <w:sz w:val="20"/>
                <w:szCs w:val="20"/>
              </w:rPr>
              <w:t>GeoJSON</w:t>
            </w:r>
            <w:proofErr w:type="spellEnd"/>
            <w:r>
              <w:rPr>
                <w:color w:val="000000"/>
                <w:sz w:val="20"/>
                <w:szCs w:val="20"/>
              </w:rPr>
              <w:t xml:space="preserve"> data</w:t>
            </w:r>
          </w:p>
        </w:tc>
        <w:tc>
          <w:tcPr>
            <w:tcW w:w="1200" w:type="dxa"/>
            <w:tcBorders>
              <w:top w:val="single" w:sz="6" w:space="0" w:color="DDDDDD"/>
              <w:left w:val="single" w:sz="6" w:space="0" w:color="DDDDDD"/>
              <w:bottom w:val="single" w:sz="6" w:space="0" w:color="DDDDDD"/>
              <w:right w:val="single" w:sz="6" w:space="0" w:color="DDDDDD"/>
            </w:tcBorders>
            <w:shd w:val="clear" w:color="auto" w:fill="FCE4E4"/>
            <w:tcMar>
              <w:top w:w="80" w:type="dxa"/>
              <w:left w:w="120" w:type="dxa"/>
              <w:bottom w:w="80" w:type="dxa"/>
              <w:right w:w="120" w:type="dxa"/>
            </w:tcMar>
          </w:tcPr>
          <w:p w14:paraId="6B73E6BA" w14:textId="77777777" w:rsidR="00C02396" w:rsidRDefault="00000000">
            <w:r>
              <w:rPr>
                <w:b/>
                <w:bCs/>
                <w:color w:val="C00000"/>
                <w:sz w:val="20"/>
                <w:szCs w:val="20"/>
              </w:rPr>
              <w:t>P0</w:t>
            </w:r>
          </w:p>
        </w:tc>
        <w:tc>
          <w:tcPr>
            <w:tcW w:w="356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586751C0" w14:textId="77777777" w:rsidR="00C02396" w:rsidRDefault="00000000">
            <w:r>
              <w:rPr>
                <w:color w:val="000000"/>
                <w:sz w:val="20"/>
                <w:szCs w:val="20"/>
              </w:rPr>
              <w:t>Restores transmission layer on Project Map. HIFLD or ERCOT GIS data recommended.</w:t>
            </w:r>
          </w:p>
        </w:tc>
      </w:tr>
      <w:tr w:rsidR="00C02396" w14:paraId="1F1129B9" w14:textId="77777777">
        <w:tblPrEx>
          <w:tblCellMar>
            <w:top w:w="0" w:type="dxa"/>
            <w:bottom w:w="0" w:type="dxa"/>
          </w:tblCellMar>
        </w:tblPrEx>
        <w:tc>
          <w:tcPr>
            <w:tcW w:w="50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44F31819" w14:textId="77777777" w:rsidR="00C02396" w:rsidRDefault="00000000">
            <w:r>
              <w:rPr>
                <w:b/>
                <w:bCs/>
                <w:color w:val="000000"/>
                <w:sz w:val="20"/>
                <w:szCs w:val="20"/>
              </w:rPr>
              <w:t>3</w:t>
            </w:r>
          </w:p>
        </w:tc>
        <w:tc>
          <w:tcPr>
            <w:tcW w:w="400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3CF04E86" w14:textId="77777777" w:rsidR="00C02396" w:rsidRDefault="00000000">
            <w:r>
              <w:rPr>
                <w:color w:val="000000"/>
                <w:sz w:val="20"/>
                <w:szCs w:val="20"/>
              </w:rPr>
              <w:t>Recalibrate Curtailment scores for WTG_ node candidates to 88–92 range</w:t>
            </w:r>
          </w:p>
        </w:tc>
        <w:tc>
          <w:tcPr>
            <w:tcW w:w="1200" w:type="dxa"/>
            <w:tcBorders>
              <w:top w:val="single" w:sz="6" w:space="0" w:color="DDDDDD"/>
              <w:left w:val="single" w:sz="6" w:space="0" w:color="DDDDDD"/>
              <w:bottom w:val="single" w:sz="6" w:space="0" w:color="DDDDDD"/>
              <w:right w:val="single" w:sz="6" w:space="0" w:color="DDDDDD"/>
            </w:tcBorders>
            <w:shd w:val="clear" w:color="auto" w:fill="FFF2CC"/>
            <w:tcMar>
              <w:top w:w="80" w:type="dxa"/>
              <w:left w:w="120" w:type="dxa"/>
              <w:bottom w:w="80" w:type="dxa"/>
              <w:right w:w="120" w:type="dxa"/>
            </w:tcMar>
          </w:tcPr>
          <w:p w14:paraId="6A01438B" w14:textId="77777777" w:rsidR="00C02396" w:rsidRDefault="00000000">
            <w:r>
              <w:rPr>
                <w:b/>
                <w:bCs/>
                <w:color w:val="BF8F00"/>
                <w:sz w:val="20"/>
                <w:szCs w:val="20"/>
              </w:rPr>
              <w:t>P1</w:t>
            </w:r>
          </w:p>
        </w:tc>
        <w:tc>
          <w:tcPr>
            <w:tcW w:w="356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4D8915AB" w14:textId="77777777" w:rsidR="00C02396" w:rsidRDefault="00000000">
            <w:r>
              <w:rPr>
                <w:color w:val="000000"/>
                <w:sz w:val="20"/>
                <w:szCs w:val="20"/>
              </w:rPr>
              <w:t>Prevents systematic under-ranking of West Texas wind. Aligns with corrected 7–8% neg-price rate.</w:t>
            </w:r>
          </w:p>
        </w:tc>
      </w:tr>
      <w:tr w:rsidR="00C02396" w14:paraId="0C70E31A" w14:textId="77777777">
        <w:tblPrEx>
          <w:tblCellMar>
            <w:top w:w="0" w:type="dxa"/>
            <w:bottom w:w="0" w:type="dxa"/>
          </w:tblCellMar>
        </w:tblPrEx>
        <w:tc>
          <w:tcPr>
            <w:tcW w:w="50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707A678F" w14:textId="77777777" w:rsidR="00C02396" w:rsidRDefault="00000000">
            <w:r>
              <w:rPr>
                <w:b/>
                <w:bCs/>
                <w:color w:val="000000"/>
                <w:sz w:val="20"/>
                <w:szCs w:val="20"/>
              </w:rPr>
              <w:t>4</w:t>
            </w:r>
          </w:p>
        </w:tc>
        <w:tc>
          <w:tcPr>
            <w:tcW w:w="400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22E3D27C" w14:textId="77777777" w:rsidR="00C02396" w:rsidRDefault="00000000">
            <w:r>
              <w:rPr>
                <w:color w:val="000000"/>
                <w:sz w:val="20"/>
                <w:szCs w:val="20"/>
              </w:rPr>
              <w:t>Persist screening sessions server-side (user account or deal-team level)</w:t>
            </w:r>
          </w:p>
        </w:tc>
        <w:tc>
          <w:tcPr>
            <w:tcW w:w="1200" w:type="dxa"/>
            <w:tcBorders>
              <w:top w:val="single" w:sz="6" w:space="0" w:color="DDDDDD"/>
              <w:left w:val="single" w:sz="6" w:space="0" w:color="DDDDDD"/>
              <w:bottom w:val="single" w:sz="6" w:space="0" w:color="DDDDDD"/>
              <w:right w:val="single" w:sz="6" w:space="0" w:color="DDDDDD"/>
            </w:tcBorders>
            <w:shd w:val="clear" w:color="auto" w:fill="FFF2CC"/>
            <w:tcMar>
              <w:top w:w="80" w:type="dxa"/>
              <w:left w:w="120" w:type="dxa"/>
              <w:bottom w:w="80" w:type="dxa"/>
              <w:right w:w="120" w:type="dxa"/>
            </w:tcMar>
          </w:tcPr>
          <w:p w14:paraId="190EAA81" w14:textId="77777777" w:rsidR="00C02396" w:rsidRDefault="00000000">
            <w:r>
              <w:rPr>
                <w:b/>
                <w:bCs/>
                <w:color w:val="BF8F00"/>
                <w:sz w:val="20"/>
                <w:szCs w:val="20"/>
              </w:rPr>
              <w:t>P1</w:t>
            </w:r>
          </w:p>
        </w:tc>
        <w:tc>
          <w:tcPr>
            <w:tcW w:w="356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62AFC6F7" w14:textId="77777777" w:rsidR="00C02396" w:rsidRDefault="00000000">
            <w:r>
              <w:rPr>
                <w:color w:val="000000"/>
                <w:sz w:val="20"/>
                <w:szCs w:val="20"/>
              </w:rPr>
              <w:t>Enables team collaboration and audit trail for regulatory/compliance.</w:t>
            </w:r>
          </w:p>
        </w:tc>
      </w:tr>
      <w:tr w:rsidR="00C02396" w14:paraId="73F1B3CA" w14:textId="77777777">
        <w:tblPrEx>
          <w:tblCellMar>
            <w:top w:w="0" w:type="dxa"/>
            <w:bottom w:w="0" w:type="dxa"/>
          </w:tblCellMar>
        </w:tblPrEx>
        <w:tc>
          <w:tcPr>
            <w:tcW w:w="50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61C5091A" w14:textId="77777777" w:rsidR="00C02396" w:rsidRDefault="00000000">
            <w:r>
              <w:rPr>
                <w:b/>
                <w:bCs/>
                <w:color w:val="000000"/>
                <w:sz w:val="20"/>
                <w:szCs w:val="20"/>
              </w:rPr>
              <w:t>5</w:t>
            </w:r>
          </w:p>
        </w:tc>
        <w:tc>
          <w:tcPr>
            <w:tcW w:w="400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5EFB0E2C" w14:textId="77777777" w:rsidR="00C02396" w:rsidRDefault="00000000">
            <w:r>
              <w:rPr>
                <w:color w:val="000000"/>
                <w:sz w:val="20"/>
                <w:szCs w:val="20"/>
              </w:rPr>
              <w:t>Add data-source disclosure labels on /</w:t>
            </w:r>
            <w:proofErr w:type="spellStart"/>
            <w:r>
              <w:rPr>
                <w:color w:val="000000"/>
                <w:sz w:val="20"/>
                <w:szCs w:val="20"/>
              </w:rPr>
              <w:t>pjm</w:t>
            </w:r>
            <w:proofErr w:type="spellEnd"/>
            <w:r>
              <w:rPr>
                <w:color w:val="000000"/>
                <w:sz w:val="20"/>
                <w:szCs w:val="20"/>
              </w:rPr>
              <w:t xml:space="preserve"> and ERCOT price pages</w:t>
            </w:r>
          </w:p>
        </w:tc>
        <w:tc>
          <w:tcPr>
            <w:tcW w:w="1200" w:type="dxa"/>
            <w:tcBorders>
              <w:top w:val="single" w:sz="6" w:space="0" w:color="DDDDDD"/>
              <w:left w:val="single" w:sz="6" w:space="0" w:color="DDDDDD"/>
              <w:bottom w:val="single" w:sz="6" w:space="0" w:color="DDDDDD"/>
              <w:right w:val="single" w:sz="6" w:space="0" w:color="DDDDDD"/>
            </w:tcBorders>
            <w:shd w:val="clear" w:color="auto" w:fill="E2EFDA"/>
            <w:tcMar>
              <w:top w:w="80" w:type="dxa"/>
              <w:left w:w="120" w:type="dxa"/>
              <w:bottom w:w="80" w:type="dxa"/>
              <w:right w:w="120" w:type="dxa"/>
            </w:tcMar>
          </w:tcPr>
          <w:p w14:paraId="605BA51E" w14:textId="77777777" w:rsidR="00C02396" w:rsidRDefault="00000000">
            <w:r>
              <w:rPr>
                <w:b/>
                <w:bCs/>
                <w:color w:val="1E7145"/>
                <w:sz w:val="20"/>
                <w:szCs w:val="20"/>
              </w:rPr>
              <w:t>P2</w:t>
            </w:r>
          </w:p>
        </w:tc>
        <w:tc>
          <w:tcPr>
            <w:tcW w:w="356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36DA68C2" w14:textId="77777777" w:rsidR="00C02396" w:rsidRDefault="00000000">
            <w:r>
              <w:rPr>
                <w:color w:val="000000"/>
                <w:sz w:val="20"/>
                <w:szCs w:val="20"/>
              </w:rPr>
              <w:t>Prevents analysts from citing model-calibrated data as settlement data.</w:t>
            </w:r>
          </w:p>
        </w:tc>
      </w:tr>
      <w:tr w:rsidR="00C02396" w14:paraId="5D19DBD9" w14:textId="77777777">
        <w:tblPrEx>
          <w:tblCellMar>
            <w:top w:w="0" w:type="dxa"/>
            <w:bottom w:w="0" w:type="dxa"/>
          </w:tblCellMar>
        </w:tblPrEx>
        <w:tc>
          <w:tcPr>
            <w:tcW w:w="50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1A8B3A01" w14:textId="77777777" w:rsidR="00C02396" w:rsidRDefault="00000000">
            <w:r>
              <w:rPr>
                <w:b/>
                <w:bCs/>
                <w:color w:val="000000"/>
                <w:sz w:val="20"/>
                <w:szCs w:val="20"/>
              </w:rPr>
              <w:t>6</w:t>
            </w:r>
          </w:p>
        </w:tc>
        <w:tc>
          <w:tcPr>
            <w:tcW w:w="400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6A3D084F" w14:textId="77777777" w:rsidR="00C02396" w:rsidRDefault="00000000">
            <w:r>
              <w:rPr>
                <w:color w:val="000000"/>
                <w:sz w:val="20"/>
                <w:szCs w:val="20"/>
              </w:rPr>
              <w:t>Populate COD field from EIA-860 when integrating real project data</w:t>
            </w:r>
          </w:p>
        </w:tc>
        <w:tc>
          <w:tcPr>
            <w:tcW w:w="1200" w:type="dxa"/>
            <w:tcBorders>
              <w:top w:val="single" w:sz="6" w:space="0" w:color="DDDDDD"/>
              <w:left w:val="single" w:sz="6" w:space="0" w:color="DDDDDD"/>
              <w:bottom w:val="single" w:sz="6" w:space="0" w:color="DDDDDD"/>
              <w:right w:val="single" w:sz="6" w:space="0" w:color="DDDDDD"/>
            </w:tcBorders>
            <w:shd w:val="clear" w:color="auto" w:fill="E2EFDA"/>
            <w:tcMar>
              <w:top w:w="80" w:type="dxa"/>
              <w:left w:w="120" w:type="dxa"/>
              <w:bottom w:w="80" w:type="dxa"/>
              <w:right w:w="120" w:type="dxa"/>
            </w:tcMar>
          </w:tcPr>
          <w:p w14:paraId="4274B7A2" w14:textId="77777777" w:rsidR="00C02396" w:rsidRDefault="00000000">
            <w:r>
              <w:rPr>
                <w:b/>
                <w:bCs/>
                <w:color w:val="1E7145"/>
                <w:sz w:val="20"/>
                <w:szCs w:val="20"/>
              </w:rPr>
              <w:t>P2</w:t>
            </w:r>
          </w:p>
        </w:tc>
        <w:tc>
          <w:tcPr>
            <w:tcW w:w="356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12B5A223" w14:textId="77777777" w:rsidR="00C02396" w:rsidRDefault="00000000">
            <w:r>
              <w:rPr>
                <w:color w:val="000000"/>
                <w:sz w:val="20"/>
                <w:szCs w:val="20"/>
              </w:rPr>
              <w:t>COD is material to PPA timing and financing — required for production use.</w:t>
            </w:r>
          </w:p>
        </w:tc>
      </w:tr>
      <w:tr w:rsidR="00C02396" w14:paraId="55FC99D0" w14:textId="77777777">
        <w:tblPrEx>
          <w:tblCellMar>
            <w:top w:w="0" w:type="dxa"/>
            <w:bottom w:w="0" w:type="dxa"/>
          </w:tblCellMar>
        </w:tblPrEx>
        <w:tc>
          <w:tcPr>
            <w:tcW w:w="50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44140A72" w14:textId="77777777" w:rsidR="00C02396" w:rsidRDefault="00000000">
            <w:r>
              <w:rPr>
                <w:b/>
                <w:bCs/>
                <w:color w:val="000000"/>
                <w:sz w:val="20"/>
                <w:szCs w:val="20"/>
              </w:rPr>
              <w:t>7</w:t>
            </w:r>
          </w:p>
        </w:tc>
        <w:tc>
          <w:tcPr>
            <w:tcW w:w="400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4FE17F7F" w14:textId="77777777" w:rsidR="00C02396" w:rsidRDefault="00000000">
            <w:r>
              <w:rPr>
                <w:color w:val="000000"/>
                <w:sz w:val="20"/>
                <w:szCs w:val="20"/>
              </w:rPr>
              <w:t>Connect LLM backend to Q&amp;A Copilot (Phase 2)</w:t>
            </w:r>
          </w:p>
        </w:tc>
        <w:tc>
          <w:tcPr>
            <w:tcW w:w="1200" w:type="dxa"/>
            <w:tcBorders>
              <w:top w:val="single" w:sz="6" w:space="0" w:color="DDDDDD"/>
              <w:left w:val="single" w:sz="6" w:space="0" w:color="DDDDDD"/>
              <w:bottom w:val="single" w:sz="6" w:space="0" w:color="DDDDDD"/>
              <w:right w:val="single" w:sz="6" w:space="0" w:color="DDDDDD"/>
            </w:tcBorders>
            <w:shd w:val="clear" w:color="auto" w:fill="E2EFDA"/>
            <w:tcMar>
              <w:top w:w="80" w:type="dxa"/>
              <w:left w:w="120" w:type="dxa"/>
              <w:bottom w:w="80" w:type="dxa"/>
              <w:right w:w="120" w:type="dxa"/>
            </w:tcMar>
          </w:tcPr>
          <w:p w14:paraId="18E4FAF0" w14:textId="77777777" w:rsidR="00C02396" w:rsidRDefault="00000000">
            <w:r>
              <w:rPr>
                <w:b/>
                <w:bCs/>
                <w:color w:val="1E7145"/>
                <w:sz w:val="20"/>
                <w:szCs w:val="20"/>
              </w:rPr>
              <w:t>P2</w:t>
            </w:r>
          </w:p>
        </w:tc>
        <w:tc>
          <w:tcPr>
            <w:tcW w:w="356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237B8DD3" w14:textId="77777777" w:rsidR="00C02396" w:rsidRDefault="00000000">
            <w:r>
              <w:rPr>
                <w:color w:val="000000"/>
                <w:sz w:val="20"/>
                <w:szCs w:val="20"/>
              </w:rPr>
              <w:t>High-value feature when integrated with real project data. UI is already well-built.</w:t>
            </w:r>
          </w:p>
        </w:tc>
      </w:tr>
    </w:tbl>
    <w:p w14:paraId="56A5A950" w14:textId="77777777" w:rsidR="00C02396" w:rsidRDefault="00000000">
      <w:r>
        <w:br w:type="page"/>
      </w:r>
    </w:p>
    <w:p w14:paraId="2C5D395B" w14:textId="77777777" w:rsidR="00C02396" w:rsidRDefault="00000000">
      <w:pPr>
        <w:pStyle w:val="Heading1"/>
      </w:pPr>
      <w:r>
        <w:lastRenderedPageBreak/>
        <w:t>8. Overall Assessment</w:t>
      </w:r>
    </w:p>
    <w:p w14:paraId="0F6E22FD" w14:textId="77777777" w:rsidR="00C02396" w:rsidRDefault="00C02396">
      <w:pPr>
        <w:spacing w:before="80" w:after="80"/>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200"/>
        <w:gridCol w:w="5060"/>
      </w:tblGrid>
      <w:tr w:rsidR="00C02396" w14:paraId="28172B0B" w14:textId="77777777">
        <w:tblPrEx>
          <w:tblCellMar>
            <w:top w:w="0" w:type="dxa"/>
            <w:bottom w:w="0" w:type="dxa"/>
          </w:tblCellMar>
        </w:tblPrEx>
        <w:tc>
          <w:tcPr>
            <w:tcW w:w="3000" w:type="dxa"/>
            <w:tcBorders>
              <w:top w:val="single" w:sz="6" w:space="0" w:color="1F497D"/>
              <w:left w:val="single" w:sz="6" w:space="0" w:color="1F497D"/>
              <w:bottom w:val="single" w:sz="6" w:space="0" w:color="1F497D"/>
              <w:right w:val="single" w:sz="6" w:space="0" w:color="1F497D"/>
            </w:tcBorders>
            <w:shd w:val="clear" w:color="auto" w:fill="1F497D"/>
            <w:tcMar>
              <w:top w:w="80" w:type="dxa"/>
              <w:left w:w="120" w:type="dxa"/>
              <w:bottom w:w="80" w:type="dxa"/>
              <w:right w:w="120" w:type="dxa"/>
            </w:tcMar>
          </w:tcPr>
          <w:p w14:paraId="0F410FF7" w14:textId="77777777" w:rsidR="00C02396" w:rsidRDefault="00000000">
            <w:r>
              <w:rPr>
                <w:b/>
                <w:bCs/>
                <w:color w:val="FFFFFF"/>
                <w:sz w:val="20"/>
                <w:szCs w:val="20"/>
              </w:rPr>
              <w:t>Area</w:t>
            </w:r>
          </w:p>
        </w:tc>
        <w:tc>
          <w:tcPr>
            <w:tcW w:w="1200" w:type="dxa"/>
            <w:tcBorders>
              <w:top w:val="single" w:sz="6" w:space="0" w:color="1F497D"/>
              <w:left w:val="single" w:sz="6" w:space="0" w:color="1F497D"/>
              <w:bottom w:val="single" w:sz="6" w:space="0" w:color="1F497D"/>
              <w:right w:val="single" w:sz="6" w:space="0" w:color="1F497D"/>
            </w:tcBorders>
            <w:shd w:val="clear" w:color="auto" w:fill="1F497D"/>
            <w:tcMar>
              <w:top w:w="80" w:type="dxa"/>
              <w:left w:w="120" w:type="dxa"/>
              <w:bottom w:w="80" w:type="dxa"/>
              <w:right w:w="120" w:type="dxa"/>
            </w:tcMar>
          </w:tcPr>
          <w:p w14:paraId="4E0E3838" w14:textId="77777777" w:rsidR="00C02396" w:rsidRDefault="00000000">
            <w:r>
              <w:rPr>
                <w:b/>
                <w:bCs/>
                <w:color w:val="FFFFFF"/>
                <w:sz w:val="20"/>
                <w:szCs w:val="20"/>
              </w:rPr>
              <w:t>Rating</w:t>
            </w:r>
          </w:p>
        </w:tc>
        <w:tc>
          <w:tcPr>
            <w:tcW w:w="5060" w:type="dxa"/>
            <w:tcBorders>
              <w:top w:val="single" w:sz="6" w:space="0" w:color="1F497D"/>
              <w:left w:val="single" w:sz="6" w:space="0" w:color="1F497D"/>
              <w:bottom w:val="single" w:sz="6" w:space="0" w:color="1F497D"/>
              <w:right w:val="single" w:sz="6" w:space="0" w:color="1F497D"/>
            </w:tcBorders>
            <w:shd w:val="clear" w:color="auto" w:fill="1F497D"/>
            <w:tcMar>
              <w:top w:w="80" w:type="dxa"/>
              <w:left w:w="120" w:type="dxa"/>
              <w:bottom w:w="80" w:type="dxa"/>
              <w:right w:w="120" w:type="dxa"/>
            </w:tcMar>
          </w:tcPr>
          <w:p w14:paraId="128F8CBF" w14:textId="77777777" w:rsidR="00C02396" w:rsidRDefault="00000000">
            <w:r>
              <w:rPr>
                <w:b/>
                <w:bCs/>
                <w:color w:val="FFFFFF"/>
                <w:sz w:val="20"/>
                <w:szCs w:val="20"/>
              </w:rPr>
              <w:t>Summary</w:t>
            </w:r>
          </w:p>
        </w:tc>
      </w:tr>
      <w:tr w:rsidR="00C02396" w14:paraId="5F31944E" w14:textId="77777777">
        <w:tblPrEx>
          <w:tblCellMar>
            <w:top w:w="0" w:type="dxa"/>
            <w:bottom w:w="0" w:type="dxa"/>
          </w:tblCellMar>
        </w:tblPrEx>
        <w:tc>
          <w:tcPr>
            <w:tcW w:w="300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1BDB0C8E" w14:textId="77777777" w:rsidR="00C02396" w:rsidRDefault="00000000">
            <w:r>
              <w:rPr>
                <w:color w:val="000000"/>
                <w:sz w:val="20"/>
                <w:szCs w:val="20"/>
              </w:rPr>
              <w:t>UI/UX Design &amp; Navigation</w:t>
            </w:r>
          </w:p>
        </w:tc>
        <w:tc>
          <w:tcPr>
            <w:tcW w:w="1200" w:type="dxa"/>
            <w:tcBorders>
              <w:top w:val="single" w:sz="6" w:space="0" w:color="DDDDDD"/>
              <w:left w:val="single" w:sz="6" w:space="0" w:color="DDDDDD"/>
              <w:bottom w:val="single" w:sz="6" w:space="0" w:color="DDDDDD"/>
              <w:right w:val="single" w:sz="6" w:space="0" w:color="DDDDDD"/>
            </w:tcBorders>
            <w:shd w:val="clear" w:color="auto" w:fill="E2EFDA"/>
            <w:tcMar>
              <w:top w:w="80" w:type="dxa"/>
              <w:left w:w="120" w:type="dxa"/>
              <w:bottom w:w="80" w:type="dxa"/>
              <w:right w:w="120" w:type="dxa"/>
            </w:tcMar>
          </w:tcPr>
          <w:p w14:paraId="3D7D68F8" w14:textId="77777777" w:rsidR="00C02396" w:rsidRDefault="00000000">
            <w:r>
              <w:rPr>
                <w:b/>
                <w:bCs/>
                <w:color w:val="1E7145"/>
                <w:sz w:val="20"/>
                <w:szCs w:val="20"/>
              </w:rPr>
              <w:t>Excellent</w:t>
            </w:r>
          </w:p>
        </w:tc>
        <w:tc>
          <w:tcPr>
            <w:tcW w:w="506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0F30D394" w14:textId="77777777" w:rsidR="00C02396" w:rsidRDefault="00000000">
            <w:r>
              <w:rPr>
                <w:color w:val="000000"/>
                <w:sz w:val="20"/>
                <w:szCs w:val="20"/>
              </w:rPr>
              <w:t>Clean, professional layout. Intuitive navigation across all pages. The ranking sparklines and score bars are effective visual design.</w:t>
            </w:r>
          </w:p>
        </w:tc>
      </w:tr>
      <w:tr w:rsidR="00C02396" w14:paraId="677CEDB9" w14:textId="77777777">
        <w:tblPrEx>
          <w:tblCellMar>
            <w:top w:w="0" w:type="dxa"/>
            <w:bottom w:w="0" w:type="dxa"/>
          </w:tblCellMar>
        </w:tblPrEx>
        <w:tc>
          <w:tcPr>
            <w:tcW w:w="300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0C134F61" w14:textId="77777777" w:rsidR="00C02396" w:rsidRDefault="00000000">
            <w:r>
              <w:rPr>
                <w:color w:val="000000"/>
                <w:sz w:val="20"/>
                <w:szCs w:val="20"/>
              </w:rPr>
              <w:t>ERCOT Market Data Accuracy</w:t>
            </w:r>
          </w:p>
        </w:tc>
        <w:tc>
          <w:tcPr>
            <w:tcW w:w="1200" w:type="dxa"/>
            <w:tcBorders>
              <w:top w:val="single" w:sz="6" w:space="0" w:color="DDDDDD"/>
              <w:left w:val="single" w:sz="6" w:space="0" w:color="DDDDDD"/>
              <w:bottom w:val="single" w:sz="6" w:space="0" w:color="DDDDDD"/>
              <w:right w:val="single" w:sz="6" w:space="0" w:color="DDDDDD"/>
            </w:tcBorders>
            <w:shd w:val="clear" w:color="auto" w:fill="E2EFDA"/>
            <w:tcMar>
              <w:top w:w="80" w:type="dxa"/>
              <w:left w:w="120" w:type="dxa"/>
              <w:bottom w:w="80" w:type="dxa"/>
              <w:right w:w="120" w:type="dxa"/>
            </w:tcMar>
          </w:tcPr>
          <w:p w14:paraId="5BD8E3F3" w14:textId="77777777" w:rsidR="00C02396" w:rsidRDefault="00000000">
            <w:r>
              <w:rPr>
                <w:b/>
                <w:bCs/>
                <w:color w:val="1E7145"/>
                <w:sz w:val="20"/>
                <w:szCs w:val="20"/>
              </w:rPr>
              <w:t>Good</w:t>
            </w:r>
          </w:p>
        </w:tc>
        <w:tc>
          <w:tcPr>
            <w:tcW w:w="506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2AADC575" w14:textId="77777777" w:rsidR="00C02396" w:rsidRDefault="00000000">
            <w:r>
              <w:rPr>
                <w:color w:val="000000"/>
                <w:sz w:val="20"/>
                <w:szCs w:val="20"/>
              </w:rPr>
              <w:t>Price levels broadly consistent with Potomac Economics official data. Congestion rankings correctly identify HB_PAN and WESTEX as highest-risk. Minor underestimation on HB_NORTH not material.</w:t>
            </w:r>
          </w:p>
        </w:tc>
      </w:tr>
      <w:tr w:rsidR="00C02396" w14:paraId="492048DE" w14:textId="77777777">
        <w:tblPrEx>
          <w:tblCellMar>
            <w:top w:w="0" w:type="dxa"/>
            <w:bottom w:w="0" w:type="dxa"/>
          </w:tblCellMar>
        </w:tblPrEx>
        <w:tc>
          <w:tcPr>
            <w:tcW w:w="300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3EB8B257" w14:textId="77777777" w:rsidR="00C02396" w:rsidRDefault="00000000">
            <w:r>
              <w:rPr>
                <w:color w:val="000000"/>
                <w:sz w:val="20"/>
                <w:szCs w:val="20"/>
              </w:rPr>
              <w:t>Scoring Model Logic</w:t>
            </w:r>
          </w:p>
        </w:tc>
        <w:tc>
          <w:tcPr>
            <w:tcW w:w="1200" w:type="dxa"/>
            <w:tcBorders>
              <w:top w:val="single" w:sz="6" w:space="0" w:color="DDDDDD"/>
              <w:left w:val="single" w:sz="6" w:space="0" w:color="DDDDDD"/>
              <w:bottom w:val="single" w:sz="6" w:space="0" w:color="DDDDDD"/>
              <w:right w:val="single" w:sz="6" w:space="0" w:color="DDDDDD"/>
            </w:tcBorders>
            <w:shd w:val="clear" w:color="auto" w:fill="FFF2CC"/>
            <w:tcMar>
              <w:top w:w="80" w:type="dxa"/>
              <w:left w:w="120" w:type="dxa"/>
              <w:bottom w:w="80" w:type="dxa"/>
              <w:right w:w="120" w:type="dxa"/>
            </w:tcMar>
          </w:tcPr>
          <w:p w14:paraId="4E9E8F2B" w14:textId="77777777" w:rsidR="00C02396" w:rsidRDefault="00000000">
            <w:r>
              <w:rPr>
                <w:b/>
                <w:bCs/>
                <w:color w:val="BF8F00"/>
                <w:sz w:val="20"/>
                <w:szCs w:val="20"/>
              </w:rPr>
              <w:t>Mostly Good</w:t>
            </w:r>
          </w:p>
        </w:tc>
        <w:tc>
          <w:tcPr>
            <w:tcW w:w="506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33E73D1D" w14:textId="77777777" w:rsidR="00C02396" w:rsidRDefault="00000000">
            <w:r>
              <w:rPr>
                <w:color w:val="000000"/>
                <w:sz w:val="20"/>
                <w:szCs w:val="20"/>
              </w:rPr>
              <w:t>Dimension weights, objective presets, and directional rankings are logically sound. West Texas wind curtailment calibration issue needs correction.</w:t>
            </w:r>
          </w:p>
        </w:tc>
      </w:tr>
      <w:tr w:rsidR="00C02396" w14:paraId="0F587BAD" w14:textId="77777777">
        <w:tblPrEx>
          <w:tblCellMar>
            <w:top w:w="0" w:type="dxa"/>
            <w:bottom w:w="0" w:type="dxa"/>
          </w:tblCellMar>
        </w:tblPrEx>
        <w:tc>
          <w:tcPr>
            <w:tcW w:w="300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7698437D" w14:textId="77777777" w:rsidR="00C02396" w:rsidRDefault="00000000">
            <w:r>
              <w:rPr>
                <w:color w:val="000000"/>
                <w:sz w:val="20"/>
                <w:szCs w:val="20"/>
              </w:rPr>
              <w:t>Data Completeness (Candidates)</w:t>
            </w:r>
          </w:p>
        </w:tc>
        <w:tc>
          <w:tcPr>
            <w:tcW w:w="1200" w:type="dxa"/>
            <w:tcBorders>
              <w:top w:val="single" w:sz="6" w:space="0" w:color="DDDDDD"/>
              <w:left w:val="single" w:sz="6" w:space="0" w:color="DDDDDD"/>
              <w:bottom w:val="single" w:sz="6" w:space="0" w:color="DDDDDD"/>
              <w:right w:val="single" w:sz="6" w:space="0" w:color="DDDDDD"/>
            </w:tcBorders>
            <w:shd w:val="clear" w:color="auto" w:fill="FCE4E4"/>
            <w:tcMar>
              <w:top w:w="80" w:type="dxa"/>
              <w:left w:w="120" w:type="dxa"/>
              <w:bottom w:w="80" w:type="dxa"/>
              <w:right w:w="120" w:type="dxa"/>
            </w:tcMar>
          </w:tcPr>
          <w:p w14:paraId="4A620041" w14:textId="77777777" w:rsidR="00C02396" w:rsidRDefault="00000000">
            <w:r>
              <w:rPr>
                <w:b/>
                <w:bCs/>
                <w:color w:val="C00000"/>
                <w:sz w:val="20"/>
                <w:szCs w:val="20"/>
              </w:rPr>
              <w:t>Gap</w:t>
            </w:r>
          </w:p>
        </w:tc>
        <w:tc>
          <w:tcPr>
            <w:tcW w:w="506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2CB0A28B" w14:textId="77777777" w:rsidR="00C02396" w:rsidRDefault="00000000">
            <w:r>
              <w:rPr>
                <w:color w:val="000000"/>
                <w:sz w:val="20"/>
                <w:szCs w:val="20"/>
              </w:rPr>
              <w:t>Critical gap: 12 mock candidates vs. 3,875 claimed. Blocks production use.</w:t>
            </w:r>
          </w:p>
        </w:tc>
      </w:tr>
      <w:tr w:rsidR="00C02396" w14:paraId="2C08098D" w14:textId="77777777">
        <w:tblPrEx>
          <w:tblCellMar>
            <w:top w:w="0" w:type="dxa"/>
            <w:bottom w:w="0" w:type="dxa"/>
          </w:tblCellMar>
        </w:tblPrEx>
        <w:tc>
          <w:tcPr>
            <w:tcW w:w="300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508D52C5" w14:textId="77777777" w:rsidR="00C02396" w:rsidRDefault="00000000">
            <w:r>
              <w:rPr>
                <w:color w:val="000000"/>
                <w:sz w:val="20"/>
                <w:szCs w:val="20"/>
              </w:rPr>
              <w:t>Map Features</w:t>
            </w:r>
          </w:p>
        </w:tc>
        <w:tc>
          <w:tcPr>
            <w:tcW w:w="1200" w:type="dxa"/>
            <w:tcBorders>
              <w:top w:val="single" w:sz="6" w:space="0" w:color="DDDDDD"/>
              <w:left w:val="single" w:sz="6" w:space="0" w:color="DDDDDD"/>
              <w:bottom w:val="single" w:sz="6" w:space="0" w:color="DDDDDD"/>
              <w:right w:val="single" w:sz="6" w:space="0" w:color="DDDDDD"/>
            </w:tcBorders>
            <w:shd w:val="clear" w:color="auto" w:fill="FFF2CC"/>
            <w:tcMar>
              <w:top w:w="80" w:type="dxa"/>
              <w:left w:w="120" w:type="dxa"/>
              <w:bottom w:w="80" w:type="dxa"/>
              <w:right w:w="120" w:type="dxa"/>
            </w:tcMar>
          </w:tcPr>
          <w:p w14:paraId="58AD2EE0" w14:textId="77777777" w:rsidR="00C02396" w:rsidRDefault="00000000">
            <w:r>
              <w:rPr>
                <w:b/>
                <w:bCs/>
                <w:color w:val="BF8F00"/>
                <w:sz w:val="20"/>
                <w:szCs w:val="20"/>
              </w:rPr>
              <w:t>Partial</w:t>
            </w:r>
          </w:p>
        </w:tc>
        <w:tc>
          <w:tcPr>
            <w:tcW w:w="506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06EC2304" w14:textId="77777777" w:rsidR="00C02396" w:rsidRDefault="00000000">
            <w:r>
              <w:rPr>
                <w:color w:val="000000"/>
                <w:sz w:val="20"/>
                <w:szCs w:val="20"/>
              </w:rPr>
              <w:t>Project pins and popups work well. Transmission layer is broken (empty API response).</w:t>
            </w:r>
          </w:p>
        </w:tc>
      </w:tr>
      <w:tr w:rsidR="00C02396" w14:paraId="02535EAE" w14:textId="77777777">
        <w:tblPrEx>
          <w:tblCellMar>
            <w:top w:w="0" w:type="dxa"/>
            <w:bottom w:w="0" w:type="dxa"/>
          </w:tblCellMar>
        </w:tblPrEx>
        <w:tc>
          <w:tcPr>
            <w:tcW w:w="300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4B63296F" w14:textId="77777777" w:rsidR="00C02396" w:rsidRDefault="00000000">
            <w:r>
              <w:rPr>
                <w:color w:val="000000"/>
                <w:sz w:val="20"/>
                <w:szCs w:val="20"/>
              </w:rPr>
              <w:t>Analytical Pages (Prices, Congestion, Nodal, Queue)</w:t>
            </w:r>
          </w:p>
        </w:tc>
        <w:tc>
          <w:tcPr>
            <w:tcW w:w="1200" w:type="dxa"/>
            <w:tcBorders>
              <w:top w:val="single" w:sz="6" w:space="0" w:color="DDDDDD"/>
              <w:left w:val="single" w:sz="6" w:space="0" w:color="DDDDDD"/>
              <w:bottom w:val="single" w:sz="6" w:space="0" w:color="DDDDDD"/>
              <w:right w:val="single" w:sz="6" w:space="0" w:color="DDDDDD"/>
            </w:tcBorders>
            <w:shd w:val="clear" w:color="auto" w:fill="E2EFDA"/>
            <w:tcMar>
              <w:top w:w="80" w:type="dxa"/>
              <w:left w:w="120" w:type="dxa"/>
              <w:bottom w:w="80" w:type="dxa"/>
              <w:right w:w="120" w:type="dxa"/>
            </w:tcMar>
          </w:tcPr>
          <w:p w14:paraId="36395E8B" w14:textId="77777777" w:rsidR="00C02396" w:rsidRDefault="00000000">
            <w:r>
              <w:rPr>
                <w:b/>
                <w:bCs/>
                <w:color w:val="1E7145"/>
                <w:sz w:val="20"/>
                <w:szCs w:val="20"/>
              </w:rPr>
              <w:t>Excellent</w:t>
            </w:r>
          </w:p>
        </w:tc>
        <w:tc>
          <w:tcPr>
            <w:tcW w:w="506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51ECBE75" w14:textId="77777777" w:rsidR="00C02396" w:rsidRDefault="00000000">
            <w:r>
              <w:rPr>
                <w:color w:val="000000"/>
                <w:sz w:val="20"/>
                <w:szCs w:val="20"/>
              </w:rPr>
              <w:t>These pages represent the strongest part of the platform. Real historical data, interactive filtering, and correct market interpretation across all four pages.</w:t>
            </w:r>
          </w:p>
        </w:tc>
      </w:tr>
      <w:tr w:rsidR="00C02396" w14:paraId="38CDD83D" w14:textId="77777777">
        <w:tblPrEx>
          <w:tblCellMar>
            <w:top w:w="0" w:type="dxa"/>
            <w:bottom w:w="0" w:type="dxa"/>
          </w:tblCellMar>
        </w:tblPrEx>
        <w:tc>
          <w:tcPr>
            <w:tcW w:w="300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5363FA53" w14:textId="77777777" w:rsidR="00C02396" w:rsidRDefault="00000000">
            <w:r>
              <w:rPr>
                <w:color w:val="000000"/>
                <w:sz w:val="20"/>
                <w:szCs w:val="20"/>
              </w:rPr>
              <w:t>Q&amp;A Copilot</w:t>
            </w:r>
          </w:p>
        </w:tc>
        <w:tc>
          <w:tcPr>
            <w:tcW w:w="1200" w:type="dxa"/>
            <w:tcBorders>
              <w:top w:val="single" w:sz="6" w:space="0" w:color="DDDDDD"/>
              <w:left w:val="single" w:sz="6" w:space="0" w:color="DDDDDD"/>
              <w:bottom w:val="single" w:sz="6" w:space="0" w:color="DDDDDD"/>
              <w:right w:val="single" w:sz="6" w:space="0" w:color="DDDDDD"/>
            </w:tcBorders>
            <w:shd w:val="clear" w:color="auto" w:fill="FFF2CC"/>
            <w:tcMar>
              <w:top w:w="80" w:type="dxa"/>
              <w:left w:w="120" w:type="dxa"/>
              <w:bottom w:w="80" w:type="dxa"/>
              <w:right w:w="120" w:type="dxa"/>
            </w:tcMar>
          </w:tcPr>
          <w:p w14:paraId="3D871613" w14:textId="77777777" w:rsidR="00C02396" w:rsidRDefault="00000000">
            <w:r>
              <w:rPr>
                <w:b/>
                <w:bCs/>
                <w:color w:val="BF8F00"/>
                <w:sz w:val="20"/>
                <w:szCs w:val="20"/>
              </w:rPr>
              <w:t>Planned</w:t>
            </w:r>
          </w:p>
        </w:tc>
        <w:tc>
          <w:tcPr>
            <w:tcW w:w="506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0266B22B" w14:textId="77777777" w:rsidR="00C02396" w:rsidRDefault="00000000">
            <w:r>
              <w:rPr>
                <w:color w:val="000000"/>
                <w:sz w:val="20"/>
                <w:szCs w:val="20"/>
              </w:rPr>
              <w:t>UI is complete and well-designed. LLM backend is Phase 2 — not a current defect.</w:t>
            </w:r>
          </w:p>
        </w:tc>
      </w:tr>
      <w:tr w:rsidR="00C02396" w14:paraId="7D6510A1" w14:textId="77777777">
        <w:tblPrEx>
          <w:tblCellMar>
            <w:top w:w="0" w:type="dxa"/>
            <w:bottom w:w="0" w:type="dxa"/>
          </w:tblCellMar>
        </w:tblPrEx>
        <w:tc>
          <w:tcPr>
            <w:tcW w:w="300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4BED73FA" w14:textId="77777777" w:rsidR="00C02396" w:rsidRDefault="00000000">
            <w:r>
              <w:rPr>
                <w:color w:val="000000"/>
                <w:sz w:val="20"/>
                <w:szCs w:val="20"/>
              </w:rPr>
              <w:t>Export &amp; Reporting</w:t>
            </w:r>
          </w:p>
        </w:tc>
        <w:tc>
          <w:tcPr>
            <w:tcW w:w="1200" w:type="dxa"/>
            <w:tcBorders>
              <w:top w:val="single" w:sz="6" w:space="0" w:color="DDDDDD"/>
              <w:left w:val="single" w:sz="6" w:space="0" w:color="DDDDDD"/>
              <w:bottom w:val="single" w:sz="6" w:space="0" w:color="DDDDDD"/>
              <w:right w:val="single" w:sz="6" w:space="0" w:color="DDDDDD"/>
            </w:tcBorders>
            <w:shd w:val="clear" w:color="auto" w:fill="E2EFDA"/>
            <w:tcMar>
              <w:top w:w="80" w:type="dxa"/>
              <w:left w:w="120" w:type="dxa"/>
              <w:bottom w:w="80" w:type="dxa"/>
              <w:right w:w="120" w:type="dxa"/>
            </w:tcMar>
          </w:tcPr>
          <w:p w14:paraId="6F872A2A" w14:textId="77777777" w:rsidR="00C02396" w:rsidRDefault="00000000">
            <w:r>
              <w:rPr>
                <w:b/>
                <w:bCs/>
                <w:color w:val="1E7145"/>
                <w:sz w:val="20"/>
                <w:szCs w:val="20"/>
              </w:rPr>
              <w:t>Good</w:t>
            </w:r>
          </w:p>
        </w:tc>
        <w:tc>
          <w:tcPr>
            <w:tcW w:w="506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14:paraId="2F698020" w14:textId="77777777" w:rsidR="00C02396" w:rsidRDefault="00000000">
            <w:r>
              <w:rPr>
                <w:color w:val="000000"/>
                <w:sz w:val="20"/>
                <w:szCs w:val="20"/>
              </w:rPr>
              <w:t>CSV export contains all 8 score columns plus complete REC metadata. Ready for integration with deal team workflows.</w:t>
            </w:r>
          </w:p>
        </w:tc>
      </w:tr>
    </w:tbl>
    <w:p w14:paraId="293BFBDB" w14:textId="77777777" w:rsidR="00C02396" w:rsidRDefault="00C02396">
      <w:pPr>
        <w:spacing w:before="80" w:after="80"/>
      </w:pPr>
    </w:p>
    <w:p w14:paraId="7D39D4B3" w14:textId="77777777" w:rsidR="00C02396" w:rsidRDefault="00C02396">
      <w:pPr>
        <w:spacing w:before="80" w:after="80"/>
      </w:pPr>
    </w:p>
    <w:p w14:paraId="2EA1D68F" w14:textId="77777777" w:rsidR="00C02396" w:rsidRDefault="00000000">
      <w:pPr>
        <w:spacing w:before="60" w:after="60"/>
      </w:pPr>
      <w:r>
        <w:t>Overall: The platform's analytical foundation is strong and the market data accuracy is generally sound. The two blocking issues (mock candidates, broken transmission layer) are implementation gaps rather than design flaws — the underlying scoring model and analytical pages are production-quality. Addressing P0 issues would make the platform ready for active use by Walmart's energy procurement team.</w:t>
      </w:r>
    </w:p>
    <w:p w14:paraId="11B0E56C" w14:textId="77777777" w:rsidR="00C02396" w:rsidRDefault="00C02396">
      <w:pPr>
        <w:spacing w:before="80" w:after="80"/>
      </w:pPr>
    </w:p>
    <w:p w14:paraId="4A5E1FEC" w14:textId="77777777" w:rsidR="00C02396" w:rsidRDefault="00C02396">
      <w:pPr>
        <w:pBdr>
          <w:bottom w:val="single" w:sz="6" w:space="1" w:color="BBBBBB"/>
        </w:pBdr>
        <w:spacing w:after="160"/>
      </w:pPr>
    </w:p>
    <w:p w14:paraId="17FB89B6" w14:textId="77777777" w:rsidR="00C02396" w:rsidRDefault="00000000">
      <w:pPr>
        <w:spacing w:before="60" w:after="60"/>
      </w:pPr>
      <w:r>
        <w:rPr>
          <w:i/>
          <w:iCs/>
          <w:color w:val="888888"/>
        </w:rPr>
        <w:t>End of Report</w:t>
      </w:r>
    </w:p>
    <w:sectPr w:rsidR="00C02396">
      <w:headerReference w:type="default" r:id="rId8"/>
      <w:footerReference w:type="default" r:id="rId9"/>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C07F5" w14:textId="77777777" w:rsidR="00FC251A" w:rsidRDefault="00FC251A">
      <w:r>
        <w:separator/>
      </w:r>
    </w:p>
  </w:endnote>
  <w:endnote w:type="continuationSeparator" w:id="0">
    <w:p w14:paraId="2CE4407E" w14:textId="77777777" w:rsidR="00FC251A" w:rsidRDefault="00FC25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A8A2B" w14:textId="77777777" w:rsidR="00C02396" w:rsidRDefault="00000000">
    <w:pPr>
      <w:pBdr>
        <w:top w:val="single" w:sz="6" w:space="1" w:color="1F497D"/>
      </w:pBdr>
      <w:tabs>
        <w:tab w:val="right" w:pos="9360"/>
      </w:tabs>
    </w:pPr>
    <w:r>
      <w:rPr>
        <w:color w:val="888888"/>
        <w:sz w:val="16"/>
        <w:szCs w:val="16"/>
      </w:rPr>
      <w:t>Confidential — Walmart Energy Procurement</w:t>
    </w:r>
    <w:r>
      <w:rPr>
        <w:color w:val="888888"/>
        <w:sz w:val="16"/>
        <w:szCs w:val="16"/>
      </w:rPr>
      <w:tab/>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1A41F7">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4138E" w14:textId="77777777" w:rsidR="00FC251A" w:rsidRDefault="00FC251A">
      <w:r>
        <w:separator/>
      </w:r>
    </w:p>
  </w:footnote>
  <w:footnote w:type="continuationSeparator" w:id="0">
    <w:p w14:paraId="575325F9" w14:textId="77777777" w:rsidR="00FC251A" w:rsidRDefault="00FC25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64A7F" w14:textId="77777777" w:rsidR="00C02396" w:rsidRDefault="00000000">
    <w:pPr>
      <w:pBdr>
        <w:bottom w:val="single" w:sz="6" w:space="1" w:color="1F497D"/>
      </w:pBdr>
      <w:tabs>
        <w:tab w:val="right" w:pos="9360"/>
      </w:tabs>
    </w:pPr>
    <w:r>
      <w:rPr>
        <w:b/>
        <w:bCs/>
        <w:color w:val="1F497D"/>
        <w:sz w:val="18"/>
        <w:szCs w:val="18"/>
      </w:rPr>
      <w:t>GRID ORIGINATION INTELLIGENCE PLATFORM</w:t>
    </w:r>
    <w:r>
      <w:rPr>
        <w:color w:val="666666"/>
        <w:sz w:val="18"/>
        <w:szCs w:val="18"/>
      </w:rPr>
      <w:tab/>
    </w:r>
    <w:r>
      <w:rPr>
        <w:color w:val="666666"/>
        <w:sz w:val="18"/>
        <w:szCs w:val="18"/>
      </w:rPr>
      <w:tab/>
      <w:t>QA &amp; Functional Test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A4528"/>
    <w:multiLevelType w:val="hybridMultilevel"/>
    <w:tmpl w:val="AF362974"/>
    <w:lvl w:ilvl="0" w:tplc="AF74A55C">
      <w:start w:val="1"/>
      <w:numFmt w:val="bullet"/>
      <w:lvlText w:val="●"/>
      <w:lvlJc w:val="left"/>
      <w:pPr>
        <w:ind w:left="720" w:hanging="360"/>
      </w:pPr>
    </w:lvl>
    <w:lvl w:ilvl="1" w:tplc="48460070">
      <w:start w:val="1"/>
      <w:numFmt w:val="bullet"/>
      <w:lvlText w:val="○"/>
      <w:lvlJc w:val="left"/>
      <w:pPr>
        <w:ind w:left="1440" w:hanging="360"/>
      </w:pPr>
    </w:lvl>
    <w:lvl w:ilvl="2" w:tplc="1DB89A10">
      <w:start w:val="1"/>
      <w:numFmt w:val="bullet"/>
      <w:lvlText w:val="■"/>
      <w:lvlJc w:val="left"/>
      <w:pPr>
        <w:ind w:left="2160" w:hanging="360"/>
      </w:pPr>
    </w:lvl>
    <w:lvl w:ilvl="3" w:tplc="02E8EDDE">
      <w:start w:val="1"/>
      <w:numFmt w:val="bullet"/>
      <w:lvlText w:val="●"/>
      <w:lvlJc w:val="left"/>
      <w:pPr>
        <w:ind w:left="2880" w:hanging="360"/>
      </w:pPr>
    </w:lvl>
    <w:lvl w:ilvl="4" w:tplc="F918B3C8">
      <w:start w:val="1"/>
      <w:numFmt w:val="bullet"/>
      <w:lvlText w:val="○"/>
      <w:lvlJc w:val="left"/>
      <w:pPr>
        <w:ind w:left="3600" w:hanging="360"/>
      </w:pPr>
    </w:lvl>
    <w:lvl w:ilvl="5" w:tplc="8E362792">
      <w:start w:val="1"/>
      <w:numFmt w:val="bullet"/>
      <w:lvlText w:val="■"/>
      <w:lvlJc w:val="left"/>
      <w:pPr>
        <w:ind w:left="4320" w:hanging="360"/>
      </w:pPr>
    </w:lvl>
    <w:lvl w:ilvl="6" w:tplc="5E5458FC">
      <w:start w:val="1"/>
      <w:numFmt w:val="bullet"/>
      <w:lvlText w:val="●"/>
      <w:lvlJc w:val="left"/>
      <w:pPr>
        <w:ind w:left="5040" w:hanging="360"/>
      </w:pPr>
    </w:lvl>
    <w:lvl w:ilvl="7" w:tplc="24F67D26">
      <w:start w:val="1"/>
      <w:numFmt w:val="bullet"/>
      <w:lvlText w:val="●"/>
      <w:lvlJc w:val="left"/>
      <w:pPr>
        <w:ind w:left="5760" w:hanging="360"/>
      </w:pPr>
    </w:lvl>
    <w:lvl w:ilvl="8" w:tplc="91F86FAA">
      <w:start w:val="1"/>
      <w:numFmt w:val="bullet"/>
      <w:lvlText w:val="●"/>
      <w:lvlJc w:val="left"/>
      <w:pPr>
        <w:ind w:left="6480" w:hanging="360"/>
      </w:pPr>
    </w:lvl>
  </w:abstractNum>
  <w:abstractNum w:abstractNumId="1" w15:restartNumberingAfterBreak="0">
    <w:nsid w:val="277A2FCD"/>
    <w:multiLevelType w:val="hybridMultilevel"/>
    <w:tmpl w:val="FFD4267A"/>
    <w:lvl w:ilvl="0" w:tplc="9EF24854">
      <w:start w:val="1"/>
      <w:numFmt w:val="bullet"/>
      <w:lvlText w:val="•"/>
      <w:lvlJc w:val="left"/>
      <w:pPr>
        <w:ind w:left="720" w:hanging="360"/>
      </w:pPr>
    </w:lvl>
    <w:lvl w:ilvl="1" w:tplc="20F006EE">
      <w:start w:val="1"/>
      <w:numFmt w:val="bullet"/>
      <w:lvlText w:val="◦"/>
      <w:lvlJc w:val="left"/>
      <w:pPr>
        <w:ind w:left="1080" w:hanging="360"/>
      </w:pPr>
    </w:lvl>
    <w:lvl w:ilvl="2" w:tplc="34841ADE">
      <w:numFmt w:val="decimal"/>
      <w:lvlText w:val=""/>
      <w:lvlJc w:val="left"/>
    </w:lvl>
    <w:lvl w:ilvl="3" w:tplc="3598710C">
      <w:numFmt w:val="decimal"/>
      <w:lvlText w:val=""/>
      <w:lvlJc w:val="left"/>
    </w:lvl>
    <w:lvl w:ilvl="4" w:tplc="38FED176">
      <w:numFmt w:val="decimal"/>
      <w:lvlText w:val=""/>
      <w:lvlJc w:val="left"/>
    </w:lvl>
    <w:lvl w:ilvl="5" w:tplc="243EE94A">
      <w:numFmt w:val="decimal"/>
      <w:lvlText w:val=""/>
      <w:lvlJc w:val="left"/>
    </w:lvl>
    <w:lvl w:ilvl="6" w:tplc="3ED2661C">
      <w:numFmt w:val="decimal"/>
      <w:lvlText w:val=""/>
      <w:lvlJc w:val="left"/>
    </w:lvl>
    <w:lvl w:ilvl="7" w:tplc="B6009C9A">
      <w:numFmt w:val="decimal"/>
      <w:lvlText w:val=""/>
      <w:lvlJc w:val="left"/>
    </w:lvl>
    <w:lvl w:ilvl="8" w:tplc="28EA1A72">
      <w:numFmt w:val="decimal"/>
      <w:lvlText w:val=""/>
      <w:lvlJc w:val="left"/>
    </w:lvl>
  </w:abstractNum>
  <w:abstractNum w:abstractNumId="2" w15:restartNumberingAfterBreak="0">
    <w:nsid w:val="279F267F"/>
    <w:multiLevelType w:val="hybridMultilevel"/>
    <w:tmpl w:val="21AAC098"/>
    <w:lvl w:ilvl="0" w:tplc="27401E00">
      <w:start w:val="1"/>
      <w:numFmt w:val="decimal"/>
      <w:lvlText w:val="%1."/>
      <w:lvlJc w:val="left"/>
      <w:pPr>
        <w:ind w:left="720" w:hanging="360"/>
      </w:pPr>
    </w:lvl>
    <w:lvl w:ilvl="1" w:tplc="2EEEBC5E">
      <w:numFmt w:val="decimal"/>
      <w:lvlText w:val=""/>
      <w:lvlJc w:val="left"/>
    </w:lvl>
    <w:lvl w:ilvl="2" w:tplc="EDAEC042">
      <w:numFmt w:val="decimal"/>
      <w:lvlText w:val=""/>
      <w:lvlJc w:val="left"/>
    </w:lvl>
    <w:lvl w:ilvl="3" w:tplc="4C70B374">
      <w:numFmt w:val="decimal"/>
      <w:lvlText w:val=""/>
      <w:lvlJc w:val="left"/>
    </w:lvl>
    <w:lvl w:ilvl="4" w:tplc="0D9A1924">
      <w:numFmt w:val="decimal"/>
      <w:lvlText w:val=""/>
      <w:lvlJc w:val="left"/>
    </w:lvl>
    <w:lvl w:ilvl="5" w:tplc="F982AA8A">
      <w:numFmt w:val="decimal"/>
      <w:lvlText w:val=""/>
      <w:lvlJc w:val="left"/>
    </w:lvl>
    <w:lvl w:ilvl="6" w:tplc="15362632">
      <w:numFmt w:val="decimal"/>
      <w:lvlText w:val=""/>
      <w:lvlJc w:val="left"/>
    </w:lvl>
    <w:lvl w:ilvl="7" w:tplc="D6C03058">
      <w:numFmt w:val="decimal"/>
      <w:lvlText w:val=""/>
      <w:lvlJc w:val="left"/>
    </w:lvl>
    <w:lvl w:ilvl="8" w:tplc="EBD87FBA">
      <w:numFmt w:val="decimal"/>
      <w:lvlText w:val=""/>
      <w:lvlJc w:val="left"/>
    </w:lvl>
  </w:abstractNum>
  <w:num w:numId="1" w16cid:durableId="1700937717">
    <w:abstractNumId w:val="0"/>
    <w:lvlOverride w:ilvl="0">
      <w:startOverride w:val="1"/>
    </w:lvlOverride>
  </w:num>
  <w:num w:numId="2" w16cid:durableId="3985275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2396"/>
    <w:rsid w:val="001A41F7"/>
    <w:rsid w:val="009C0DAD"/>
    <w:rsid w:val="00C02396"/>
    <w:rsid w:val="00FC251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ABC66"/>
  <w15:docId w15:val="{0846AE6B-A3F2-4BD3-B3BB-061574575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97D"/>
      <w:sz w:val="32"/>
      <w:szCs w:val="32"/>
    </w:rPr>
  </w:style>
  <w:style w:type="paragraph" w:styleId="Heading2">
    <w:name w:val="heading 2"/>
    <w:uiPriority w:val="9"/>
    <w:unhideWhenUsed/>
    <w:qFormat/>
    <w:pPr>
      <w:spacing w:before="260" w:after="120"/>
      <w:outlineLvl w:val="1"/>
    </w:pPr>
    <w:rPr>
      <w:b/>
      <w:bCs/>
      <w:color w:val="1F497D"/>
      <w:sz w:val="26"/>
      <w:szCs w:val="26"/>
    </w:rPr>
  </w:style>
  <w:style w:type="paragraph" w:styleId="Heading3">
    <w:name w:val="heading 3"/>
    <w:uiPriority w:val="9"/>
    <w:unhideWhenUsed/>
    <w:qFormat/>
    <w:pPr>
      <w:spacing w:before="200" w:after="10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origination-intelligence-platform.replit.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2561</Words>
  <Characters>14603</Characters>
  <Application>Microsoft Office Word</Application>
  <DocSecurity>0</DocSecurity>
  <Lines>121</Lines>
  <Paragraphs>34</Paragraphs>
  <ScaleCrop>false</ScaleCrop>
  <Company/>
  <LinksUpToDate>false</LinksUpToDate>
  <CharactersWithSpaces>17130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Amol Javahire</cp:lastModifiedBy>
  <cp:revision>2</cp:revision>
  <dcterms:created xsi:type="dcterms:W3CDTF">2026-06-16T06:54:00Z</dcterms:created>
  <dcterms:modified xsi:type="dcterms:W3CDTF">2026-06-16T06:54:00Z</dcterms:modified>
</cp:coreProperties>
</file>