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Grid Intelligence Platform</w:t>
      </w:r>
    </w:p>
    <w:p>
      <w:pPr>
        <w:jc w:val="center"/>
      </w:pPr>
      <w:r>
        <w:rPr>
          <w:b/>
          <w:sz w:val="28"/>
        </w:rPr>
        <w:t>Tab-by-Tab Data Catalogue</w:t>
      </w:r>
    </w:p>
    <w:p>
      <w:r>
        <w:t>40 routes · 7 functional groups · All data sources, DB tables, calculations, and visualisations</w:t>
      </w:r>
    </w:p>
    <w:p>
      <w:r>
        <w:br w:type="page"/>
      </w:r>
    </w:p>
    <w:p>
      <w:pPr>
        <w:pStyle w:val="Heading1"/>
      </w:pPr>
      <w:r>
        <w:rPr>
          <w:color w:val="0F172A"/>
        </w:rPr>
        <w:t>GROUP 1: Core Intelligence</w:t>
      </w:r>
    </w:p>
    <w:p>
      <w:pPr>
        <w:pStyle w:val="Heading2"/>
      </w:pPr>
      <w:r>
        <w:rPr>
          <w:color w:val="145386"/>
        </w:rPr>
        <w:t>1. Dashboard  (/)</w:t>
      </w:r>
    </w:p>
    <w:p>
      <w:r>
        <w:t>Purpose: Market cockpit and screening launch pad.</w:t>
      </w:r>
    </w:p>
    <w:p>
      <w:r>
        <w:t>API &amp; Tables:</w:t>
      </w:r>
    </w:p>
    <w:p>
      <w:pPr>
        <w:pStyle w:val="ListBullet"/>
      </w:pPr>
      <w:r>
        <w:t>GET /api/dashboard/summary → candidates table: COUNT(*) total/active, SUM(capacity_mw), AVG(overall_score)</w:t>
      </w:r>
    </w:p>
    <w:p>
      <w:pPr>
        <w:pStyle w:val="ListBullet"/>
      </w:pPr>
      <w:r>
        <w:t>GET /api/dashboard/market-breakdown → candidates GROUP BY market + asset_type: COUNT, SUM(capacity_mw) → divided by 1,000 to show GW</w:t>
      </w:r>
    </w:p>
    <w:p>
      <w:r>
        <w:t>Visuals:</w:t>
      </w:r>
    </w:p>
    <w:p>
      <w:pPr>
        <w:pStyle w:val="ListBullet"/>
      </w:pPr>
      <w:r>
        <w:t>4 KPI cards: Active Candidates, Total Capacity MW, Avg Score, Queue Project Count</w:t>
      </w:r>
    </w:p>
    <w:p>
      <w:pPr>
        <w:pStyle w:val="ListBullet"/>
      </w:pPr>
      <w:r>
        <w:t>Stacked bar chart: ERCOT vs CAISO capacity in GW by fuel type (Solar/Wind/Storage/Gas/Hydro/Nuclear/Geothermal/Biomass)</w:t>
      </w:r>
    </w:p>
    <w:p>
      <w:r>
        <w:t>Screening form: Market × Asset Type × Investment Objective → navigates to /rankings with URL params.</w:t>
      </w:r>
    </w:p>
    <w:p>
      <w:pPr>
        <w:pStyle w:val="Heading2"/>
      </w:pPr>
      <w:r>
        <w:rPr>
          <w:color w:val="145386"/>
        </w:rPr>
        <w:t>2. Candidate Rankings  (/rankings)</w:t>
      </w:r>
    </w:p>
    <w:p>
      <w:r>
        <w:t>Purpose: Rank all 3,875 EIA 860 operational plants on 8 real-data dimensions, re-weighted by investment objective.</w:t>
      </w:r>
    </w:p>
    <w:p>
      <w:r>
        <w:t>API &amp; Tables:</w:t>
      </w:r>
    </w:p>
    <w:p>
      <w:pPr>
        <w:pStyle w:val="ListBullet"/>
      </w:pPr>
      <w:r>
        <w:t>GET /api/candidates?market=&amp;assetType= → candidates table (all 8 score fields + REC fields)</w:t>
      </w:r>
    </w:p>
    <w:p>
      <w:r>
        <w:t>8 Score Dimensions (all 0–100):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Key</w:t>
            </w:r>
          </w:p>
        </w:tc>
        <w:tc>
          <w:tcPr>
            <w:tcW w:type="dxa" w:w="3024"/>
          </w:tcPr>
          <w:p>
            <w:r>
              <w:rPr>
                <w:b/>
              </w:rPr>
              <w:t>Data Source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t>Curtailment</w:t>
            </w:r>
          </w:p>
        </w:tc>
        <w:tc>
          <w:tcPr>
            <w:tcW w:type="dxa" w:w="3024"/>
          </w:tcPr>
          <w:p>
            <w:r>
              <w:t>curtailmentScore</w:t>
            </w:r>
          </w:p>
        </w:tc>
        <w:tc>
          <w:tcPr>
            <w:tcW w:type="dxa" w:w="3024"/>
          </w:tcPr>
          <w:p>
            <w:r>
              <w:t>neg_price_percent from ercot_node_stats / OASIS / pjm_node_stats × asset-type multiplier</w:t>
            </w:r>
          </w:p>
        </w:tc>
      </w:tr>
      <w:tr>
        <w:tc>
          <w:tcPr>
            <w:tcW w:type="dxa" w:w="3024"/>
          </w:tcPr>
          <w:p>
            <w:r>
              <w:t>Congestion</w:t>
            </w:r>
          </w:p>
        </w:tc>
        <w:tc>
          <w:tcPr>
            <w:tcW w:type="dxa" w:w="3024"/>
          </w:tcPr>
          <w:p>
            <w:r>
              <w:t>interconnectionScore</w:t>
            </w:r>
          </w:p>
        </w:tc>
        <w:tc>
          <w:tcPr>
            <w:tcW w:type="dxa" w:w="3024"/>
          </w:tcPr>
          <w:p>
            <w:r>
              <w:t>DA price basis vs market avg + volatility penalty — ercot_node_stats, OASIS, pjm_node_stats</w:t>
            </w:r>
          </w:p>
        </w:tc>
      </w:tr>
      <w:tr>
        <w:tc>
          <w:tcPr>
            <w:tcW w:type="dxa" w:w="3024"/>
          </w:tcPr>
          <w:p>
            <w:r>
              <w:t>Basis Risk</w:t>
            </w:r>
          </w:p>
        </w:tc>
        <w:tc>
          <w:tcPr>
            <w:tcW w:type="dxa" w:w="3024"/>
          </w:tcPr>
          <w:p>
            <w:r>
              <w:t>locationScore</w:t>
            </w:r>
          </w:p>
        </w:tc>
        <w:tc>
          <w:tcPr>
            <w:tcW w:type="dxa" w:w="3024"/>
          </w:tcPr>
          <w:p>
            <w:r>
              <w:t>StdDev of monthly DA prices (price predictability for PPA settlement)</w:t>
            </w:r>
          </w:p>
        </w:tc>
      </w:tr>
      <w:tr>
        <w:tc>
          <w:tcPr>
            <w:tcW w:type="dxa" w:w="3024"/>
          </w:tcPr>
          <w:p>
            <w:r>
              <w:t>Capture Price</w:t>
            </w:r>
          </w:p>
        </w:tc>
        <w:tc>
          <w:tcPr>
            <w:tcW w:type="dxa" w:w="3024"/>
          </w:tcPr>
          <w:p>
            <w:r>
              <w:t>priceScore</w:t>
            </w:r>
          </w:p>
        </w:tc>
        <w:tc>
          <w:tcPr>
            <w:tcW w:type="dxa" w:w="3024"/>
          </w:tcPr>
          <w:p>
            <w:r>
              <w:t>Hub DA avg × technology timing-capture ratio (wind 82%, solar 103%, storage 118%)</w:t>
            </w:r>
          </w:p>
        </w:tc>
      </w:tr>
      <w:tr>
        <w:tc>
          <w:tcPr>
            <w:tcW w:type="dxa" w:w="3024"/>
          </w:tcPr>
          <w:p>
            <w:r>
              <w:t>Capacity</w:t>
            </w:r>
          </w:p>
        </w:tc>
        <w:tc>
          <w:tcPr>
            <w:tcW w:type="dxa" w:w="3024"/>
          </w:tcPr>
          <w:p>
            <w:r>
              <w:t>demandProximityScore</w:t>
            </w:r>
          </w:p>
        </w:tc>
        <w:tc>
          <w:tcPr>
            <w:tcW w:type="dxa" w:w="3024"/>
          </w:tcPr>
          <w:p>
            <w:r>
              <w:t>Log-scaled plant nameplate MW (100→58, 500→76, 2,000→93)</w:t>
            </w:r>
          </w:p>
        </w:tc>
      </w:tr>
      <w:tr>
        <w:tc>
          <w:tcPr>
            <w:tcW w:type="dxa" w:w="3024"/>
          </w:tcPr>
          <w:p>
            <w:r>
              <w:t>Mkt Revenue</w:t>
            </w:r>
          </w:p>
        </w:tc>
        <w:tc>
          <w:tcPr>
            <w:tcW w:type="dxa" w:w="3024"/>
          </w:tcPr>
          <w:p>
            <w:r>
              <w:t>financialScore</w:t>
            </w:r>
          </w:p>
        </w:tc>
        <w:tc>
          <w:tcPr>
            <w:tcW w:type="dxa" w:w="3024"/>
          </w:tcPr>
          <w:p>
            <w:r>
              <w:t>capacity_mw × CF × hub_da_price × capture_ratio × 8,760 — log-scaled</w:t>
            </w:r>
          </w:p>
        </w:tc>
      </w:tr>
      <w:tr>
        <w:tc>
          <w:tcPr>
            <w:tcW w:type="dxa" w:w="3024"/>
          </w:tcPr>
          <w:p>
            <w:r>
              <w:t>Interconnect Risk</w:t>
            </w:r>
          </w:p>
        </w:tc>
        <w:tc>
          <w:tcPr>
            <w:tcW w:type="dxa" w:w="3024"/>
          </w:tcPr>
          <w:p>
            <w:r>
              <w:t>developmentRiskScore</w:t>
            </w:r>
          </w:p>
        </w:tc>
        <w:tc>
          <w:tcPr>
            <w:tcW w:type="dxa" w:w="3024"/>
          </w:tcPr>
          <w:p>
            <w:r>
              <w:t>Total MW in queue for same zone (queue_projects) — higher queue MW = lower score</w:t>
            </w:r>
          </w:p>
        </w:tc>
      </w:tr>
      <w:tr>
        <w:tc>
          <w:tcPr>
            <w:tcW w:type="dxa" w:w="3024"/>
          </w:tcPr>
          <w:p>
            <w:r>
              <w:t>RECs/Yr</w:t>
            </w:r>
          </w:p>
        </w:tc>
        <w:tc>
          <w:tcPr>
            <w:tcW w:type="dxa" w:w="3024"/>
          </w:tcPr>
          <w:p>
            <w:r>
              <w:t>environmentalScore</w:t>
            </w:r>
          </w:p>
        </w:tc>
        <w:tc>
          <w:tcPr>
            <w:tcW w:type="dxa" w:w="3024"/>
          </w:tcPr>
          <w:p>
            <w:r>
              <w:t>annual_mwh × rec_price — ERCOT TRC ~$1.50/MWh, CAISO WREGIS ~$10–12/MWh; gas/nuclear = 0</w:t>
            </w:r>
          </w:p>
        </w:tc>
      </w:tr>
    </w:tbl>
    <w:p/>
    <w:p>
      <w:r>
        <w:t>6 Investment Objectives (re-weighted in browser, no extra API call):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4536"/>
          </w:tcPr>
          <w:p>
            <w:r>
              <w:rPr>
                <w:b/>
              </w:rPr>
              <w:t>Key Weight Emphasis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r>
              <w:t>Risk-Adjusted Value</w:t>
            </w:r>
          </w:p>
        </w:tc>
        <w:tc>
          <w:tcPr>
            <w:tcW w:type="dxa" w:w="4536"/>
          </w:tcPr>
          <w:p>
            <w:r>
              <w:t>Curtailment 22% · Congestion 18% · Basis 15%</w:t>
            </w:r>
          </w:p>
        </w:tc>
      </w:tr>
      <w:tr>
        <w:tc>
          <w:tcPr>
            <w:tcW w:type="dxa" w:w="4536"/>
          </w:tcPr>
          <w:p>
            <w:r>
              <w:t>Lowest LCOE</w:t>
            </w:r>
          </w:p>
        </w:tc>
        <w:tc>
          <w:tcPr>
            <w:tcW w:type="dxa" w:w="4536"/>
          </w:tcPr>
          <w:p>
            <w:r>
              <w:t>Capture Price 30% · Curtailment 22%</w:t>
            </w:r>
          </w:p>
        </w:tc>
      </w:tr>
      <w:tr>
        <w:tc>
          <w:tcPr>
            <w:tcW w:type="dxa" w:w="4536"/>
          </w:tcPr>
          <w:p>
            <w:r>
              <w:t>Corporate Load Hedge</w:t>
            </w:r>
          </w:p>
        </w:tc>
        <w:tc>
          <w:tcPr>
            <w:tcW w:type="dxa" w:w="4536"/>
          </w:tcPr>
          <w:p>
            <w:r>
              <w:t>Curtailment 30% · Congestion 22% · Basis 18%</w:t>
            </w:r>
          </w:p>
        </w:tc>
      </w:tr>
      <w:tr>
        <w:tc>
          <w:tcPr>
            <w:tcW w:type="dxa" w:w="4536"/>
          </w:tcPr>
          <w:p>
            <w:r>
              <w:t>Decarbonization</w:t>
            </w:r>
          </w:p>
        </w:tc>
        <w:tc>
          <w:tcPr>
            <w:tcW w:type="dxa" w:w="4536"/>
          </w:tcPr>
          <w:p>
            <w:r>
              <w:t>Capacity 25% · Curtailment 22% · RECs 20%</w:t>
            </w:r>
          </w:p>
        </w:tc>
      </w:tr>
      <w:tr>
        <w:tc>
          <w:tcPr>
            <w:tcW w:type="dxa" w:w="4536"/>
          </w:tcPr>
          <w:p>
            <w:r>
              <w:t>Capacity Value</w:t>
            </w:r>
          </w:p>
        </w:tc>
        <w:tc>
          <w:tcPr>
            <w:tcW w:type="dxa" w:w="4536"/>
          </w:tcPr>
          <w:p>
            <w:r>
              <w:t>Capacity 35% · Curtailment 18%</w:t>
            </w:r>
          </w:p>
        </w:tc>
      </w:tr>
      <w:tr>
        <w:tc>
          <w:tcPr>
            <w:tcW w:type="dxa" w:w="4536"/>
          </w:tcPr>
          <w:p>
            <w:r>
              <w:t>Merchant Upside</w:t>
            </w:r>
          </w:p>
        </w:tc>
        <w:tc>
          <w:tcPr>
            <w:tcW w:type="dxa" w:w="4536"/>
          </w:tcPr>
          <w:p>
            <w:r>
              <w:t>Capture Price 35% · Basis 20% · Mkt Revenue 18%</w:t>
            </w:r>
          </w:p>
        </w:tc>
      </w:tr>
    </w:tbl>
    <w:p/>
    <w:p>
      <w:r>
        <w:t>Objective score = Σ(dimension_score × weight) — computed in browser.</w:t>
      </w:r>
    </w:p>
    <w:p>
      <w:r>
        <w:t>Score colour bands: ≥75 = emerald · ≥60 = teal · ≥45 = amber · &lt;45 = red</w:t>
      </w:r>
    </w:p>
    <w:p>
      <w:r>
        <w:t>Actions: Export CSV (all 8 dims + REC fields), Save Screening (writes to screenings table), Delete candidate, Sort by any column.</w:t>
      </w:r>
    </w:p>
    <w:p>
      <w:pPr>
        <w:pStyle w:val="Heading2"/>
      </w:pPr>
      <w:r>
        <w:rPr>
          <w:color w:val="145386"/>
        </w:rPr>
        <w:t>3. Map Workspace  (/map)</w:t>
      </w:r>
    </w:p>
    <w:p>
      <w:r>
        <w:t>Purpose: Spatial view of every EIA plant, queue project, transmission line, and data center.</w:t>
      </w:r>
    </w:p>
    <w:p>
      <w:r>
        <w:t>Data sources:</w:t>
      </w:r>
    </w:p>
    <w:p>
      <w:pPr>
        <w:pStyle w:val="ListBullet"/>
      </w:pPr>
      <w:r>
        <w:t>GET /api/candidates?limit=5000 → candidates — coloured circles by ISO market (ERCOT=teal, CAISO=blue, PJM=purple); filtered by fuel type + MW range slider (log scale 1–3,000 MW)</w:t>
      </w:r>
    </w:p>
    <w:p>
      <w:pPr>
        <w:pStyle w:val="ListBullet"/>
      </w:pPr>
      <w:r>
        <w:t>GET /api/queue-projects → queue_projects — diamond markers by fuel type colour</w:t>
      </w:r>
    </w:p>
    <w:p>
      <w:pPr>
        <w:pStyle w:val="ListBullet"/>
      </w:pPr>
      <w:r>
        <w:t>GET /api/transmission-lines?minVoltage=115 → transmission_lines (23,674 HIFLD lines) — lazy-loaded on toggle; GeoJSON polylines colour-coded by 7 voltage bands (735kV+ red → &lt;31kV grey)</w:t>
      </w:r>
    </w:p>
    <w:p>
      <w:pPr>
        <w:pStyle w:val="ListBullet"/>
      </w:pPr>
      <w:r>
        <w:t>OpenStreetMap Overpass API (external) — building=data_center query, bounding box US — sky-blue square markers, lazy-loaded</w:t>
      </w:r>
    </w:p>
    <w:p>
      <w:r>
        <w:t>Filters: ISO market toggle, fuel type per layer, MW range slider, voltage band checkboxes.</w:t>
      </w:r>
    </w:p>
    <w:p>
      <w:pPr>
        <w:pStyle w:val="Heading2"/>
      </w:pPr>
      <w:r>
        <w:rPr>
          <w:color w:val="145386"/>
        </w:rPr>
        <w:t>4. Saved Screenings  (/screenings)</w:t>
      </w:r>
    </w:p>
    <w:p>
      <w:r>
        <w:t>API: GET /api/screenings → screenings table. Stores name, market, asset type, objective, candidate ID list, created timestamp.</w:t>
      </w:r>
    </w:p>
    <w:p>
      <w:pPr>
        <w:pStyle w:val="Heading2"/>
      </w:pPr>
      <w:r>
        <w:rPr>
          <w:color w:val="145386"/>
        </w:rPr>
        <w:t>5. Export Center  (/export)</w:t>
      </w:r>
    </w:p>
    <w:p>
      <w:r>
        <w:t>Frontend-driven CSV/JSON export of candidates with custom column selection. No separate API call beyond the standard candidates fetch.</w:t>
      </w:r>
    </w:p>
    <w:p>
      <w:pPr>
        <w:pStyle w:val="Heading2"/>
      </w:pPr>
      <w:r>
        <w:rPr>
          <w:color w:val="145386"/>
        </w:rPr>
        <w:t>6. Q&amp;A Copilot  (/qa)</w:t>
      </w:r>
    </w:p>
    <w:p>
      <w:r>
        <w:t>Purpose: Natural language interface over all platform data + PyPSA simulations + live web search.</w:t>
      </w:r>
    </w:p>
    <w:p>
      <w:r>
        <w:t>API: POST /api/chat → streaming SSE</w:t>
      </w:r>
    </w:p>
    <w:p>
      <w:r>
        <w:t>4 tools the LLM can invoke:</w:t>
      </w:r>
    </w:p>
    <w:p>
      <w:pPr>
        <w:pStyle w:val="ListBullet"/>
      </w:pPr>
      <w:r>
        <w:t>run_sql — parameterised SQL against any DB table; results rendered as paginated table or Recharts line/bar chart inline in chat</w:t>
      </w:r>
    </w:p>
    <w:p>
      <w:pPr>
        <w:pStyle w:val="ListBullet"/>
      </w:pPr>
      <w:r>
        <w:t>run_simulation — calls PyPSA engine directly (localhost:8083); renders SimulationResultBlock with LMP bar chart + stats cards; emits simulation_start / simulation_done SSE events</w:t>
      </w:r>
    </w:p>
    <w:p>
      <w:pPr>
        <w:pStyle w:val="ListBullet"/>
      </w:pPr>
      <w:r>
        <w:t>web_search — live web search; renders source URLs and snippet cards</w:t>
      </w:r>
    </w:p>
    <w:p>
      <w:pPr>
        <w:pStyle w:val="ListBullet"/>
      </w:pPr>
      <w:r>
        <w:t>get_candidate_info — pulls a specific candidate from candidates table by name</w:t>
      </w:r>
    </w:p>
    <w:p>
      <w:r>
        <w:t>SSE event flow: sql_query (badge) → sql_done/sql_error → table / chart / simulation / websearch / content events streamed to chat panel.</w:t>
      </w:r>
    </w:p>
    <w:p>
      <w:r>
        <w:br w:type="page"/>
      </w:r>
    </w:p>
    <w:p>
      <w:pPr>
        <w:pStyle w:val="Heading1"/>
      </w:pPr>
      <w:r>
        <w:rPr>
          <w:color w:val="0F172A"/>
        </w:rPr>
        <w:t>GROUP 2: Market Data — Historical</w:t>
      </w:r>
    </w:p>
    <w:p>
      <w:pPr>
        <w:pStyle w:val="Heading2"/>
      </w:pPr>
      <w:r>
        <w:rPr>
          <w:color w:val="145386"/>
        </w:rPr>
        <w:t>7. ERCOT Historical  (/ercot)</w:t>
      </w:r>
    </w:p>
    <w:p>
      <w:r>
        <w:t>Purpose: Full historical price, load, fuel mix, and hourly analysis for ERCOT.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Tab</w:t>
            </w:r>
          </w:p>
        </w:tc>
        <w:tc>
          <w:tcPr>
            <w:tcW w:type="dxa" w:w="2268"/>
          </w:tcPr>
          <w:p>
            <w:r>
              <w:rPr>
                <w:b/>
              </w:rPr>
              <w:t>API</w:t>
            </w:r>
          </w:p>
        </w:tc>
        <w:tc>
          <w:tcPr>
            <w:tcW w:type="dxa" w:w="2268"/>
          </w:tcPr>
          <w:p>
            <w:r>
              <w:rPr>
                <w:b/>
              </w:rPr>
              <w:t>DB Table</w:t>
            </w:r>
          </w:p>
        </w:tc>
        <w:tc>
          <w:tcPr>
            <w:tcW w:type="dxa" w:w="2268"/>
          </w:tcPr>
          <w:p>
            <w:r>
              <w:rPr>
                <w:b/>
              </w:rPr>
              <w:t>What It Shows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t>DA/RT Prices</w:t>
            </w:r>
          </w:p>
        </w:tc>
        <w:tc>
          <w:tcPr>
            <w:tcW w:type="dxa" w:w="2268"/>
          </w:tcPr>
          <w:p>
            <w:r>
              <w:t>useListErcotNodeStats({node, year})</w:t>
            </w:r>
          </w:p>
        </w:tc>
        <w:tc>
          <w:tcPr>
            <w:tcW w:type="dxa" w:w="2268"/>
          </w:tcPr>
          <w:p>
            <w:r>
              <w:t>ercot_node_stats</w:t>
            </w:r>
          </w:p>
        </w:tc>
        <w:tc>
          <w:tcPr>
            <w:tcW w:type="dxa" w:w="2268"/>
          </w:tcPr>
          <w:p>
            <w:r>
              <w:t>Monthly DA vs RT line chart. 15 nodes selectable. YoY overlay toggle.</w:t>
            </w:r>
          </w:p>
        </w:tc>
      </w:tr>
      <w:tr>
        <w:tc>
          <w:tcPr>
            <w:tcW w:type="dxa" w:w="2268"/>
          </w:tcPr>
          <w:p>
            <w:r>
              <w:t>On/Off-Peak</w:t>
            </w:r>
          </w:p>
        </w:tc>
        <w:tc>
          <w:tcPr>
            <w:tcW w:type="dxa" w:w="2268"/>
          </w:tcPr>
          <w:p>
            <w:r>
              <w:t>Same</w:t>
            </w:r>
          </w:p>
        </w:tc>
        <w:tc>
          <w:tcPr>
            <w:tcW w:type="dxa" w:w="2268"/>
          </w:tcPr>
          <w:p>
            <w:r>
              <w:t>ercot_node_stats</w:t>
            </w:r>
          </w:p>
        </w:tc>
        <w:tc>
          <w:tcPr>
            <w:tcW w:type="dxa" w:w="2268"/>
          </w:tcPr>
          <w:p>
            <w:r>
              <w:t>Monthly on-peak avg (HE07–22) vs off-peak avg bar chart</w:t>
            </w:r>
          </w:p>
        </w:tc>
      </w:tr>
      <w:tr>
        <w:tc>
          <w:tcPr>
            <w:tcW w:type="dxa" w:w="2268"/>
          </w:tcPr>
          <w:p>
            <w:r>
              <w:t>Volatility &amp; Neg. Prices</w:t>
            </w:r>
          </w:p>
        </w:tc>
        <w:tc>
          <w:tcPr>
            <w:tcW w:type="dxa" w:w="2268"/>
          </w:tcPr>
          <w:p>
            <w:r>
              <w:t>Same</w:t>
            </w:r>
          </w:p>
        </w:tc>
        <w:tc>
          <w:tcPr>
            <w:tcW w:type="dxa" w:w="2268"/>
          </w:tcPr>
          <w:p>
            <w:r>
              <w:t>ercot_node_stats</w:t>
            </w:r>
          </w:p>
        </w:tc>
        <w:tc>
          <w:tcPr>
            <w:tcW w:type="dxa" w:w="2268"/>
          </w:tcPr>
          <w:p>
            <w:r>
              <w:t>Monthly volatility (StdDev) bar + neg_price_percent line</w:t>
            </w:r>
          </w:p>
        </w:tc>
      </w:tr>
      <w:tr>
        <w:tc>
          <w:tcPr>
            <w:tcW w:type="dxa" w:w="2268"/>
          </w:tcPr>
          <w:p>
            <w:r>
              <w:t>Zone Load</w:t>
            </w:r>
          </w:p>
        </w:tc>
        <w:tc>
          <w:tcPr>
            <w:tcW w:type="dxa" w:w="2268"/>
          </w:tcPr>
          <w:p>
            <w:r>
              <w:t>GET /api/ercot/load-by-zone?year=</w:t>
            </w:r>
          </w:p>
        </w:tc>
        <w:tc>
          <w:tcPr>
            <w:tcW w:type="dxa" w:w="2268"/>
          </w:tcPr>
          <w:p>
            <w:r>
              <w:t>ercot_load_by_zone</w:t>
            </w:r>
          </w:p>
        </w:tc>
        <w:tc>
          <w:tcPr>
            <w:tcW w:type="dxa" w:w="2268"/>
          </w:tcPr>
          <w:p>
            <w:r>
              <w:t>Stacked area by 8 EIA-930 weather zones. Peak load card.</w:t>
            </w:r>
          </w:p>
        </w:tc>
      </w:tr>
      <w:tr>
        <w:tc>
          <w:tcPr>
            <w:tcW w:type="dxa" w:w="2268"/>
          </w:tcPr>
          <w:p>
            <w:r>
              <w:t>Fuel Mix</w:t>
            </w:r>
          </w:p>
        </w:tc>
        <w:tc>
          <w:tcPr>
            <w:tcW w:type="dxa" w:w="2268"/>
          </w:tcPr>
          <w:p>
            <w:r>
              <w:t>GET /api/ercot/fuel-mix?year=</w:t>
            </w:r>
          </w:p>
        </w:tc>
        <w:tc>
          <w:tcPr>
            <w:tcW w:type="dxa" w:w="2268"/>
          </w:tcPr>
          <w:p>
            <w:r>
              <w:t>ercot_fuel_mix</w:t>
            </w:r>
          </w:p>
        </w:tc>
        <w:tc>
          <w:tcPr>
            <w:tcW w:type="dxa" w:w="2268"/>
          </w:tcPr>
          <w:p>
            <w:r>
              <w:t>Stacked area: Gas/Wind/Solar/Nuclear/Coal/Hydro/Storage. Annual pie.</w:t>
            </w:r>
          </w:p>
        </w:tc>
      </w:tr>
      <w:tr>
        <w:tc>
          <w:tcPr>
            <w:tcW w:type="dxa" w:w="2268"/>
          </w:tcPr>
          <w:p>
            <w:r>
              <w:t>Hourly Shape</w:t>
            </w:r>
          </w:p>
        </w:tc>
        <w:tc>
          <w:tcPr>
            <w:tcW w:type="dxa" w:w="2268"/>
          </w:tcPr>
          <w:p>
            <w:r>
              <w:t>GET /api/ercot/hub-hourly?node=&amp;year=&amp;month=</w:t>
            </w:r>
          </w:p>
        </w:tc>
        <w:tc>
          <w:tcPr>
            <w:tcW w:type="dxa" w:w="2268"/>
          </w:tcPr>
          <w:p>
            <w:r>
              <w:t>ercot_hub_hourly</w:t>
            </w:r>
          </w:p>
        </w:tc>
        <w:tc>
          <w:tcPr>
            <w:tcW w:type="dxa" w:w="2268"/>
          </w:tcPr>
          <w:p>
            <w:r>
              <w:t>24-bar chart of avg DA price by hour for selected node/month</w:t>
            </w:r>
          </w:p>
        </w:tc>
      </w:tr>
    </w:tbl>
    <w:p/>
    <w:p>
      <w:r>
        <w:t>Nodes available: HB_HOUSTON, HB_NORTH, HB_SOUTH, HB_WEST, HB_PAN, HB_BUSAVG, HB_HUBAVG + all LZ zones.</w:t>
      </w:r>
    </w:p>
    <w:p>
      <w:pPr>
        <w:pStyle w:val="Heading2"/>
      </w:pPr>
      <w:r>
        <w:rPr>
          <w:color w:val="145386"/>
        </w:rPr>
        <w:t>8. CAISO Historical  (/caiso)</w:t>
      </w:r>
    </w:p>
    <w:p>
      <w:r>
        <w:t>API: useListCaisoNodeStats({node, year}) → caiso_node_stats. Nodes: NP15, SP15, ZP26. Years: 2024–2026. YoY overlay toggle.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Sub-Tab</w:t>
            </w:r>
          </w:p>
        </w:tc>
        <w:tc>
          <w:tcPr>
            <w:tcW w:type="dxa" w:w="4536"/>
          </w:tcPr>
          <w:p>
            <w:r>
              <w:rPr>
                <w:b/>
              </w:rPr>
              <w:t>What It Shows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>
            <w:r>
              <w:t>DA vs RT Prices</w:t>
            </w:r>
          </w:p>
        </w:tc>
        <w:tc>
          <w:tcPr>
            <w:tcW w:type="dxa" w:w="4536"/>
          </w:tcPr>
          <w:p>
            <w:r>
              <w:t>Monthly DA (teal) vs RT (amber) line chart. Optional YoY dashed overlay.</w:t>
            </w:r>
          </w:p>
        </w:tc>
      </w:tr>
      <w:tr>
        <w:tc>
          <w:tcPr>
            <w:tcW w:type="dxa" w:w="4536"/>
          </w:tcPr>
          <w:p>
            <w:r>
              <w:t>On/Off-Peak Split</w:t>
            </w:r>
          </w:p>
        </w:tc>
        <w:tc>
          <w:tcPr>
            <w:tcW w:type="dxa" w:w="4536"/>
          </w:tcPr>
          <w:p>
            <w:r>
              <w:t>Monthly on-peak vs off-peak bar chart</w:t>
            </w:r>
          </w:p>
        </w:tc>
      </w:tr>
      <w:tr>
        <w:tc>
          <w:tcPr>
            <w:tcW w:type="dxa" w:w="4536"/>
          </w:tcPr>
          <w:p>
            <w:r>
              <w:t>Volatility &amp; Neg. Prices</w:t>
            </w:r>
          </w:p>
        </w:tc>
        <w:tc>
          <w:tcPr>
            <w:tcW w:type="dxa" w:w="4536"/>
          </w:tcPr>
          <w:p>
            <w:r>
              <w:t>Monthly volatility bar + neg_price_percent line</w:t>
            </w:r>
          </w:p>
        </w:tc>
      </w:tr>
    </w:tbl>
    <w:p/>
    <w:p>
      <w:pPr>
        <w:pStyle w:val="Heading2"/>
      </w:pPr>
      <w:r>
        <w:rPr>
          <w:color w:val="145386"/>
        </w:rPr>
        <w:t>9. CAISO Hourly  (/caiso-hourly)</w:t>
      </w:r>
    </w:p>
    <w:p>
      <w:r>
        <w:t>API: GET /api/caiso/hub-hourly?node=&amp;year=&amp;month= + GET /api/caiso/hub-hourly/coverage → caiso_hub_hourly (63,495 rows: 3 nodes × 29 months DA+RT)</w:t>
      </w:r>
    </w:p>
    <w:p>
      <w:r>
        <w:t>Visuals:</w:t>
      </w:r>
    </w:p>
    <w:p>
      <w:pPr>
        <w:pStyle w:val="ListBullet"/>
      </w:pPr>
      <w:r>
        <w:t>24-bar DA price profile for selected node/month</w:t>
      </w:r>
    </w:p>
    <w:p>
      <w:pPr>
        <w:pStyle w:val="ListBullet"/>
      </w:pPr>
      <w:r>
        <w:t>24-bar RT price profile</w:t>
      </w:r>
    </w:p>
    <w:p>
      <w:pPr>
        <w:pStyle w:val="ListBullet"/>
      </w:pPr>
      <w:r>
        <w:t>24-bar DA−RT basis by hour (|basis| &gt;15 = red, &gt;5 = amber, else teal)</w:t>
      </w:r>
    </w:p>
    <w:p>
      <w:pPr>
        <w:pStyle w:val="ListBullet"/>
      </w:pPr>
      <w:r>
        <w:t>Coverage grid showing which node/month combinations are seeded</w:t>
      </w:r>
    </w:p>
    <w:p>
      <w:r>
        <w:t>Summary stats per month: avg DA, avg RT, min/max DA, percentile DA−RT basis.</w:t>
      </w:r>
    </w:p>
    <w:p>
      <w:pPr>
        <w:pStyle w:val="Heading2"/>
      </w:pPr>
      <w:r>
        <w:rPr>
          <w:color w:val="145386"/>
        </w:rPr>
        <w:t>10. Nodal Analysis  (/nodal)</w:t>
      </w:r>
    </w:p>
    <w:p>
      <w:r>
        <w:t>Purpose: Compare any two ERCOT hubs/zones or CAISO zones side-by-side.</w:t>
      </w:r>
    </w:p>
    <w:p>
      <w:r>
        <w:t>APIs:</w:t>
      </w:r>
    </w:p>
    <w:p>
      <w:pPr>
        <w:pStyle w:val="ListBullet"/>
      </w:pPr>
      <w:r>
        <w:t>useListErcotNodeStats({node, year}) for up to 2 ERCOT nodes</w:t>
      </w:r>
    </w:p>
    <w:p>
      <w:pPr>
        <w:pStyle w:val="ListBullet"/>
      </w:pPr>
      <w:r>
        <w:t>useListCaisoNodeStats({node, year}) for CAISO zones</w:t>
      </w:r>
    </w:p>
    <w:p>
      <w:pPr>
        <w:pStyle w:val="ListBullet"/>
      </w:pPr>
      <w:r>
        <w:t>useGetErcotBusShiftFactors() → bus-level DC PTDF shift factors (340 ERCOT 345kV buses)</w:t>
      </w:r>
    </w:p>
    <w:p>
      <w:pPr>
        <w:pStyle w:val="ListBullet"/>
      </w:pPr>
      <w:r>
        <w:t>useGetErcotBusLoad() → load allocation by EIA sub-BA</w:t>
      </w:r>
    </w:p>
    <w:p>
      <w:r>
        <w:t>Sections: ERCOT dual-node price comparison with basis spread; CAISO zone comparison; Bus Shift Factors table; price type toggle (DA / RT / DA−RT).</w:t>
      </w:r>
    </w:p>
    <w:p>
      <w:pPr>
        <w:pStyle w:val="Heading2"/>
      </w:pPr>
      <w:r>
        <w:rPr>
          <w:color w:val="145386"/>
        </w:rPr>
        <w:t>11. ERCOT Dispatch / SCED  (/ercot-dispatch)</w:t>
      </w:r>
    </w:p>
    <w:p>
      <w:r>
        <w:t>Purpose: Real SCED dispatch data — supply stack, capacity factors, offer curves, capture price analysis.</w:t>
      </w:r>
    </w:p>
    <w:p>
      <w:r>
        <w:t>Coverage: 1,215 ERCOT SCED resources, Jan 2024–May 2026, 26M hourly rows.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Tab</w:t>
            </w:r>
          </w:p>
        </w:tc>
        <w:tc>
          <w:tcPr>
            <w:tcW w:type="dxa" w:w="2268"/>
          </w:tcPr>
          <w:p>
            <w:r>
              <w:rPr>
                <w:b/>
              </w:rPr>
              <w:t>API</w:t>
            </w:r>
          </w:p>
        </w:tc>
        <w:tc>
          <w:tcPr>
            <w:tcW w:type="dxa" w:w="2268"/>
          </w:tcPr>
          <w:p>
            <w:r>
              <w:rPr>
                <w:b/>
              </w:rPr>
              <w:t>DB Table</w:t>
            </w:r>
          </w:p>
        </w:tc>
        <w:tc>
          <w:tcPr>
            <w:tcW w:type="dxa" w:w="2268"/>
          </w:tcPr>
          <w:p>
            <w:r>
              <w:rPr>
                <w:b/>
              </w:rPr>
              <w:t>What It Shows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t>Supply Stack</w:t>
            </w:r>
          </w:p>
        </w:tc>
        <w:tc>
          <w:tcPr>
            <w:tcW w:type="dxa" w:w="2268"/>
          </w:tcPr>
          <w:p>
            <w:r>
              <w:t>GET /api/ercot/dispatch/supply-stack?date=</w:t>
            </w:r>
          </w:p>
        </w:tc>
        <w:tc>
          <w:tcPr>
            <w:tcW w:type="dxa" w:w="2268"/>
          </w:tcPr>
          <w:p>
            <w:r>
              <w:t>ercot_hourly_dispatch → mv_dispatch_monthly</w:t>
            </w:r>
          </w:p>
        </w:tc>
        <w:tc>
          <w:tcPr>
            <w:tcW w:type="dxa" w:w="2268"/>
          </w:tcPr>
          <w:p>
            <w:r>
              <w:t>Merit-order step chart: cumulative MW on X, offer price on Y, coloured by fuel. Date picker + range mode.</w:t>
            </w:r>
          </w:p>
        </w:tc>
      </w:tr>
      <w:tr>
        <w:tc>
          <w:tcPr>
            <w:tcW w:type="dxa" w:w="2268"/>
          </w:tcPr>
          <w:p>
            <w:r>
              <w:t>Monthly Summary</w:t>
            </w:r>
          </w:p>
        </w:tc>
        <w:tc>
          <w:tcPr>
            <w:tcW w:type="dxa" w:w="2268"/>
          </w:tcPr>
          <w:p>
            <w:r>
              <w:t>GET /api/ercot/dispatch/summary?year=&amp;month=</w:t>
            </w:r>
          </w:p>
        </w:tc>
        <w:tc>
          <w:tcPr>
            <w:tcW w:type="dxa" w:w="2268"/>
          </w:tcPr>
          <w:p>
            <w:r>
              <w:t>mv_dispatch_monthly (38,820 rows)</w:t>
            </w:r>
          </w:p>
        </w:tc>
        <w:tc>
          <w:tcPr>
            <w:tcW w:type="dxa" w:w="2268"/>
          </w:tcPr>
          <w:p>
            <w:r>
              <w:t>MWh, avg CF, avg offer price, resource count by fuel/month</w:t>
            </w:r>
          </w:p>
        </w:tc>
      </w:tr>
      <w:tr>
        <w:tc>
          <w:tcPr>
            <w:tcW w:type="dxa" w:w="2268"/>
          </w:tcPr>
          <w:p>
            <w:r>
              <w:t>Capacity Factor</w:t>
            </w:r>
          </w:p>
        </w:tc>
        <w:tc>
          <w:tcPr>
            <w:tcW w:type="dxa" w:w="2268"/>
          </w:tcPr>
          <w:p>
            <w:r>
              <w:t>GET /api/ercot/dispatch/capture</w:t>
            </w:r>
          </w:p>
        </w:tc>
        <w:tc>
          <w:tcPr>
            <w:tcW w:type="dxa" w:w="2268"/>
          </w:tcPr>
          <w:p>
            <w:r>
              <w:t>mv_capture_monthly (179 rows)</w:t>
            </w:r>
          </w:p>
        </w:tc>
        <w:tc>
          <w:tcPr>
            <w:tcW w:type="dxa" w:w="2268"/>
          </w:tcPr>
          <w:p>
            <w:r>
              <w:t>CF = SUM(gen_mwh) / (MAX(hsl_mw) × hours); bar chart by fuel</w:t>
            </w:r>
          </w:p>
        </w:tc>
      </w:tr>
      <w:tr>
        <w:tc>
          <w:tcPr>
            <w:tcW w:type="dxa" w:w="2268"/>
          </w:tcPr>
          <w:p>
            <w:r>
              <w:t>Capture Price</w:t>
            </w:r>
          </w:p>
        </w:tc>
        <w:tc>
          <w:tcPr>
            <w:tcW w:type="dxa" w:w="2268"/>
          </w:tcPr>
          <w:p>
            <w:r>
              <w:t>GET /api/ercot/dispatch/capture</w:t>
            </w:r>
          </w:p>
        </w:tc>
        <w:tc>
          <w:tcPr>
            <w:tcW w:type="dxa" w:w="2268"/>
          </w:tcPr>
          <w:p>
            <w:r>
              <w:t>mv_capture_monthly</w:t>
            </w:r>
          </w:p>
        </w:tc>
        <w:tc>
          <w:tcPr>
            <w:tcW w:type="dxa" w:w="2268"/>
          </w:tcPr>
          <w:p>
            <w:r>
              <w:t>Gen-weighted hub price by fuel/month; DA vs RT capture ratio line chart</w:t>
            </w:r>
          </w:p>
        </w:tc>
      </w:tr>
    </w:tbl>
    <w:p/>
    <w:p>
      <w:pPr>
        <w:pStyle w:val="Heading2"/>
      </w:pPr>
      <w:r>
        <w:rPr>
          <w:color w:val="145386"/>
        </w:rPr>
        <w:t>12. ERCOT Gas &amp; Spark Spread  (/ercot-gas)</w:t>
      </w:r>
    </w:p>
    <w:p>
      <w:r>
        <w:t>Purpose: Henry Hub vs Waha gas prices, spark spreads, implied heat rates, and a forward curve tool.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Tab</w:t>
            </w:r>
          </w:p>
        </w:tc>
        <w:tc>
          <w:tcPr>
            <w:tcW w:type="dxa" w:w="2268"/>
          </w:tcPr>
          <w:p>
            <w:r>
              <w:rPr>
                <w:b/>
              </w:rPr>
              <w:t>API</w:t>
            </w:r>
          </w:p>
        </w:tc>
        <w:tc>
          <w:tcPr>
            <w:tcW w:type="dxa" w:w="2268"/>
          </w:tcPr>
          <w:p>
            <w:r>
              <w:rPr>
                <w:b/>
              </w:rPr>
              <w:t>DB Table</w:t>
            </w:r>
          </w:p>
        </w:tc>
        <w:tc>
          <w:tcPr>
            <w:tcW w:type="dxa" w:w="2268"/>
          </w:tcPr>
          <w:p>
            <w:r>
              <w:rPr>
                <w:b/>
              </w:rPr>
              <w:t>What It Shows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t>Gas Prices</w:t>
            </w:r>
          </w:p>
        </w:tc>
        <w:tc>
          <w:tcPr>
            <w:tcW w:type="dxa" w:w="2268"/>
          </w:tcPr>
          <w:p>
            <w:r>
              <w:t>GET /api/gas-prices/history?hub=</w:t>
            </w:r>
          </w:p>
        </w:tc>
        <w:tc>
          <w:tcPr>
            <w:tcW w:type="dxa" w:w="2268"/>
          </w:tcPr>
          <w:p>
            <w:r>
              <w:t>gas_prices</w:t>
            </w:r>
          </w:p>
        </w:tc>
        <w:tc>
          <w:tcPr>
            <w:tcW w:type="dxa" w:w="2268"/>
          </w:tcPr>
          <w:p>
            <w:r>
              <w:t>Daily HH and Waha spot, monthly avg line chart. Waha basis (HH−Waha) area chart.</w:t>
            </w:r>
          </w:p>
        </w:tc>
      </w:tr>
      <w:tr>
        <w:tc>
          <w:tcPr>
            <w:tcW w:type="dxa" w:w="2268"/>
          </w:tcPr>
          <w:p>
            <w:r>
              <w:t>Spark Spread</w:t>
            </w:r>
          </w:p>
        </w:tc>
        <w:tc>
          <w:tcPr>
            <w:tcW w:type="dxa" w:w="2268"/>
          </w:tcPr>
          <w:p>
            <w:r>
              <w:t>GET /api/gas-prices/spark-spread?node=</w:t>
            </w:r>
          </w:p>
        </w:tc>
        <w:tc>
          <w:tcPr>
            <w:tcW w:type="dxa" w:w="2268"/>
          </w:tcPr>
          <w:p>
            <w:r>
              <w:t>gas_prices + ercot_node_stats</w:t>
            </w:r>
          </w:p>
        </w:tc>
        <w:tc>
          <w:tcPr>
            <w:tcW w:type="dxa" w:w="2268"/>
          </w:tcPr>
          <w:p>
            <w:r>
              <w:t>Monthly spark spread = Power DA − (gas × heat rate); bar chart. Green = positive.</w:t>
            </w:r>
          </w:p>
        </w:tc>
      </w:tr>
      <w:tr>
        <w:tc>
          <w:tcPr>
            <w:tcW w:type="dxa" w:w="2268"/>
          </w:tcPr>
          <w:p>
            <w:r>
              <w:t>Heat Rate</w:t>
            </w:r>
          </w:p>
        </w:tc>
        <w:tc>
          <w:tcPr>
            <w:tcW w:type="dxa" w:w="2268"/>
          </w:tcPr>
          <w:p>
            <w:r>
              <w:t>GET /api/gas-prices/heat-rate?node=</w:t>
            </w:r>
          </w:p>
        </w:tc>
        <w:tc>
          <w:tcPr>
            <w:tcW w:type="dxa" w:w="2268"/>
          </w:tcPr>
          <w:p>
            <w:r>
              <w:t>gas_prices + ercot_node_stats</w:t>
            </w:r>
          </w:p>
        </w:tc>
        <w:tc>
          <w:tcPr>
            <w:tcW w:type="dxa" w:w="2268"/>
          </w:tcPr>
          <w:p>
            <w:r>
              <w:t>Implied heat rate = Power DA / gas price. Benchmark bands: CCGT 6,500–7,500, CT 9,000–11,000 BTU/kWh.</w:t>
            </w:r>
          </w:p>
        </w:tc>
      </w:tr>
      <w:tr>
        <w:tc>
          <w:tcPr>
            <w:tcW w:type="dxa" w:w="2268"/>
          </w:tcPr>
          <w:p>
            <w:r>
              <w:t>Forward Curve</w:t>
            </w:r>
          </w:p>
        </w:tc>
        <w:tc>
          <w:tcPr>
            <w:tcW w:type="dxa" w:w="2268"/>
          </w:tcPr>
          <w:p>
            <w:r>
              <w:t>GET /api/gas-prices/forward-curve?node=</w:t>
            </w:r>
          </w:p>
        </w:tc>
        <w:tc>
          <w:tcPr>
            <w:tcW w:type="dxa" w:w="2268"/>
          </w:tcPr>
          <w:p>
            <w:r>
              <w:t>gas_prices + forward data</w:t>
            </w:r>
          </w:p>
        </w:tc>
        <w:tc>
          <w:tcPr>
            <w:tcW w:type="dxa" w:w="2268"/>
          </w:tcPr>
          <w:p>
            <w:r>
              <w:t>Contango/backwardation detection; synthetic power forward = gas_fwd × heat_rate × seasonal_mult.</w:t>
            </w:r>
          </w:p>
        </w:tc>
      </w:tr>
      <w:tr>
        <w:tc>
          <w:tcPr>
            <w:tcW w:type="dxa" w:w="2268"/>
          </w:tcPr>
          <w:p>
            <w:r>
              <w:t>Multi-Node Summary</w:t>
            </w:r>
          </w:p>
        </w:tc>
        <w:tc>
          <w:tcPr>
            <w:tcW w:type="dxa" w:w="2268"/>
          </w:tcPr>
          <w:p>
            <w:r>
              <w:t>GET /api/gas-prices/summary</w:t>
            </w:r>
          </w:p>
        </w:tc>
        <w:tc>
          <w:tcPr>
            <w:tcW w:type="dxa" w:w="2268"/>
          </w:tcPr>
          <w:p>
            <w:r>
              <w:t>gas_prices + all nodes</w:t>
            </w:r>
          </w:p>
        </w:tc>
        <w:tc>
          <w:tcPr>
            <w:tcW w:type="dxa" w:w="2268"/>
          </w:tcPr>
          <w:p>
            <w:r>
              <w:t>Cross-node spark spread table — all HB/LZ nodes vs HH and Waha, latest month.</w:t>
            </w:r>
          </w:p>
        </w:tc>
      </w:tr>
    </w:tbl>
    <w:p/>
    <w:p>
      <w:r>
        <w:t>Waha note: Waha can go deeply negative (avg −$1.01/MMBtu trailing 12 months). LZ_WEST and HB_PAN use Waha (not HH) for fuel cost in the scoring engine.</w:t>
      </w:r>
    </w:p>
    <w:p>
      <w:r>
        <w:br w:type="page"/>
      </w:r>
    </w:p>
    <w:p>
      <w:pPr>
        <w:pStyle w:val="Heading1"/>
      </w:pPr>
      <w:r>
        <w:rPr>
          <w:color w:val="0F172A"/>
        </w:rPr>
        <w:t>GROUP 3: Congestion Intelligence Engine (CI Suite)</w:t>
      </w:r>
    </w:p>
    <w:p>
      <w:r>
        <w:t>6 pages — all backed by /api/congestion-intel/* routes and the ercot_node_stats table (~800+ resource nodes × 29 months).</w:t>
      </w:r>
    </w:p>
    <w:p>
      <w:pPr>
        <w:pStyle w:val="Heading2"/>
      </w:pPr>
      <w:r>
        <w:rPr>
          <w:color w:val="145386"/>
        </w:rPr>
        <w:t>13. CI Overview  (/ci)</w:t>
      </w:r>
    </w:p>
    <w:p>
      <w:r>
        <w:t>API: GET /api/congestion-intel/overview?threshold=&amp;severe=&amp;extreme=</w:t>
      </w:r>
    </w:p>
    <w:p>
      <w:r>
        <w:t>Congestion thresholds (user-configurable inputs):</w:t>
      </w:r>
    </w:p>
    <w:p>
      <w:pPr>
        <w:pStyle w:val="ListBullet"/>
      </w:pPr>
      <w:r>
        <w:t>Congestion: |RT − DA basis| &gt; $3/MWh (default)</w:t>
      </w:r>
    </w:p>
    <w:p>
      <w:pPr>
        <w:pStyle w:val="ListBullet"/>
      </w:pPr>
      <w:r>
        <w:t>Severe: &gt; $15/MWh</w:t>
      </w:r>
    </w:p>
    <w:p>
      <w:pPr>
        <w:pStyle w:val="ListBullet"/>
      </w:pPr>
      <w:r>
        <w:t>Extreme: &gt; $35/MWh</w:t>
      </w:r>
    </w:p>
    <w:p>
      <w:r>
        <w:t>4 KPI cards: Nodes Analyzed, Congestion Events (node-months), Severe Events, Neg-Price Months.</w:t>
      </w:r>
    </w:p>
    <w:p>
      <w:r>
        <w:t>Monthly severity chart: Stacked bar per month — Normal / Congestion / Severe / Extreme node-month counts.</w:t>
      </w:r>
    </w:p>
    <w:p>
      <w:pPr>
        <w:pStyle w:val="Heading2"/>
      </w:pPr>
      <w:r>
        <w:rPr>
          <w:color w:val="145386"/>
        </w:rPr>
        <w:t>14. CI Heatmap  (/ci-heatmap)</w:t>
      </w:r>
    </w:p>
    <w:p>
      <w:r>
        <w:t>API: GET /api/congestion-intel/heatmap?market=&amp;year=&amp;threshold= → ercot_node_stats</w:t>
      </w:r>
    </w:p>
    <w:p>
      <w:r>
        <w:t>Node × month heat-map grid. Cell colour = avg DA basis intensity. Click a cell to drill into that node's time series.</w:t>
      </w:r>
    </w:p>
    <w:p>
      <w:pPr>
        <w:pStyle w:val="Heading2"/>
      </w:pPr>
      <w:r>
        <w:rPr>
          <w:color w:val="145386"/>
        </w:rPr>
        <w:t>15. CI Node Series  (/ci-node)</w:t>
      </w:r>
    </w:p>
    <w:p>
      <w:r>
        <w:t>API: GET /api/congestion-intel/node-series?node=&amp;year= → ercot_node_stats</w:t>
      </w:r>
    </w:p>
    <w:p>
      <w:r>
        <w:t>Monthly DA price, RT price, and DA−RT basis line charts for a single selected node. On/off-peak split. Neg-price count per month.</w:t>
      </w:r>
    </w:p>
    <w:p>
      <w:pPr>
        <w:pStyle w:val="Heading2"/>
      </w:pPr>
      <w:r>
        <w:rPr>
          <w:color w:val="145386"/>
        </w:rPr>
        <w:t>16. CI Basis Compare  (/ci-basis)</w:t>
      </w:r>
    </w:p>
    <w:p>
      <w:r>
        <w:t>API: GET /api/congestion-intel/basis-compare?nodes=&amp;year= → ercot_node_stats</w:t>
      </w:r>
    </w:p>
    <w:p>
      <w:r>
        <w:t>Multi-node basis comparison scatter + line chart. X = month, Y = avg DA basis (node price − HB_BUSAVG). Shows which nodes are systematically discounted.</w:t>
      </w:r>
    </w:p>
    <w:p>
      <w:pPr>
        <w:pStyle w:val="Heading2"/>
      </w:pPr>
      <w:r>
        <w:rPr>
          <w:color w:val="145386"/>
        </w:rPr>
        <w:t>17. CI Backtest  (/ci-backtest)</w:t>
      </w:r>
    </w:p>
    <w:p>
      <w:r>
        <w:t>API: GET /api/congestion-intel/backtest?node=&amp;startYear=&amp;endYear= → ercot_node_stats</w:t>
      </w:r>
    </w:p>
    <w:p>
      <w:r>
        <w:t>Merchant revenue backtest: simulates energy-only revenue at a node using real DA prices × assumed CF × nameplate MW. Compares against hub average to show congestion/basis drag.</w:t>
      </w:r>
    </w:p>
    <w:p>
      <w:pPr>
        <w:pStyle w:val="Heading2"/>
      </w:pPr>
      <w:r>
        <w:rPr>
          <w:color w:val="145386"/>
        </w:rPr>
        <w:t>18. CI Quality  (/ci-quality)</w:t>
      </w:r>
    </w:p>
    <w:p>
      <w:r>
        <w:t>API: GET /api/congestion-intel/node-list → ercot_node_stats</w:t>
      </w:r>
    </w:p>
    <w:p>
      <w:r>
        <w:t>Data completeness audit: node × month coverage grid. Flags gaps (&lt;900 nodes in a month = incomplete CDR pull).</w:t>
      </w:r>
    </w:p>
    <w:p>
      <w:pPr>
        <w:pStyle w:val="Heading2"/>
      </w:pPr>
      <w:r>
        <w:rPr>
          <w:color w:val="145386"/>
        </w:rPr>
        <w:t>19. CI Methodology  (/ci-methodology)</w:t>
      </w:r>
    </w:p>
    <w:p>
      <w:r>
        <w:t>Static explainer page — no API. Documents congestion scoring formula, data sources (CDR 13060, CDR 12301), basis calculation, and severity thresholds.</w:t>
      </w:r>
    </w:p>
    <w:p>
      <w:r>
        <w:br w:type="page"/>
      </w:r>
    </w:p>
    <w:p>
      <w:pPr>
        <w:pStyle w:val="Heading1"/>
      </w:pPr>
      <w:r>
        <w:rPr>
          <w:color w:val="0F172A"/>
        </w:rPr>
        <w:t>GROUP 4: PyPSA Simulators</w:t>
      </w:r>
    </w:p>
    <w:p>
      <w:r>
        <w:t>All 6 simulators call the PyPSA Python microservice at /pypsa/* (port 8083, proxied via api-server). Require the PyPSA workflow to be running. LP solver: HiGHS. Model: 5-bus ERCOT reduced-order network (NORTH / WEST / PAN / SOUTH / HOUSTON buses, 6 transmission corridors).</w:t>
      </w:r>
    </w:p>
    <w:p>
      <w:pPr>
        <w:pStyle w:val="Heading2"/>
      </w:pPr>
      <w:r>
        <w:rPr>
          <w:color w:val="145386"/>
        </w:rPr>
        <w:t>20. Network OPF  (/pypsa-network)</w:t>
      </w:r>
    </w:p>
    <w:p>
      <w:r>
        <w:t>API: POST /pypsa/opf · GET /pypsa/default · GET /pypsa/gas-price?date=</w:t>
      </w:r>
    </w:p>
    <w:p>
      <w:r>
        <w:t>Two modes:</w:t>
      </w:r>
    </w:p>
    <w:p>
      <w:pPr>
        <w:pStyle w:val="ListBullet"/>
      </w:pPr>
      <w:r>
        <w:t>Scenario mode — sliders: Wind CF (%), Solar CF (%), Gas Price ($/MMBtu), System Load MW, Gas Derate %</w:t>
      </w:r>
    </w:p>
    <w:p>
      <w:pPr>
        <w:pStyle w:val="ListBullet"/>
      </w:pPr>
      <w:r>
        <w:t>Historical mode — date picker + hour picker → fetches real gas price from gas_prices table via /pypsa/gas-price, auto-runs OPF</w:t>
      </w:r>
    </w:p>
    <w:p>
      <w:r>
        <w:t>Outputs from HiGHS LP solver:</w:t>
      </w:r>
    </w:p>
    <w:p>
      <w:pPr>
        <w:pStyle w:val="ListBullet"/>
      </w:pPr>
      <w:r>
        <w:t>LMP per bus ($/MWh) — coloured circles on Leaflet map</w:t>
      </w:r>
    </w:p>
    <w:p>
      <w:pPr>
        <w:pStyle w:val="ListBullet"/>
      </w:pPr>
      <w:r>
        <w:t>Transmission flow % per line — line weight/colour by loading (≥95% = red, ≥70% = amber, &lt;30% = faint)</w:t>
      </w:r>
    </w:p>
    <w:p>
      <w:pPr>
        <w:pStyle w:val="ListBullet"/>
      </w:pPr>
      <w:r>
        <w:t>Generator dispatch table: carrier, dispatch MW, capacity MW, CF, marginal cost</w:t>
      </w:r>
    </w:p>
    <w:p>
      <w:pPr>
        <w:pStyle w:val="ListBullet"/>
      </w:pPr>
      <w:r>
        <w:t>System stats: Avg/Min/Max LMP, LMP Spread, Wind %, Renewable %, Total Cost $/hr, Congested Lines count</w:t>
      </w:r>
    </w:p>
    <w:p>
      <w:pPr>
        <w:pStyle w:val="Heading2"/>
      </w:pPr>
      <w:r>
        <w:rPr>
          <w:color w:val="145386"/>
        </w:rPr>
        <w:t>21. Renewable Curtailment Simulator  (/pypsa-curtailment)</w:t>
      </w:r>
    </w:p>
    <w:p>
      <w:r>
        <w:t>API: POST /pypsa/curtailment</w:t>
      </w:r>
    </w:p>
    <w:p>
      <w:r>
        <w:t>Sliders: System Load (10–100 GW), Wind CF (5–90%), Solar CF (0–45%), Gas Price, West Wind Overbuild %.</w:t>
      </w:r>
    </w:p>
    <w:p>
      <w:r>
        <w:t>Outputs:</w:t>
      </w:r>
    </w:p>
    <w:p>
      <w:pPr>
        <w:pStyle w:val="ListBullet"/>
      </w:pPr>
      <w:r>
        <w:t>Total curtailed MW + curtail % → NORMAL / MODERATE / HIGH level badge</w:t>
      </w:r>
    </w:p>
    <w:p>
      <w:pPr>
        <w:pStyle w:val="ListBullet"/>
      </w:pPr>
      <w:r>
        <w:t>Zone summary: available MW, dispatched MW, curtailed MW, LMP per zone — bar chart</w:t>
      </w:r>
    </w:p>
    <w:p>
      <w:pPr>
        <w:pStyle w:val="ListBullet"/>
      </w:pPr>
      <w:r>
        <w:t>Per-generator curtailment table</w:t>
      </w:r>
    </w:p>
    <w:p>
      <w:pPr>
        <w:pStyle w:val="ListBullet"/>
      </w:pPr>
      <w:r>
        <w:t>Transmission line loading SVG schematic (5-bus)</w:t>
      </w:r>
    </w:p>
    <w:p>
      <w:pPr>
        <w:pStyle w:val="ListBullet"/>
      </w:pPr>
      <w:r>
        <w:t>Negative-price buses list</w:t>
      </w:r>
    </w:p>
    <w:p>
      <w:pPr>
        <w:pStyle w:val="Heading2"/>
      </w:pPr>
      <w:r>
        <w:rPr>
          <w:color w:val="145386"/>
        </w:rPr>
        <w:t>22. Transmission Relief Simulator  (/pypsa-tx-relief)</w:t>
      </w:r>
    </w:p>
    <w:p>
      <w:r>
        <w:t>API: POST /pypsa/tx-relief</w:t>
      </w:r>
    </w:p>
    <w:p>
      <w:r>
        <w:t>Inputs: Same load/wind/solar/gas sliders + select corridor to upgrade (NORTH-WEST, NORTH-HOUSTON, etc.) + upgrade % (0–200% capacity increase).</w:t>
      </w:r>
    </w:p>
    <w:p>
      <w:r>
        <w:t>Outputs — baseline vs upgraded side-by-side:</w:t>
      </w:r>
    </w:p>
    <w:p>
      <w:pPr>
        <w:pStyle w:val="ListBullet"/>
      </w:pPr>
      <w:r>
        <w:t>LMP per bus: baseline vs upgraded bar (delta colour-coded)</w:t>
      </w:r>
    </w:p>
    <w:p>
      <w:pPr>
        <w:pStyle w:val="ListBullet"/>
      </w:pPr>
      <w:r>
        <w:t>Transmission line loading: baseline vs upgraded grouped bar</w:t>
      </w:r>
    </w:p>
    <w:p>
      <w:pPr>
        <w:pStyle w:val="ListBullet"/>
      </w:pPr>
      <w:r>
        <w:t>Congestion rent reduction (k$/hr), LMP spread reduction ($/MWh), Curtailment reduction MW</w:t>
      </w:r>
    </w:p>
    <w:p>
      <w:pPr>
        <w:pStyle w:val="Heading2"/>
      </w:pPr>
      <w:r>
        <w:rPr>
          <w:color w:val="145386"/>
        </w:rPr>
        <w:t>23. Scarcity &amp; Load Shedding Simulator  (/pypsa-scarcity)</w:t>
      </w:r>
    </w:p>
    <w:p>
      <w:r>
        <w:t>API: POST /pypsa/scarcity</w:t>
      </w:r>
    </w:p>
    <w:p>
      <w:r>
        <w:t>Sliders: Peak Load (45–85 GW; ERCOT Aug 2023 peak = 85.5 GW), Wind CF (0–40%; Uri ≈ 4%), Solar CF, Gas Price, Gas Derate %, Nuclear Derate %, VOLL ($/MWh, default $5,000).</w:t>
      </w:r>
    </w:p>
    <w:p>
      <w:r>
        <w:t>Scarcity levels: NORMAL / ELEVATED / SEVERE / CRITICAL</w:t>
      </w:r>
    </w:p>
    <w:p>
      <w:r>
        <w:t>Outputs: Reserve margin %, total load shed MW, LMP per bus (can reach VOLL), zone risk radar chart (shed_pct vs lmp_norm), carrier dispatch bar chart, 5-bus schematic.</w:t>
      </w:r>
    </w:p>
    <w:p>
      <w:r>
        <w:t>URI winter storm analog: wind 4%, gas derate 40% → reproduces Feb 2021 scenario.</w:t>
      </w:r>
    </w:p>
    <w:p>
      <w:pPr>
        <w:pStyle w:val="Heading2"/>
      </w:pPr>
      <w:r>
        <w:rPr>
          <w:color w:val="145386"/>
        </w:rPr>
        <w:t>24. Battery Revenue Simulator  (/pypsa-battery)</w:t>
      </w:r>
    </w:p>
    <w:p>
      <w:r>
        <w:t>API: POST /pypsa/battery</w:t>
      </w:r>
    </w:p>
    <w:p>
      <w:r>
        <w:t>Inputs: Storage bus, storage MW, storage MWh (duration), round-trip efficiency %, pricing hub node (HB_WEST / HB_NORTH / HB_SOUTH / HB_HOUSTON / HB_PAN), year (2024–2025), month, wind/solar/gas sliders.</w:t>
      </w:r>
    </w:p>
    <w:p>
      <w:r>
        <w:t>PyPSA solves dispatch optimally across all 24 hours — maximising charge-at-low / discharge-at-high.</w:t>
      </w:r>
    </w:p>
    <w:p>
      <w:r>
        <w:t>Outputs per hour: Charge MW, Discharge MW, State of Charge MWh, DA price, RT price, LMP at bus, Curtailment MW absorbed.</w:t>
      </w:r>
    </w:p>
    <w:p>
      <w:r>
        <w:t>Summary: Total arbitrage revenue ($), daily revenue ($), annual estimate, zone basis (bus LMP − hub avg), LMP volatility, neg-price hours, curtailment absorbed MWh.</w:t>
      </w:r>
    </w:p>
    <w:p>
      <w:pPr>
        <w:pStyle w:val="Heading2"/>
      </w:pPr>
      <w:r>
        <w:rPr>
          <w:color w:val="145386"/>
        </w:rPr>
        <w:t>25. Capacity Expansion  (/pypsa-expansion)</w:t>
      </w:r>
    </w:p>
    <w:p>
      <w:r>
        <w:t>API: POST /pypsa/expansion</w:t>
      </w:r>
    </w:p>
    <w:p>
      <w:r>
        <w:t>Inputs: Demand scenario (moderate / aggressive), gas price slider. Planning periods: [2026, 2028, 2030, 2032].</w:t>
      </w:r>
    </w:p>
    <w:p>
      <w:r>
        <w:t>Multi-horizon LP: finds least-cost new capacity mix to meet peak demand + target reserve margin each period, discounted at WACC. Capital costs: NREL ATB 2024. Accreditation: ERCOT capacity credit factors.</w:t>
      </w:r>
    </w:p>
    <w:p>
      <w:r>
        <w:t>Outputs per planning period: New builds by carrier (MW) — stacked bar; Cumulative capacity mix; CAPEX; Avg LMP; Unserved energy %; Total discounted system cost ($B).</w:t>
      </w:r>
    </w:p>
    <w:p>
      <w:r>
        <w:br w:type="page"/>
      </w:r>
    </w:p>
    <w:p>
      <w:pPr>
        <w:pStyle w:val="Heading1"/>
      </w:pPr>
      <w:r>
        <w:rPr>
          <w:color w:val="0F172A"/>
        </w:rPr>
        <w:t>GROUP 5: Interconnection &amp; Stack</w:t>
      </w:r>
    </w:p>
    <w:p>
      <w:pPr>
        <w:pStyle w:val="Heading2"/>
      </w:pPr>
      <w:r>
        <w:rPr>
          <w:color w:val="145386"/>
        </w:rPr>
        <w:t>26. Interconnection Queue  (/queue)</w:t>
      </w:r>
    </w:p>
    <w:p>
      <w:r>
        <w:t>APIs:</w:t>
      </w:r>
    </w:p>
    <w:p>
      <w:pPr>
        <w:pStyle w:val="ListBullet"/>
      </w:pPr>
      <w:r>
        <w:t>GET /api/queue-projects?market=&amp;status=&amp;fuelType= → queue_projects table (real ERCOT GIS + CAISO data, 1,793 ERCOT projects)</w:t>
      </w:r>
    </w:p>
    <w:p>
      <w:pPr>
        <w:pStyle w:val="ListBullet"/>
      </w:pPr>
      <w:r>
        <w:t>GET /api/queue/summary → aggregate counts/MW by fuel type, market, and status</w:t>
      </w:r>
    </w:p>
    <w:p>
      <w:r>
        <w:t>KPIs: Active Projects, Total in Queue, Total GW.</w:t>
      </w:r>
    </w:p>
    <w:p>
      <w:r>
        <w:t>Charts: Donut (capacity by fuel type MW); Bar (capacity by ISO market).</w:t>
      </w:r>
    </w:p>
    <w:p>
      <w:r>
        <w:t>Project table columns: Queue ID, Project Name, Fuel Type, Capacity MW, Status (Active/Withdrawn/Completed/Suspended), County, Request Date, COD, Annual REC Value.</w:t>
      </w:r>
    </w:p>
    <w:p>
      <w:r>
        <w:t>Sortable by: Request Date, Capacity MW, Annual REC Value.</w:t>
      </w:r>
    </w:p>
    <w:p>
      <w:pPr>
        <w:pStyle w:val="Heading2"/>
      </w:pPr>
      <w:r>
        <w:rPr>
          <w:color w:val="145386"/>
        </w:rPr>
        <w:t>27. Generators &amp; Merit Order  (/generators)</w:t>
      </w:r>
    </w:p>
    <w:p>
      <w:r>
        <w:t>Two data sources: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API</w:t>
            </w:r>
          </w:p>
        </w:tc>
        <w:tc>
          <w:tcPr>
            <w:tcW w:type="dxa" w:w="3024"/>
          </w:tcPr>
          <w:p>
            <w:r>
              <w:rPr>
                <w:b/>
              </w:rPr>
              <w:t>DB Table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t>Thermal Merit Order</w:t>
            </w:r>
          </w:p>
        </w:tc>
        <w:tc>
          <w:tcPr>
            <w:tcW w:type="dxa" w:w="3024"/>
          </w:tcPr>
          <w:p>
            <w:r>
              <w:t>GET /api/generators/merit-order?gasPrice=&amp;co2Price=</w:t>
            </w:r>
          </w:p>
        </w:tc>
        <w:tc>
          <w:tcPr>
            <w:tcW w:type="dxa" w:w="3024"/>
          </w:tcPr>
          <w:p>
            <w:r>
              <w:t>generators + thermal_params (31 ERCOT thermal plants)</w:t>
            </w:r>
          </w:p>
        </w:tc>
      </w:tr>
      <w:tr>
        <w:tc>
          <w:tcPr>
            <w:tcW w:type="dxa" w:w="3024"/>
          </w:tcPr>
          <w:p>
            <w:r>
              <w:t>EIA 860 by Fuel</w:t>
            </w:r>
          </w:p>
        </w:tc>
        <w:tc>
          <w:tcPr>
            <w:tcW w:type="dxa" w:w="3024"/>
          </w:tcPr>
          <w:p>
            <w:r>
              <w:t>GET /api/candidates?assetType=</w:t>
            </w:r>
          </w:p>
        </w:tc>
        <w:tc>
          <w:tcPr>
            <w:tcW w:type="dxa" w:w="3024"/>
          </w:tcPr>
          <w:p>
            <w:r>
              <w:t>candidates</w:t>
            </w:r>
          </w:p>
        </w:tc>
      </w:tr>
    </w:tbl>
    <w:p/>
    <w:p>
      <w:r>
        <w:t>7 fuel tabs: Gas / Wind / Solar / Storage / Nuclear / Hydro / Biomass</w:t>
      </w:r>
    </w:p>
    <w:p>
      <w:r>
        <w:t>Thermal merit order (Gas tab):</w:t>
      </w:r>
    </w:p>
    <w:p>
      <w:pPr>
        <w:pStyle w:val="ListBullet"/>
      </w:pPr>
      <w:r>
        <w:t>Marginal cost = (gas_price × heat_rate / 1000) + vom_per_mwh + (co2_rate × co2_price)</w:t>
      </w:r>
    </w:p>
    <w:p>
      <w:pPr>
        <w:pStyle w:val="ListBullet"/>
      </w:pPr>
      <w:r>
        <w:t>Supply stack: cumulative MW on X (sorted by MC), offer price on Y, demand slider 5–30 GW → shows marginal unit (price-setter)</w:t>
      </w:r>
    </w:p>
    <w:p>
      <w:pPr>
        <w:pStyle w:val="ListBullet"/>
      </w:pPr>
      <w:r>
        <w:t>Per-unit table: plant name, technology (CCGT/CT/STEAM), nameplate MW, heat rate, MC breakdown</w:t>
      </w:r>
    </w:p>
    <w:p>
      <w:r>
        <w:t>Non-gas tabs: EIA 860 plants for that fuel type — capacity, state, county, curtailment score, price score, overall score.</w:t>
      </w:r>
    </w:p>
    <w:p>
      <w:r>
        <w:br w:type="page"/>
      </w:r>
    </w:p>
    <w:p>
      <w:pPr>
        <w:pStyle w:val="Heading1"/>
      </w:pPr>
      <w:r>
        <w:rPr>
          <w:color w:val="0F172A"/>
        </w:rPr>
        <w:t>GROUP 6: Market Intelligence</w:t>
      </w:r>
    </w:p>
    <w:p>
      <w:pPr>
        <w:pStyle w:val="Heading2"/>
      </w:pPr>
      <w:r>
        <w:rPr>
          <w:color w:val="145386"/>
        </w:rPr>
        <w:t>28. RECs  (/recs)</w:t>
      </w:r>
    </w:p>
    <w:p>
      <w:r>
        <w:t>Purpose: Renewable Energy Credit analysis across EIA 860 operational plants and the interconnection queue.</w:t>
      </w:r>
    </w:p>
    <w:p>
      <w:r>
        <w:t>APIs:</w:t>
      </w:r>
    </w:p>
    <w:p>
      <w:pPr>
        <w:pStyle w:val="ListBullet"/>
      </w:pPr>
      <w:r>
        <w:t>useListCandidates() → candidates — filtered to REC-eligible fuel types (solar/wind/offshore_wind/hydro/geothermal/biomass/hybrid)</w:t>
      </w:r>
    </w:p>
    <w:p>
      <w:pPr>
        <w:pStyle w:val="ListBullet"/>
      </w:pPr>
      <w:r>
        <w:t>useListQueueProjects() → queue_projects — for pipeline view</w:t>
      </w:r>
    </w:p>
    <w:p>
      <w:r>
        <w:t>REC fields per candidate:</w:t>
      </w:r>
    </w:p>
    <w:p>
      <w:pPr>
        <w:pStyle w:val="ListBullet"/>
      </w:pPr>
      <w:r>
        <w:t>rec_eligible (bool) — gas/nuclear = false</w:t>
      </w:r>
    </w:p>
    <w:p>
      <w:pPr>
        <w:pStyle w:val="ListBullet"/>
      </w:pPr>
      <w:r>
        <w:t>annual_rec_mwh = capacity × CF × 8,760</w:t>
      </w:r>
    </w:p>
    <w:p>
      <w:pPr>
        <w:pStyle w:val="ListBullet"/>
      </w:pPr>
      <w:r>
        <w:t>rec_price_per_mwh — ERCOT Texas TRC ~$1.50, CAISO WREGIS ~$10–12</w:t>
      </w:r>
    </w:p>
    <w:p>
      <w:pPr>
        <w:pStyle w:val="ListBullet"/>
      </w:pPr>
      <w:r>
        <w:t>annual_rec_value_usd = annual_rec_mwh × price</w:t>
      </w:r>
    </w:p>
    <w:p>
      <w:pPr>
        <w:pStyle w:val="ListBullet"/>
      </w:pPr>
      <w:r>
        <w:t>lifetime_rec_value_20yr = annual × 20</w:t>
      </w:r>
    </w:p>
    <w:p>
      <w:r>
        <w:t>Charts: Bar (total annual REC value by fuel type, $M); Pie (REC-eligible capacity by fuel type, MW).</w:t>
      </w:r>
    </w:p>
    <w:p>
      <w:r>
        <w:t>Sortable by: Annual REC Value, Annual MWh, REC Price, 20yr Value, or Capacity MW. Plant search combobox with autocomplete.</w:t>
      </w:r>
    </w:p>
    <w:p>
      <w:pPr>
        <w:pStyle w:val="Heading2"/>
      </w:pPr>
      <w:r>
        <w:rPr>
          <w:color w:val="145386"/>
        </w:rPr>
        <w:t>29. Regulatory &amp; Tax Intelligence  (/regulatory)</w:t>
      </w:r>
    </w:p>
    <w:p>
      <w:r>
        <w:t>API: GET /api/regulatory?market= + GET /api/regulatory/summary → regulatory_items table (30 seeded items: 10 ERCOT, 8 CAISO, 12 Federal/IRA)</w:t>
      </w:r>
    </w:p>
    <w:p>
      <w:r>
        <w:t>Categories: Interconnection / Market Rules / Tax Credits / Reliability / Transmission / Environmental / Capacity</w:t>
      </w:r>
    </w:p>
    <w:p>
      <w:r>
        <w:t>Per-item fields: Title, Summary, Detail, Effective Date, Status (active/pending/proposed/final/expired), Impact Level (high/medium/low), Model Impact note, Source URL.</w:t>
      </w:r>
    </w:p>
    <w:p>
      <w:r>
        <w:t>Bar chart: Items by category × market stacked bar.</w:t>
      </w:r>
    </w:p>
    <w:p>
      <w:r>
        <w:t>IRA tax credit quick-reference cards (hardcoded): ITC 30% + adders, PTC $27.50/MWh, Standalone Storage ITC, Domestic Content +10%, Energy Communities +10%.</w:t>
      </w:r>
    </w:p>
    <w:p>
      <w:pPr>
        <w:pStyle w:val="Heading2"/>
      </w:pPr>
      <w:r>
        <w:rPr>
          <w:color w:val="145386"/>
        </w:rPr>
        <w:t>30. PPA / VPPA Calculator  (/ppa)</w:t>
      </w:r>
    </w:p>
    <w:p>
      <w:r>
        <w:t>Two sections:</w:t>
      </w:r>
    </w:p>
    <w:p>
      <w:pPr>
        <w:pStyle w:val="Heading4"/>
      </w:pPr>
      <w:r>
        <w:t>Section A — CAPEX Benchmarks (hardcoded: NREL ATB 2024 / Lazard v17 / BNEF 2024)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268"/>
          </w:tcPr>
          <w:p>
            <w:r>
              <w:rPr>
                <w:b/>
              </w:rPr>
              <w:t>CAPEX Range</w:t>
            </w:r>
          </w:p>
        </w:tc>
        <w:tc>
          <w:tcPr>
            <w:tcW w:type="dxa" w:w="2268"/>
          </w:tcPr>
          <w:p>
            <w:r>
              <w:rPr>
                <w:b/>
              </w:rPr>
              <w:t>Fixed O&amp;M</w:t>
            </w:r>
          </w:p>
        </w:tc>
        <w:tc>
          <w:tcPr>
            <w:tcW w:type="dxa" w:w="2268"/>
          </w:tcPr>
          <w:p>
            <w:r>
              <w:rPr>
                <w:b/>
              </w:rPr>
              <w:t>Asset Life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</w:tcPr>
          <w:p>
            <w:r>
              <w:t>Utility Solar PV</w:t>
            </w:r>
          </w:p>
        </w:tc>
        <w:tc>
          <w:tcPr>
            <w:tcW w:type="dxa" w:w="2268"/>
          </w:tcPr>
          <w:p>
            <w:r>
              <w:t>$950–1,150/kW</w:t>
            </w:r>
          </w:p>
        </w:tc>
        <w:tc>
          <w:tcPr>
            <w:tcW w:type="dxa" w:w="2268"/>
          </w:tcPr>
          <w:p>
            <w:r>
              <w:t>$15–18/kW-yr</w:t>
            </w:r>
          </w:p>
        </w:tc>
        <w:tc>
          <w:tcPr>
            <w:tcW w:type="dxa" w:w="2268"/>
          </w:tcPr>
          <w:p>
            <w:r>
              <w:t>30 yr</w:t>
            </w:r>
          </w:p>
        </w:tc>
      </w:tr>
      <w:tr>
        <w:tc>
          <w:tcPr>
            <w:tcW w:type="dxa" w:w="2268"/>
          </w:tcPr>
          <w:p>
            <w:r>
              <w:t>Onshore Wind</w:t>
            </w:r>
          </w:p>
        </w:tc>
        <w:tc>
          <w:tcPr>
            <w:tcW w:type="dxa" w:w="2268"/>
          </w:tcPr>
          <w:p>
            <w:r>
              <w:t>$1,200–1,600/kW</w:t>
            </w:r>
          </w:p>
        </w:tc>
        <w:tc>
          <w:tcPr>
            <w:tcW w:type="dxa" w:w="2268"/>
          </w:tcPr>
          <w:p>
            <w:r>
              <w:t>$38–55/kW-yr</w:t>
            </w:r>
          </w:p>
        </w:tc>
        <w:tc>
          <w:tcPr>
            <w:tcW w:type="dxa" w:w="2268"/>
          </w:tcPr>
          <w:p>
            <w:r>
              <w:t>25 yr</w:t>
            </w:r>
          </w:p>
        </w:tc>
      </w:tr>
      <w:tr>
        <w:tc>
          <w:tcPr>
            <w:tcW w:type="dxa" w:w="2268"/>
          </w:tcPr>
          <w:p>
            <w:r>
              <w:t>BESS 4-hour Li-ion</w:t>
            </w:r>
          </w:p>
        </w:tc>
        <w:tc>
          <w:tcPr>
            <w:tcW w:type="dxa" w:w="2268"/>
          </w:tcPr>
          <w:p>
            <w:r>
              <w:t>$900–1,200/kW</w:t>
            </w:r>
          </w:p>
        </w:tc>
        <w:tc>
          <w:tcPr>
            <w:tcW w:type="dxa" w:w="2268"/>
          </w:tcPr>
          <w:p>
            <w:r>
              <w:t>$10–15/kW-yr</w:t>
            </w:r>
          </w:p>
        </w:tc>
        <w:tc>
          <w:tcPr>
            <w:tcW w:type="dxa" w:w="2268"/>
          </w:tcPr>
          <w:p>
            <w:r>
              <w:t>20 yr</w:t>
            </w:r>
          </w:p>
        </w:tc>
      </w:tr>
      <w:tr>
        <w:tc>
          <w:tcPr>
            <w:tcW w:type="dxa" w:w="2268"/>
          </w:tcPr>
          <w:p>
            <w:r>
              <w:t>Gas CCGT</w:t>
            </w:r>
          </w:p>
        </w:tc>
        <w:tc>
          <w:tcPr>
            <w:tcW w:type="dxa" w:w="2268"/>
          </w:tcPr>
          <w:p>
            <w:r>
              <w:t>$800–1,050/kW</w:t>
            </w:r>
          </w:p>
        </w:tc>
        <w:tc>
          <w:tcPr>
            <w:tcW w:type="dxa" w:w="2268"/>
          </w:tcPr>
          <w:p>
            <w:r>
              <w:t>—</w:t>
            </w:r>
          </w:p>
        </w:tc>
        <w:tc>
          <w:tcPr>
            <w:tcW w:type="dxa" w:w="2268"/>
          </w:tcPr>
          <w:p>
            <w:r>
              <w:t>—</w:t>
            </w:r>
          </w:p>
        </w:tc>
      </w:tr>
    </w:tbl>
    <w:p/>
    <w:p>
      <w:pPr>
        <w:pStyle w:val="Heading4"/>
      </w:pPr>
      <w:r>
        <w:t>Section B — VPPA / PPA NPV Calculator</w:t>
      </w:r>
    </w:p>
    <w:p>
      <w:r>
        <w:t>API: GET /api/ppa-npv → Monte Carlo VPPA NPV (P10/P50/P90).</w:t>
      </w:r>
    </w:p>
    <w:p>
      <w:r>
        <w:t>Inputs: Candidate selector (from candidates table), Strike Price ($/MWh), Contract Term (yr), Discount Rate (%), Price Volatility %, Capacity Factor override.</w:t>
      </w:r>
    </w:p>
    <w:p>
      <w:r>
        <w:t>DCF formula: NPV = Σ [capacity × CF × 8,760 × (market_price_sim − strike)] / (1+r)^t</w:t>
      </w:r>
    </w:p>
    <w:p>
      <w:r>
        <w:t>Output: P10/P50/P90 NPV ($M), annual cashflow waterfall bar chart, breakeven strike price.</w:t>
      </w:r>
    </w:p>
    <w:p>
      <w:r>
        <w:t>computeFinancials() also adds lcoe_mwh, total_capex_m, itc_value_m, ptc_npv_m, tax_credit_type to every candidate API response.</w:t>
      </w:r>
    </w:p>
    <w:p>
      <w:pPr>
        <w:pStyle w:val="Heading2"/>
      </w:pPr>
      <w:r>
        <w:rPr>
          <w:color w:val="145386"/>
        </w:rPr>
        <w:t>31. Heat Rate Options  (/heat-rate-options)</w:t>
      </w:r>
    </w:p>
    <w:p>
      <w:r>
        <w:t>Purpose: Bachelier (normal distribution) spark spread options pricer — industry standard for negative-forward-tolerant gas/power option pricing.</w:t>
      </w:r>
    </w:p>
    <w:p>
      <w:r>
        <w:t>Data: GET /api/gas-prices/spark-spread-options → gas_prices + ercot_node_stats (monthly HH gas, ERCOT DA hub prices, realised spark volatility).</w:t>
      </w:r>
    </w:p>
    <w:p>
      <w:r>
        <w:t>Bachelier model (fully implemented in browser, no server-side compute):</w:t>
      </w:r>
    </w:p>
    <w:p>
      <w:pPr>
        <w:pStyle w:val="ListBullet"/>
      </w:pPr>
      <w:r>
        <w:t>Forward spark spread F = Power_DA − heat_rate × gas_price</w:t>
      </w:r>
    </w:p>
    <w:p>
      <w:pPr>
        <w:pStyle w:val="ListBullet"/>
      </w:pPr>
      <w:r>
        <w:t>d = (F − K) / (σ_abs × √T)</w:t>
      </w:r>
    </w:p>
    <w:p>
      <w:pPr>
        <w:pStyle w:val="ListBullet"/>
      </w:pPr>
      <w:r>
        <w:t>Premium (call) = e^{−rT} × [(F−K)×N(d) + σ_abs√T × φ(d)]</w:t>
      </w:r>
    </w:p>
    <w:p>
      <w:r>
        <w:t>Greeks calculated: Delta, Gamma, Vega, Theta, Rho.</w:t>
      </w:r>
    </w:p>
    <w:p>
      <w:r>
        <w:t>UI inputs: Hub node, Heat Rate (BTU/kWh), Strike K, Time to Expiry (days), Risk-Free Rate (%), Absolute Vol ($/MWh), Call/Put toggle.</w:t>
      </w:r>
    </w:p>
    <w:p>
      <w:r>
        <w:t>Charts: Premium vs Strike curve; Delta vs Strike; Vega vs Strike; Historical implied heat rate vs realised vol scatter.</w:t>
      </w:r>
    </w:p>
    <w:p>
      <w:r>
        <w:br w:type="page"/>
      </w:r>
    </w:p>
    <w:p>
      <w:pPr>
        <w:pStyle w:val="Heading1"/>
      </w:pPr>
      <w:r>
        <w:rPr>
          <w:color w:val="0F172A"/>
        </w:rPr>
        <w:t>GROUP 7: Load &amp; Demand Intelligence</w:t>
      </w:r>
    </w:p>
    <w:p>
      <w:pPr>
        <w:pStyle w:val="Heading2"/>
      </w:pPr>
      <w:r>
        <w:rPr>
          <w:color w:val="145386"/>
        </w:rPr>
        <w:t>32. Weather &amp; Temperature  (/weather)</w:t>
      </w:r>
    </w:p>
    <w:p>
      <w:r>
        <w:t>APIs:</w:t>
      </w:r>
    </w:p>
    <w:p>
      <w:pPr>
        <w:pStyle w:val="ListBullet"/>
      </w:pPr>
      <w:r>
        <w:t>useGetTemperature({market, zone, year, month}) → hourly_temperatures (21,168 rows per zone: 8 ERCOT + 3 CAISO zones)</w:t>
      </w:r>
    </w:p>
    <w:p>
      <w:pPr>
        <w:pStyle w:val="ListBullet"/>
      </w:pPr>
      <w:r>
        <w:t>useGetTemperatureStats({market, zone, year}) → monthly stats</w:t>
      </w:r>
    </w:p>
    <w:p>
      <w:pPr>
        <w:pStyle w:val="ListBullet"/>
      </w:pPr>
      <w:r>
        <w:t>useGetTemperatureForecast({zone, year, month}) → temperature_forecasts (12,056 rows, Jul 2026–Jun 2029)</w:t>
      </w:r>
    </w:p>
    <w:p>
      <w:pPr>
        <w:pStyle w:val="ListBullet"/>
      </w:pPr>
      <w:r>
        <w:t>useGetTemperatureForecastOverview({market}) → aggregated monthly forecast averages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Sub-Tab</w:t>
            </w:r>
          </w:p>
        </w:tc>
        <w:tc>
          <w:tcPr>
            <w:tcW w:type="dxa" w:w="3024"/>
          </w:tcPr>
          <w:p>
            <w:r>
              <w:rPr>
                <w:b/>
              </w:rPr>
              <w:t>Data</w:t>
            </w:r>
          </w:p>
        </w:tc>
        <w:tc>
          <w:tcPr>
            <w:tcW w:type="dxa" w:w="3024"/>
          </w:tcPr>
          <w:p>
            <w:r>
              <w:rPr>
                <w:b/>
              </w:rPr>
              <w:t>What It Shows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</w:tcPr>
          <w:p>
            <w:r>
              <w:t>Actuals — Daily Avg</w:t>
            </w:r>
          </w:p>
        </w:tc>
        <w:tc>
          <w:tcPr>
            <w:tcW w:type="dxa" w:w="3024"/>
          </w:tcPr>
          <w:p>
            <w:r>
              <w:t>hourly_temperatures</w:t>
            </w:r>
          </w:p>
        </w:tc>
        <w:tc>
          <w:tcPr>
            <w:tcW w:type="dxa" w:w="3024"/>
          </w:tcPr>
          <w:p>
            <w:r>
              <w:t>Line chart: avg °F per day across all zones for selected market/month</w:t>
            </w:r>
          </w:p>
        </w:tc>
      </w:tr>
      <w:tr>
        <w:tc>
          <w:tcPr>
            <w:tcW w:type="dxa" w:w="3024"/>
          </w:tcPr>
          <w:p>
            <w:r>
              <w:t>Actuals — Hourly Profile</w:t>
            </w:r>
          </w:p>
        </w:tc>
        <w:tc>
          <w:tcPr>
            <w:tcW w:type="dxa" w:w="3024"/>
          </w:tcPr>
          <w:p>
            <w:r>
              <w:t>hourly_temperatures</w:t>
            </w:r>
          </w:p>
        </w:tc>
        <w:tc>
          <w:tcPr>
            <w:tcW w:type="dxa" w:w="3024"/>
          </w:tcPr>
          <w:p>
            <w:r>
              <w:t>24-point avg temperature curve by zone (diurnal pattern heatmap)</w:t>
            </w:r>
          </w:p>
        </w:tc>
      </w:tr>
      <w:tr>
        <w:tc>
          <w:tcPr>
            <w:tcW w:type="dxa" w:w="3024"/>
          </w:tcPr>
          <w:p>
            <w:r>
              <w:t>Actuals — Monthly Stats</w:t>
            </w:r>
          </w:p>
        </w:tc>
        <w:tc>
          <w:tcPr>
            <w:tcW w:type="dxa" w:w="3024"/>
          </w:tcPr>
          <w:p>
            <w:r>
              <w:t>hourly_temperatures</w:t>
            </w:r>
          </w:p>
        </w:tc>
        <w:tc>
          <w:tcPr>
            <w:tcW w:type="dxa" w:w="3024"/>
          </w:tcPr>
          <w:p>
            <w:r>
              <w:t>Monthly stats table: avg, min, max, HDD/CDD degree-days</w:t>
            </w:r>
          </w:p>
        </w:tc>
      </w:tr>
      <w:tr>
        <w:tc>
          <w:tcPr>
            <w:tcW w:type="dxa" w:w="3024"/>
          </w:tcPr>
          <w:p>
            <w:r>
              <w:t>Climate Forecast 2026–2029</w:t>
            </w:r>
          </w:p>
        </w:tc>
        <w:tc>
          <w:tcPr>
            <w:tcW w:type="dxa" w:w="3024"/>
          </w:tcPr>
          <w:p>
            <w:r>
              <w:t>temperature_forecasts</w:t>
            </w:r>
          </w:p>
        </w:tc>
        <w:tc>
          <w:tcPr>
            <w:tcW w:type="dxa" w:w="3024"/>
          </w:tcPr>
          <w:p>
            <w:r>
              <w:t>3-year monthly mean projection with +0.3°F/yr warming trend; zone breakdown</w:t>
            </w:r>
          </w:p>
        </w:tc>
      </w:tr>
    </w:tbl>
    <w:p/>
    <w:p>
      <w:r>
        <w:t>Zone coverage: 8 ERCOT EIA-930 weather zones + NP15/SP15/ZP26.</w:t>
      </w:r>
    </w:p>
    <w:p>
      <w:pPr>
        <w:pStyle w:val="Heading2"/>
      </w:pPr>
      <w:r>
        <w:rPr>
          <w:color w:val="145386"/>
        </w:rPr>
        <w:t>33. EV Charging Load  (/ev-charging)</w:t>
      </w:r>
    </w:p>
    <w:p>
      <w:r>
        <w:t>Data: Hardcoded projection arrays (TxDMV + CEC/DOE AFDC sources) + GET /api/load-forecast/overview → load_forecasts table.</w:t>
      </w:r>
    </w:p>
    <w:p>
      <w:r>
        <w:t>EV projections (built-in, updated Jul 2026):</w:t>
      </w:r>
    </w:p>
    <w:p>
      <w:pPr>
        <w:pStyle w:val="ListBullet"/>
      </w:pPr>
      <w:r>
        <w:t>ERCOT: 380K EVs end-2024 → 830K by 2029 (16% CAGR); 1.51 kW avg load/vehicle</w:t>
      </w:r>
    </w:p>
    <w:p>
      <w:pPr>
        <w:pStyle w:val="ListBullet"/>
      </w:pPr>
      <w:r>
        <w:t>CAISO: 1.9M ZEVs end-2024 → 3.55M by 2029 (13% CAGR); 1.40 kW avg load/vehicle</w:t>
      </w:r>
    </w:p>
    <w:p>
      <w:r>
        <w:t>Charts: ERCOT + CAISO total EV load MW by year (bar); zone breakdown stacked bar; combined growth trajectory area chart.</w:t>
      </w:r>
    </w:p>
    <w:p>
      <w:r>
        <w:t>DB integration: load_forecasts table has ev_mw column (incremental EV load per zone per day).</w:t>
      </w:r>
    </w:p>
    <w:p>
      <w:pPr>
        <w:pStyle w:val="Heading2"/>
      </w:pPr>
      <w:r>
        <w:rPr>
          <w:color w:val="145386"/>
        </w:rPr>
        <w:t>34. AI &amp; Datacenters  (/datacenters)</w:t>
      </w:r>
    </w:p>
    <w:p>
      <w:r>
        <w:t>API: GET /api/datacenters → datacenters table (55 rows: ERCOT/CAISO/PJM).</w:t>
      </w:r>
    </w:p>
    <w:p>
      <w:r>
        <w:t>Fields: name, operator, market, state, lat/lon, capacity MW, status (operational/construction/announced), COD date, nearest zone, notes.</w:t>
      </w:r>
    </w:p>
    <w:p>
      <w:r>
        <w:t>KPIs (per market): Operational MW, Pipeline MW, Total Count, Avg MW per facility.</w:t>
      </w:r>
    </w:p>
    <w:p>
      <w:r>
        <w:t>Charts: Stacked bar (state × status × MW); Bar (top facilities by capacity MW).</w:t>
      </w:r>
    </w:p>
    <w:p>
      <w:pPr>
        <w:pStyle w:val="Heading2"/>
      </w:pPr>
      <w:r>
        <w:rPr>
          <w:color w:val="145386"/>
        </w:rPr>
        <w:t>35. Load Forecast Stress Test  (/load-forecast-stress)</w:t>
      </w:r>
    </w:p>
    <w:p>
      <w:r>
        <w:t>Purpose: 3-year daily load forecast (Jul 2026–Jun 2029) combined with PyPSA OPF stress testing at the forecast peak.</w:t>
      </w:r>
    </w:p>
    <w:p>
      <w:r>
        <w:t>APIs:</w:t>
      </w:r>
    </w:p>
    <w:p>
      <w:pPr>
        <w:pStyle w:val="ListBullet"/>
      </w:pPr>
      <w:r>
        <w:t>GET /api/load-forecast/daily?market= → load_forecasts (8,768 rows: 8 ERCOT zones × 1,096 days); columns: base_mw, ev_mw, dc_mw, total_mw</w:t>
      </w:r>
    </w:p>
    <w:p>
      <w:pPr>
        <w:pStyle w:val="ListBullet"/>
      </w:pPr>
      <w:r>
        <w:t>POST /pypsa/scarcity — runs OPF at forecast peak with user-defined renewable/gas stress parameters</w:t>
      </w:r>
    </w:p>
    <w:p>
      <w:r>
        <w:t>ERCOT zone → 5-bus hub mapping (hardcoded):</w:t>
      </w:r>
    </w:p>
    <w:p>
      <w:pPr>
        <w:pStyle w:val="ListBullet"/>
      </w:pPr>
      <w:r>
        <w:t>HOUSTON hub = COAS + EAST zones</w:t>
      </w:r>
    </w:p>
    <w:p>
      <w:pPr>
        <w:pStyle w:val="ListBullet"/>
      </w:pPr>
      <w:r>
        <w:t>NORTH hub = NCEN + NRTH zones</w:t>
      </w:r>
    </w:p>
    <w:p>
      <w:pPr>
        <w:pStyle w:val="ListBullet"/>
      </w:pPr>
      <w:r>
        <w:t>WEST hub = FWES + WEST zones</w:t>
      </w:r>
    </w:p>
    <w:p>
      <w:pPr>
        <w:pStyle w:val="ListBullet"/>
      </w:pPr>
      <w:r>
        <w:t>SOUTH hub = SCEN + SOUT zones</w:t>
      </w:r>
    </w:p>
    <w:p>
      <w:r>
        <w:t>EIA 860 2024 nameplate constants: Wind = 38,566.7 MW; Solar = 22,171.5 MW; Gas (Tier-1 PyPSA model) = 96,241 MW.</w:t>
      </w:r>
    </w:p>
    <w:p>
      <w:r>
        <w:t>Charts: Load forecast area chart by component (Base / EV / DC), daily for 1,096 days; hub breakdown bar; peak load day identification; PyPSA stress test results (scarcity level, LMP per bus, load shed MW, reserve margin %).</w:t>
      </w:r>
    </w:p>
    <w:p>
      <w:r>
        <w:t>CAISO section: No OPF — shows real EIA-860 capacity vs slider-based reserve margin only.</w:t>
      </w:r>
    </w:p>
    <w:p>
      <w:r>
        <w:br w:type="page"/>
      </w:r>
    </w:p>
    <w:p>
      <w:pPr>
        <w:pStyle w:val="Heading1"/>
      </w:pPr>
      <w:r>
        <w:rPr>
          <w:color w:val="0F172A"/>
        </w:rPr>
        <w:t>Summary: All Routes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1814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1814"/>
          </w:tcPr>
          <w:p>
            <w:r>
              <w:rPr>
                <w:b/>
              </w:rPr>
              <w:t>DB Table(s)</w:t>
            </w:r>
          </w:p>
        </w:tc>
        <w:tc>
          <w:tcPr>
            <w:tcW w:type="dxa" w:w="1814"/>
          </w:tcPr>
          <w:p>
            <w:r>
              <w:rPr>
                <w:b/>
              </w:rPr>
              <w:t>Live Compute</w:t>
            </w:r>
          </w:p>
        </w:tc>
        <w:tc>
          <w:tcPr>
            <w:tcW w:type="dxa" w:w="1814"/>
          </w:tcPr>
          <w:p>
            <w:r>
              <w:rPr>
                <w:b/>
              </w:rPr>
              <w:t>Chart Types</w:t>
            </w:r>
          </w:p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  <w:tc>
          <w:tcPr>
            <w:tcW w:type="dxa" w:w="1814"/>
          </w:tcPr>
          <w:p/>
        </w:tc>
      </w:tr>
      <w:tr>
        <w:tc>
          <w:tcPr>
            <w:tcW w:type="dxa" w:w="1814"/>
          </w:tcPr>
          <w:p>
            <w:r>
              <w:t>/</w:t>
            </w:r>
          </w:p>
        </w:tc>
        <w:tc>
          <w:tcPr>
            <w:tcW w:type="dxa" w:w="1814"/>
          </w:tcPr>
          <w:p>
            <w:r>
              <w:t>Core</w:t>
            </w:r>
          </w:p>
        </w:tc>
        <w:tc>
          <w:tcPr>
            <w:tcW w:type="dxa" w:w="1814"/>
          </w:tcPr>
          <w:p>
            <w:r>
              <w:t>candidates, queue_projects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Stacked bar</w:t>
            </w:r>
          </w:p>
        </w:tc>
      </w:tr>
      <w:tr>
        <w:tc>
          <w:tcPr>
            <w:tcW w:type="dxa" w:w="1814"/>
          </w:tcPr>
          <w:p>
            <w:r>
              <w:t>/rankings</w:t>
            </w:r>
          </w:p>
        </w:tc>
        <w:tc>
          <w:tcPr>
            <w:tcW w:type="dxa" w:w="1814"/>
          </w:tcPr>
          <w:p>
            <w:r>
              <w:t>Core</w:t>
            </w:r>
          </w:p>
        </w:tc>
        <w:tc>
          <w:tcPr>
            <w:tcW w:type="dxa" w:w="1814"/>
          </w:tcPr>
          <w:p>
            <w:r>
              <w:t>candidates, screenings</w:t>
            </w:r>
          </w:p>
        </w:tc>
        <w:tc>
          <w:tcPr>
            <w:tcW w:type="dxa" w:w="1814"/>
          </w:tcPr>
          <w:p>
            <w:r>
              <w:t>Scoring in browser</w:t>
            </w:r>
          </w:p>
        </w:tc>
        <w:tc>
          <w:tcPr>
            <w:tcW w:type="dxa" w:w="1814"/>
          </w:tcPr>
          <w:p>
            <w:r>
              <w:t>Mini bar stacks, progress bars</w:t>
            </w:r>
          </w:p>
        </w:tc>
      </w:tr>
      <w:tr>
        <w:tc>
          <w:tcPr>
            <w:tcW w:type="dxa" w:w="1814"/>
          </w:tcPr>
          <w:p>
            <w:r>
              <w:t>/map</w:t>
            </w:r>
          </w:p>
        </w:tc>
        <w:tc>
          <w:tcPr>
            <w:tcW w:type="dxa" w:w="1814"/>
          </w:tcPr>
          <w:p>
            <w:r>
              <w:t>Core</w:t>
            </w:r>
          </w:p>
        </w:tc>
        <w:tc>
          <w:tcPr>
            <w:tcW w:type="dxa" w:w="1814"/>
          </w:tcPr>
          <w:p>
            <w:r>
              <w:t>candidates, queue_projects, transmission_lines, datacenters</w:t>
            </w:r>
          </w:p>
        </w:tc>
        <w:tc>
          <w:tcPr>
            <w:tcW w:type="dxa" w:w="1814"/>
          </w:tcPr>
          <w:p>
            <w:r>
              <w:t>Overpass API (DC)</w:t>
            </w:r>
          </w:p>
        </w:tc>
        <w:tc>
          <w:tcPr>
            <w:tcW w:type="dxa" w:w="1814"/>
          </w:tcPr>
          <w:p>
            <w:r>
              <w:t>Leaflet map</w:t>
            </w:r>
          </w:p>
        </w:tc>
      </w:tr>
      <w:tr>
        <w:tc>
          <w:tcPr>
            <w:tcW w:type="dxa" w:w="1814"/>
          </w:tcPr>
          <w:p>
            <w:r>
              <w:t>/screenings</w:t>
            </w:r>
          </w:p>
        </w:tc>
        <w:tc>
          <w:tcPr>
            <w:tcW w:type="dxa" w:w="1814"/>
          </w:tcPr>
          <w:p>
            <w:r>
              <w:t>Core</w:t>
            </w:r>
          </w:p>
        </w:tc>
        <w:tc>
          <w:tcPr>
            <w:tcW w:type="dxa" w:w="1814"/>
          </w:tcPr>
          <w:p>
            <w:r>
              <w:t>screenings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Table</w:t>
            </w:r>
          </w:p>
        </w:tc>
      </w:tr>
      <w:tr>
        <w:tc>
          <w:tcPr>
            <w:tcW w:type="dxa" w:w="1814"/>
          </w:tcPr>
          <w:p>
            <w:r>
              <w:t>/export</w:t>
            </w:r>
          </w:p>
        </w:tc>
        <w:tc>
          <w:tcPr>
            <w:tcW w:type="dxa" w:w="1814"/>
          </w:tcPr>
          <w:p>
            <w:r>
              <w:t>Core</w:t>
            </w:r>
          </w:p>
        </w:tc>
        <w:tc>
          <w:tcPr>
            <w:tcW w:type="dxa" w:w="1814"/>
          </w:tcPr>
          <w:p>
            <w:r>
              <w:t>candidates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—</w:t>
            </w:r>
          </w:p>
        </w:tc>
      </w:tr>
      <w:tr>
        <w:tc>
          <w:tcPr>
            <w:tcW w:type="dxa" w:w="1814"/>
          </w:tcPr>
          <w:p>
            <w:r>
              <w:t>/qa</w:t>
            </w:r>
          </w:p>
        </w:tc>
        <w:tc>
          <w:tcPr>
            <w:tcW w:type="dxa" w:w="1814"/>
          </w:tcPr>
          <w:p>
            <w:r>
              <w:t>Core</w:t>
            </w:r>
          </w:p>
        </w:tc>
        <w:tc>
          <w:tcPr>
            <w:tcW w:type="dxa" w:w="1814"/>
          </w:tcPr>
          <w:p>
            <w:r>
              <w:t>All tables</w:t>
            </w:r>
          </w:p>
        </w:tc>
        <w:tc>
          <w:tcPr>
            <w:tcW w:type="dxa" w:w="1814"/>
          </w:tcPr>
          <w:p>
            <w:r>
              <w:t>PyPSA OPF + web search</w:t>
            </w:r>
          </w:p>
        </w:tc>
        <w:tc>
          <w:tcPr>
            <w:tcW w:type="dxa" w:w="1814"/>
          </w:tcPr>
          <w:p>
            <w:r>
              <w:t>Tables, line/bar charts</w:t>
            </w:r>
          </w:p>
        </w:tc>
      </w:tr>
      <w:tr>
        <w:tc>
          <w:tcPr>
            <w:tcW w:type="dxa" w:w="1814"/>
          </w:tcPr>
          <w:p>
            <w:r>
              <w:t>/ercot</w:t>
            </w:r>
          </w:p>
        </w:tc>
        <w:tc>
          <w:tcPr>
            <w:tcW w:type="dxa" w:w="1814"/>
          </w:tcPr>
          <w:p>
            <w:r>
              <w:t>Historical</w:t>
            </w:r>
          </w:p>
        </w:tc>
        <w:tc>
          <w:tcPr>
            <w:tcW w:type="dxa" w:w="1814"/>
          </w:tcPr>
          <w:p>
            <w:r>
              <w:t>ercot_node_stats, ercot_load_by_zone, ercot_fuel_mix, ercot_hub_hourly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Line, area, bar, pie</w:t>
            </w:r>
          </w:p>
        </w:tc>
      </w:tr>
      <w:tr>
        <w:tc>
          <w:tcPr>
            <w:tcW w:type="dxa" w:w="1814"/>
          </w:tcPr>
          <w:p>
            <w:r>
              <w:t>/caiso</w:t>
            </w:r>
          </w:p>
        </w:tc>
        <w:tc>
          <w:tcPr>
            <w:tcW w:type="dxa" w:w="1814"/>
          </w:tcPr>
          <w:p>
            <w:r>
              <w:t>Historical</w:t>
            </w:r>
          </w:p>
        </w:tc>
        <w:tc>
          <w:tcPr>
            <w:tcW w:type="dxa" w:w="1814"/>
          </w:tcPr>
          <w:p>
            <w:r>
              <w:t>caiso_node_stats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Line, bar</w:t>
            </w:r>
          </w:p>
        </w:tc>
      </w:tr>
      <w:tr>
        <w:tc>
          <w:tcPr>
            <w:tcW w:type="dxa" w:w="1814"/>
          </w:tcPr>
          <w:p>
            <w:r>
              <w:t>/caiso-hourly</w:t>
            </w:r>
          </w:p>
        </w:tc>
        <w:tc>
          <w:tcPr>
            <w:tcW w:type="dxa" w:w="1814"/>
          </w:tcPr>
          <w:p>
            <w:r>
              <w:t>Historical</w:t>
            </w:r>
          </w:p>
        </w:tc>
        <w:tc>
          <w:tcPr>
            <w:tcW w:type="dxa" w:w="1814"/>
          </w:tcPr>
          <w:p>
            <w:r>
              <w:t>caiso_hub_hourly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24-hr bar</w:t>
            </w:r>
          </w:p>
        </w:tc>
      </w:tr>
      <w:tr>
        <w:tc>
          <w:tcPr>
            <w:tcW w:type="dxa" w:w="1814"/>
          </w:tcPr>
          <w:p>
            <w:r>
              <w:t>/nodal</w:t>
            </w:r>
          </w:p>
        </w:tc>
        <w:tc>
          <w:tcPr>
            <w:tcW w:type="dxa" w:w="1814"/>
          </w:tcPr>
          <w:p>
            <w:r>
              <w:t>Historical</w:t>
            </w:r>
          </w:p>
        </w:tc>
        <w:tc>
          <w:tcPr>
            <w:tcW w:type="dxa" w:w="1814"/>
          </w:tcPr>
          <w:p>
            <w:r>
              <w:t>ercot_node_stats, caiso_node_stats, bus shift factors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Line, area</w:t>
            </w:r>
          </w:p>
        </w:tc>
      </w:tr>
      <w:tr>
        <w:tc>
          <w:tcPr>
            <w:tcW w:type="dxa" w:w="1814"/>
          </w:tcPr>
          <w:p>
            <w:r>
              <w:t>/ercot-dispatch</w:t>
            </w:r>
          </w:p>
        </w:tc>
        <w:tc>
          <w:tcPr>
            <w:tcW w:type="dxa" w:w="1814"/>
          </w:tcPr>
          <w:p>
            <w:r>
              <w:t>Historical</w:t>
            </w:r>
          </w:p>
        </w:tc>
        <w:tc>
          <w:tcPr>
            <w:tcW w:type="dxa" w:w="1814"/>
          </w:tcPr>
          <w:p>
            <w:r>
              <w:t>ercot_hourly_dispatch, mv_dispatch_monthly, mv_capture_monthly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Merit order, bar, line</w:t>
            </w:r>
          </w:p>
        </w:tc>
      </w:tr>
      <w:tr>
        <w:tc>
          <w:tcPr>
            <w:tcW w:type="dxa" w:w="1814"/>
          </w:tcPr>
          <w:p>
            <w:r>
              <w:t>/ercot-gas</w:t>
            </w:r>
          </w:p>
        </w:tc>
        <w:tc>
          <w:tcPr>
            <w:tcW w:type="dxa" w:w="1814"/>
          </w:tcPr>
          <w:p>
            <w:r>
              <w:t>Historical</w:t>
            </w:r>
          </w:p>
        </w:tc>
        <w:tc>
          <w:tcPr>
            <w:tcW w:type="dxa" w:w="1814"/>
          </w:tcPr>
          <w:p>
            <w:r>
              <w:t>gas_prices, ercot_node_stats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Line, bar, scatter</w:t>
            </w:r>
          </w:p>
        </w:tc>
      </w:tr>
      <w:tr>
        <w:tc>
          <w:tcPr>
            <w:tcW w:type="dxa" w:w="1814"/>
          </w:tcPr>
          <w:p>
            <w:r>
              <w:t>/ci</w:t>
            </w:r>
          </w:p>
        </w:tc>
        <w:tc>
          <w:tcPr>
            <w:tcW w:type="dxa" w:w="1814"/>
          </w:tcPr>
          <w:p>
            <w:r>
              <w:t>CI Suite</w:t>
            </w:r>
          </w:p>
        </w:tc>
        <w:tc>
          <w:tcPr>
            <w:tcW w:type="dxa" w:w="1814"/>
          </w:tcPr>
          <w:p>
            <w:r>
              <w:t>ercot_node_stats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Stacked bar</w:t>
            </w:r>
          </w:p>
        </w:tc>
      </w:tr>
      <w:tr>
        <w:tc>
          <w:tcPr>
            <w:tcW w:type="dxa" w:w="1814"/>
          </w:tcPr>
          <w:p>
            <w:r>
              <w:t>/ci-heatmap</w:t>
            </w:r>
          </w:p>
        </w:tc>
        <w:tc>
          <w:tcPr>
            <w:tcW w:type="dxa" w:w="1814"/>
          </w:tcPr>
          <w:p>
            <w:r>
              <w:t>CI Suite</w:t>
            </w:r>
          </w:p>
        </w:tc>
        <w:tc>
          <w:tcPr>
            <w:tcW w:type="dxa" w:w="1814"/>
          </w:tcPr>
          <w:p>
            <w:r>
              <w:t>ercot_node_stats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Node × month heatmap</w:t>
            </w:r>
          </w:p>
        </w:tc>
      </w:tr>
      <w:tr>
        <w:tc>
          <w:tcPr>
            <w:tcW w:type="dxa" w:w="1814"/>
          </w:tcPr>
          <w:p>
            <w:r>
              <w:t>/ci-node</w:t>
            </w:r>
          </w:p>
        </w:tc>
        <w:tc>
          <w:tcPr>
            <w:tcW w:type="dxa" w:w="1814"/>
          </w:tcPr>
          <w:p>
            <w:r>
              <w:t>CI Suite</w:t>
            </w:r>
          </w:p>
        </w:tc>
        <w:tc>
          <w:tcPr>
            <w:tcW w:type="dxa" w:w="1814"/>
          </w:tcPr>
          <w:p>
            <w:r>
              <w:t>ercot_node_stats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Line</w:t>
            </w:r>
          </w:p>
        </w:tc>
      </w:tr>
      <w:tr>
        <w:tc>
          <w:tcPr>
            <w:tcW w:type="dxa" w:w="1814"/>
          </w:tcPr>
          <w:p>
            <w:r>
              <w:t>/ci-basis</w:t>
            </w:r>
          </w:p>
        </w:tc>
        <w:tc>
          <w:tcPr>
            <w:tcW w:type="dxa" w:w="1814"/>
          </w:tcPr>
          <w:p>
            <w:r>
              <w:t>CI Suite</w:t>
            </w:r>
          </w:p>
        </w:tc>
        <w:tc>
          <w:tcPr>
            <w:tcW w:type="dxa" w:w="1814"/>
          </w:tcPr>
          <w:p>
            <w:r>
              <w:t>ercot_node_stats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Scatter + line</w:t>
            </w:r>
          </w:p>
        </w:tc>
      </w:tr>
      <w:tr>
        <w:tc>
          <w:tcPr>
            <w:tcW w:type="dxa" w:w="1814"/>
          </w:tcPr>
          <w:p>
            <w:r>
              <w:t>/ci-backtest</w:t>
            </w:r>
          </w:p>
        </w:tc>
        <w:tc>
          <w:tcPr>
            <w:tcW w:type="dxa" w:w="1814"/>
          </w:tcPr>
          <w:p>
            <w:r>
              <w:t>CI Suite</w:t>
            </w:r>
          </w:p>
        </w:tc>
        <w:tc>
          <w:tcPr>
            <w:tcW w:type="dxa" w:w="1814"/>
          </w:tcPr>
          <w:p>
            <w:r>
              <w:t>ercot_node_stats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Bar</w:t>
            </w:r>
          </w:p>
        </w:tc>
      </w:tr>
      <w:tr>
        <w:tc>
          <w:tcPr>
            <w:tcW w:type="dxa" w:w="1814"/>
          </w:tcPr>
          <w:p>
            <w:r>
              <w:t>/ci-quality</w:t>
            </w:r>
          </w:p>
        </w:tc>
        <w:tc>
          <w:tcPr>
            <w:tcW w:type="dxa" w:w="1814"/>
          </w:tcPr>
          <w:p>
            <w:r>
              <w:t>CI Suite</w:t>
            </w:r>
          </w:p>
        </w:tc>
        <w:tc>
          <w:tcPr>
            <w:tcW w:type="dxa" w:w="1814"/>
          </w:tcPr>
          <w:p>
            <w:r>
              <w:t>ercot_node_stats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Coverage grid</w:t>
            </w:r>
          </w:p>
        </w:tc>
      </w:tr>
      <w:tr>
        <w:tc>
          <w:tcPr>
            <w:tcW w:type="dxa" w:w="1814"/>
          </w:tcPr>
          <w:p>
            <w:r>
              <w:t>/ci-methodology</w:t>
            </w:r>
          </w:p>
        </w:tc>
        <w:tc>
          <w:tcPr>
            <w:tcW w:type="dxa" w:w="1814"/>
          </w:tcPr>
          <w:p>
            <w:r>
              <w:t>CI Suite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Static</w:t>
            </w:r>
          </w:p>
        </w:tc>
      </w:tr>
      <w:tr>
        <w:tc>
          <w:tcPr>
            <w:tcW w:type="dxa" w:w="1814"/>
          </w:tcPr>
          <w:p>
            <w:r>
              <w:t>/pypsa-network</w:t>
            </w:r>
          </w:p>
        </w:tc>
        <w:tc>
          <w:tcPr>
            <w:tcW w:type="dxa" w:w="1814"/>
          </w:tcPr>
          <w:p>
            <w:r>
              <w:t>PyPSA</w:t>
            </w:r>
          </w:p>
        </w:tc>
        <w:tc>
          <w:tcPr>
            <w:tcW w:type="dxa" w:w="1814"/>
          </w:tcPr>
          <w:p>
            <w:r>
              <w:t>gas_prices (historical mode)</w:t>
            </w:r>
          </w:p>
        </w:tc>
        <w:tc>
          <w:tcPr>
            <w:tcW w:type="dxa" w:w="1814"/>
          </w:tcPr>
          <w:p>
            <w:r>
              <w:t>HiGHS LP OPF</w:t>
            </w:r>
          </w:p>
        </w:tc>
        <w:tc>
          <w:tcPr>
            <w:tcW w:type="dxa" w:w="1814"/>
          </w:tcPr>
          <w:p>
            <w:r>
              <w:t>Leaflet + bar</w:t>
            </w:r>
          </w:p>
        </w:tc>
      </w:tr>
      <w:tr>
        <w:tc>
          <w:tcPr>
            <w:tcW w:type="dxa" w:w="1814"/>
          </w:tcPr>
          <w:p>
            <w:r>
              <w:t>/pypsa-curtailment</w:t>
            </w:r>
          </w:p>
        </w:tc>
        <w:tc>
          <w:tcPr>
            <w:tcW w:type="dxa" w:w="1814"/>
          </w:tcPr>
          <w:p>
            <w:r>
              <w:t>PyPSA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HiGHS LP</w:t>
            </w:r>
          </w:p>
        </w:tc>
        <w:tc>
          <w:tcPr>
            <w:tcW w:type="dxa" w:w="1814"/>
          </w:tcPr>
          <w:p>
            <w:r>
              <w:t>Bar, SVG schematic</w:t>
            </w:r>
          </w:p>
        </w:tc>
      </w:tr>
      <w:tr>
        <w:tc>
          <w:tcPr>
            <w:tcW w:type="dxa" w:w="1814"/>
          </w:tcPr>
          <w:p>
            <w:r>
              <w:t>/pypsa-tx-relief</w:t>
            </w:r>
          </w:p>
        </w:tc>
        <w:tc>
          <w:tcPr>
            <w:tcW w:type="dxa" w:w="1814"/>
          </w:tcPr>
          <w:p>
            <w:r>
              <w:t>PyPSA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HiGHS LP</w:t>
            </w:r>
          </w:p>
        </w:tc>
        <w:tc>
          <w:tcPr>
            <w:tcW w:type="dxa" w:w="1814"/>
          </w:tcPr>
          <w:p>
            <w:r>
              <w:t>Bar (before/after)</w:t>
            </w:r>
          </w:p>
        </w:tc>
      </w:tr>
      <w:tr>
        <w:tc>
          <w:tcPr>
            <w:tcW w:type="dxa" w:w="1814"/>
          </w:tcPr>
          <w:p>
            <w:r>
              <w:t>/pypsa-scarcity</w:t>
            </w:r>
          </w:p>
        </w:tc>
        <w:tc>
          <w:tcPr>
            <w:tcW w:type="dxa" w:w="1814"/>
          </w:tcPr>
          <w:p>
            <w:r>
              <w:t>PyPSA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HiGHS LP</w:t>
            </w:r>
          </w:p>
        </w:tc>
        <w:tc>
          <w:tcPr>
            <w:tcW w:type="dxa" w:w="1814"/>
          </w:tcPr>
          <w:p>
            <w:r>
              <w:t>Bar, radar</w:t>
            </w:r>
          </w:p>
        </w:tc>
      </w:tr>
      <w:tr>
        <w:tc>
          <w:tcPr>
            <w:tcW w:type="dxa" w:w="1814"/>
          </w:tcPr>
          <w:p>
            <w:r>
              <w:t>/pypsa-battery</w:t>
            </w:r>
          </w:p>
        </w:tc>
        <w:tc>
          <w:tcPr>
            <w:tcW w:type="dxa" w:w="1814"/>
          </w:tcPr>
          <w:p>
            <w:r>
              <w:t>PyPSA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HiGHS LP</w:t>
            </w:r>
          </w:p>
        </w:tc>
        <w:tc>
          <w:tcPr>
            <w:tcW w:type="dxa" w:w="1814"/>
          </w:tcPr>
          <w:p>
            <w:r>
              <w:t>Area + line (hourly)</w:t>
            </w:r>
          </w:p>
        </w:tc>
      </w:tr>
      <w:tr>
        <w:tc>
          <w:tcPr>
            <w:tcW w:type="dxa" w:w="1814"/>
          </w:tcPr>
          <w:p>
            <w:r>
              <w:t>/pypsa-expansion</w:t>
            </w:r>
          </w:p>
        </w:tc>
        <w:tc>
          <w:tcPr>
            <w:tcW w:type="dxa" w:w="1814"/>
          </w:tcPr>
          <w:p>
            <w:r>
              <w:t>PyPSA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Multi-horizon LP</w:t>
            </w:r>
          </w:p>
        </w:tc>
        <w:tc>
          <w:tcPr>
            <w:tcW w:type="dxa" w:w="1814"/>
          </w:tcPr>
          <w:p>
            <w:r>
              <w:t>Stacked bar, line</w:t>
            </w:r>
          </w:p>
        </w:tc>
      </w:tr>
      <w:tr>
        <w:tc>
          <w:tcPr>
            <w:tcW w:type="dxa" w:w="1814"/>
          </w:tcPr>
          <w:p>
            <w:r>
              <w:t>/queue</w:t>
            </w:r>
          </w:p>
        </w:tc>
        <w:tc>
          <w:tcPr>
            <w:tcW w:type="dxa" w:w="1814"/>
          </w:tcPr>
          <w:p>
            <w:r>
              <w:t>IQ &amp; Stack</w:t>
            </w:r>
          </w:p>
        </w:tc>
        <w:tc>
          <w:tcPr>
            <w:tcW w:type="dxa" w:w="1814"/>
          </w:tcPr>
          <w:p>
            <w:r>
              <w:t>queue_projects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Donut, bar, table</w:t>
            </w:r>
          </w:p>
        </w:tc>
      </w:tr>
      <w:tr>
        <w:tc>
          <w:tcPr>
            <w:tcW w:type="dxa" w:w="1814"/>
          </w:tcPr>
          <w:p>
            <w:r>
              <w:t>/generators</w:t>
            </w:r>
          </w:p>
        </w:tc>
        <w:tc>
          <w:tcPr>
            <w:tcW w:type="dxa" w:w="1814"/>
          </w:tcPr>
          <w:p>
            <w:r>
              <w:t>IQ &amp; Stack</w:t>
            </w:r>
          </w:p>
        </w:tc>
        <w:tc>
          <w:tcPr>
            <w:tcW w:type="dxa" w:w="1814"/>
          </w:tcPr>
          <w:p>
            <w:r>
              <w:t>generators, thermal_params, candidates</w:t>
            </w:r>
          </w:p>
        </w:tc>
        <w:tc>
          <w:tcPr>
            <w:tcW w:type="dxa" w:w="1814"/>
          </w:tcPr>
          <w:p>
            <w:r>
              <w:t>Merit order math</w:t>
            </w:r>
          </w:p>
        </w:tc>
        <w:tc>
          <w:tcPr>
            <w:tcW w:type="dxa" w:w="1814"/>
          </w:tcPr>
          <w:p>
            <w:r>
              <w:t>Supply stack, bar</w:t>
            </w:r>
          </w:p>
        </w:tc>
      </w:tr>
      <w:tr>
        <w:tc>
          <w:tcPr>
            <w:tcW w:type="dxa" w:w="1814"/>
          </w:tcPr>
          <w:p>
            <w:r>
              <w:t>/recs</w:t>
            </w:r>
          </w:p>
        </w:tc>
        <w:tc>
          <w:tcPr>
            <w:tcW w:type="dxa" w:w="1814"/>
          </w:tcPr>
          <w:p>
            <w:r>
              <w:t>Market Intel</w:t>
            </w:r>
          </w:p>
        </w:tc>
        <w:tc>
          <w:tcPr>
            <w:tcW w:type="dxa" w:w="1814"/>
          </w:tcPr>
          <w:p>
            <w:r>
              <w:t>candidates, queue_projects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Bar, pie, table</w:t>
            </w:r>
          </w:p>
        </w:tc>
      </w:tr>
      <w:tr>
        <w:tc>
          <w:tcPr>
            <w:tcW w:type="dxa" w:w="1814"/>
          </w:tcPr>
          <w:p>
            <w:r>
              <w:t>/regulatory</w:t>
            </w:r>
          </w:p>
        </w:tc>
        <w:tc>
          <w:tcPr>
            <w:tcW w:type="dxa" w:w="1814"/>
          </w:tcPr>
          <w:p>
            <w:r>
              <w:t>Market Intel</w:t>
            </w:r>
          </w:p>
        </w:tc>
        <w:tc>
          <w:tcPr>
            <w:tcW w:type="dxa" w:w="1814"/>
          </w:tcPr>
          <w:p>
            <w:r>
              <w:t>regulatory_items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Stacked bar</w:t>
            </w:r>
          </w:p>
        </w:tc>
      </w:tr>
      <w:tr>
        <w:tc>
          <w:tcPr>
            <w:tcW w:type="dxa" w:w="1814"/>
          </w:tcPr>
          <w:p>
            <w:r>
              <w:t>/ppa</w:t>
            </w:r>
          </w:p>
        </w:tc>
        <w:tc>
          <w:tcPr>
            <w:tcW w:type="dxa" w:w="1814"/>
          </w:tcPr>
          <w:p>
            <w:r>
              <w:t>Market Intel</w:t>
            </w:r>
          </w:p>
        </w:tc>
        <w:tc>
          <w:tcPr>
            <w:tcW w:type="dxa" w:w="1814"/>
          </w:tcPr>
          <w:p>
            <w:r>
              <w:t>candidates</w:t>
            </w:r>
          </w:p>
        </w:tc>
        <w:tc>
          <w:tcPr>
            <w:tcW w:type="dxa" w:w="1814"/>
          </w:tcPr>
          <w:p>
            <w:r>
              <w:t>Monte Carlo NPV</w:t>
            </w:r>
          </w:p>
        </w:tc>
        <w:tc>
          <w:tcPr>
            <w:tcW w:type="dxa" w:w="1814"/>
          </w:tcPr>
          <w:p>
            <w:r>
              <w:t>Cashflow bar</w:t>
            </w:r>
          </w:p>
        </w:tc>
      </w:tr>
      <w:tr>
        <w:tc>
          <w:tcPr>
            <w:tcW w:type="dxa" w:w="1814"/>
          </w:tcPr>
          <w:p>
            <w:r>
              <w:t>/heat-rate-options</w:t>
            </w:r>
          </w:p>
        </w:tc>
        <w:tc>
          <w:tcPr>
            <w:tcW w:type="dxa" w:w="1814"/>
          </w:tcPr>
          <w:p>
            <w:r>
              <w:t>Market Intel</w:t>
            </w:r>
          </w:p>
        </w:tc>
        <w:tc>
          <w:tcPr>
            <w:tcW w:type="dxa" w:w="1814"/>
          </w:tcPr>
          <w:p>
            <w:r>
              <w:t>gas_prices, ercot_node_stats</w:t>
            </w:r>
          </w:p>
        </w:tc>
        <w:tc>
          <w:tcPr>
            <w:tcW w:type="dxa" w:w="1814"/>
          </w:tcPr>
          <w:p>
            <w:r>
              <w:t>Bachelier (browser)</w:t>
            </w:r>
          </w:p>
        </w:tc>
        <w:tc>
          <w:tcPr>
            <w:tcW w:type="dxa" w:w="1814"/>
          </w:tcPr>
          <w:p>
            <w:r>
              <w:t>Greeks curves</w:t>
            </w:r>
          </w:p>
        </w:tc>
      </w:tr>
      <w:tr>
        <w:tc>
          <w:tcPr>
            <w:tcW w:type="dxa" w:w="1814"/>
          </w:tcPr>
          <w:p>
            <w:r>
              <w:t>/weather</w:t>
            </w:r>
          </w:p>
        </w:tc>
        <w:tc>
          <w:tcPr>
            <w:tcW w:type="dxa" w:w="1814"/>
          </w:tcPr>
          <w:p>
            <w:r>
              <w:t>Load Intel</w:t>
            </w:r>
          </w:p>
        </w:tc>
        <w:tc>
          <w:tcPr>
            <w:tcW w:type="dxa" w:w="1814"/>
          </w:tcPr>
          <w:p>
            <w:r>
              <w:t>hourly_temperatures, temperature_forecasts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Line, area</w:t>
            </w:r>
          </w:p>
        </w:tc>
      </w:tr>
      <w:tr>
        <w:tc>
          <w:tcPr>
            <w:tcW w:type="dxa" w:w="1814"/>
          </w:tcPr>
          <w:p>
            <w:r>
              <w:t>/ev-charging</w:t>
            </w:r>
          </w:p>
        </w:tc>
        <w:tc>
          <w:tcPr>
            <w:tcW w:type="dxa" w:w="1814"/>
          </w:tcPr>
          <w:p>
            <w:r>
              <w:t>Load Intel</w:t>
            </w:r>
          </w:p>
        </w:tc>
        <w:tc>
          <w:tcPr>
            <w:tcW w:type="dxa" w:w="1814"/>
          </w:tcPr>
          <w:p>
            <w:r>
              <w:t>load_forecasts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Bar, area</w:t>
            </w:r>
          </w:p>
        </w:tc>
      </w:tr>
      <w:tr>
        <w:tc>
          <w:tcPr>
            <w:tcW w:type="dxa" w:w="1814"/>
          </w:tcPr>
          <w:p>
            <w:r>
              <w:t>/datacenters</w:t>
            </w:r>
          </w:p>
        </w:tc>
        <w:tc>
          <w:tcPr>
            <w:tcW w:type="dxa" w:w="1814"/>
          </w:tcPr>
          <w:p>
            <w:r>
              <w:t>Load Intel</w:t>
            </w:r>
          </w:p>
        </w:tc>
        <w:tc>
          <w:tcPr>
            <w:tcW w:type="dxa" w:w="1814"/>
          </w:tcPr>
          <w:p>
            <w:r>
              <w:t>datacenters</w:t>
            </w:r>
          </w:p>
        </w:tc>
        <w:tc>
          <w:tcPr>
            <w:tcW w:type="dxa" w:w="1814"/>
          </w:tcPr>
          <w:p>
            <w:r>
              <w:t>—</w:t>
            </w:r>
          </w:p>
        </w:tc>
        <w:tc>
          <w:tcPr>
            <w:tcW w:type="dxa" w:w="1814"/>
          </w:tcPr>
          <w:p>
            <w:r>
              <w:t>Bar, table</w:t>
            </w:r>
          </w:p>
        </w:tc>
      </w:tr>
      <w:tr>
        <w:tc>
          <w:tcPr>
            <w:tcW w:type="dxa" w:w="1814"/>
          </w:tcPr>
          <w:p>
            <w:r>
              <w:t>/load-forecast-stress</w:t>
            </w:r>
          </w:p>
        </w:tc>
        <w:tc>
          <w:tcPr>
            <w:tcW w:type="dxa" w:w="1814"/>
          </w:tcPr>
          <w:p>
            <w:r>
              <w:t>Load Intel</w:t>
            </w:r>
          </w:p>
        </w:tc>
        <w:tc>
          <w:tcPr>
            <w:tcW w:type="dxa" w:w="1814"/>
          </w:tcPr>
          <w:p>
            <w:r>
              <w:t>load_forecasts</w:t>
            </w:r>
          </w:p>
        </w:tc>
        <w:tc>
          <w:tcPr>
            <w:tcW w:type="dxa" w:w="1814"/>
          </w:tcPr>
          <w:p>
            <w:r>
              <w:t>PyPSA OPF at peak</w:t>
            </w:r>
          </w:p>
        </w:tc>
        <w:tc>
          <w:tcPr>
            <w:tcW w:type="dxa" w:w="1814"/>
          </w:tcPr>
          <w:p>
            <w:r>
              <w:t>Area, bar</w:t>
            </w:r>
          </w:p>
        </w:tc>
      </w:tr>
    </w:tbl>
    <w:p/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