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  <w:r>
        <w:rPr>
          <w:rFonts w:ascii="Arial" w:cs="Arial" w:eastAsia="Arial" w:hAnsi="Arial"/>
          <w:b/>
          <w:bCs/>
          <w:color w:val="C45C26"/>
          <w:sz w:val="20"/>
          <w:szCs w:val="20"/>
        </w:rPr>
        <w:t xml:space="preserve">SMART INDIA HACKATHON 2026</w:t>
      </w:r>
    </w:p>
    <w:p>
      <w:pPr>
        <w:spacing w:after="80" w:before="80"/>
      </w:pPr>
      <w:r>
        <w:rPr>
          <w:rFonts w:ascii="Arial" w:cs="Arial" w:eastAsia="Arial" w:hAnsi="Arial"/>
          <w:color w:val="5B6B7C"/>
          <w:sz w:val="20"/>
          <w:szCs w:val="20"/>
        </w:rPr>
        <w:t xml:space="preserve">Problem SIH26170  ·  Theme: Smart Automation  ·  Organisation: ISRO / Department of Space</w:t>
      </w:r>
    </w:p>
    <w:p>
      <w:pPr>
        <w:pBdr>
          <w:bottom w:val="single" w:color="1B365D" w:sz="20" w:space="4"/>
        </w:pBdr>
        <w:spacing w:after="280" w:before="400"/>
      </w:pPr>
      <w:r>
        <w:rPr>
          <w:rFonts w:ascii="Arial" w:cs="Arial" w:eastAsia="Arial" w:hAnsi="Arial"/>
          <w:b/>
          <w:bCs/>
          <w:color w:val="1B365D"/>
          <w:sz w:val="64"/>
          <w:szCs w:val="64"/>
        </w:rPr>
        <w:t xml:space="preserve">AETHER</w:t>
      </w:r>
    </w:p>
    <w:p>
      <w:pPr>
        <w:spacing w:after="80" w:before="0" w:line="276"/>
      </w:pPr>
      <w:r>
        <w:rPr>
          <w:rFonts w:ascii="Arial" w:cs="Arial" w:eastAsia="Arial" w:hAnsi="Arial"/>
          <w:color w:val="1B365D"/>
          <w:sz w:val="32"/>
          <w:szCs w:val="32"/>
        </w:rPr>
        <w:t xml:space="preserve">Adaptive ESS Thermal Health &amp; Early Reject</w:t>
      </w:r>
    </w:p>
    <w:p>
      <w:pPr>
        <w:spacing w:after="280" w:before="0" w:line="276"/>
      </w:pPr>
      <w:r>
        <w:rPr>
          <w:rFonts w:ascii="Arial" w:cs="Arial" w:eastAsia="Arial" w:hAnsi="Arial"/>
          <w:color w:val="C45C26"/>
          <w:sz w:val="26"/>
          <w:szCs w:val="26"/>
        </w:rPr>
        <w:t xml:space="preserve">Sources and references used to come up with the solution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2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62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Bibliography and source map (IEEE numbered)</w:t>
            </w:r>
          </w:p>
        </w:tc>
      </w:tr>
      <w:tr>
        <w:tc>
          <w:tcPr>
            <w:tcW w:type="dxa" w:w="2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Companion reports</w:t>
            </w:r>
          </w:p>
        </w:tc>
        <w:tc>
          <w:tcPr>
            <w:tcW w:type="dxa" w:w="62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AETHER_SIH26170_Technical_Report.docx; AETHER_ML_Modelling_Desktop_and_Web_Catalogue.docx</w:t>
            </w:r>
          </w:p>
        </w:tc>
      </w:tr>
      <w:tr>
        <w:tc>
          <w:tcPr>
            <w:tcW w:type="dxa" w:w="2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2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 September 2026</w:t>
            </w:r>
          </w:p>
        </w:tc>
      </w:tr>
      <w:tr>
        <w:tc>
          <w:tcPr>
            <w:tcW w:type="dxa" w:w="28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Purpose</w:t>
            </w:r>
          </w:p>
        </w:tc>
        <w:tc>
          <w:tcPr>
            <w:tcW w:type="dxa" w:w="62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Cite every standard, paper, and dataset that shaped Module A, Module B, burn-in cadence, and evaluation</w:t>
            </w:r>
          </w:p>
        </w:tc>
      </w:tr>
    </w:tbl>
    <w:p>
      <w:pPr>
        <w:spacing w:after="120"/>
      </w:pPr>
    </w:p>
    <w:p>
      <w:pPr>
        <w:spacing w:after="16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AETHER was not trained on a public ISRO flight dataset. Real screening data for space-grade parts is not published. The design starts from the SIH26170 problem statement, then maps onto automotive and military screening standards, IDDQ / burn-in literature, and standard machine-learning estimators implemented in scikit-learn. Training lots in data/burnin_parts.csv are physics-informed synthetic data generated by src/generate_data.py.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1.  How the sources were used</w:t>
      </w:r>
    </w:p>
    <w:p>
      <w:pPr>
        <w:spacing w:after="16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citation below is tied to a concrete design choice in the code or the evaluation protocol. Nothing is listed only because it is a well-known paper in the field.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AETHER piece</w:t>
            </w:r>
          </w:p>
        </w:tc>
        <w:tc>
          <w:tcPr>
            <w:tcW w:type="dxa" w:w="45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used</w:t>
            </w:r>
          </w:p>
        </w:tc>
      </w:tr>
      <w:tr>
        <w:tc>
          <w:tcPr>
            <w:tcW w:type="dxa" w:w="45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Problem to solve: dynamic 45 µA vs 10 µA lot; 0 h + 24 h → 168 h; FN cost; explainability</w:t>
            </w:r>
          </w:p>
        </w:tc>
        <w:tc>
          <w:tcPr>
            <w:tcW w:type="dxa" w:w="45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SIH26170 problem statement [1]</w:t>
            </w:r>
          </w:p>
        </w:tc>
      </w:tr>
      <w:tr>
        <w:tc>
          <w:tcPr>
            <w:tcW w:type="dxa" w:w="45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PAT k = 6, lot-relative robust limits, mavericks inside the datasheet box</w:t>
            </w:r>
          </w:p>
        </w:tc>
        <w:tc>
          <w:tcPr>
            <w:tcW w:type="dxa" w:w="45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AEC-Q001 Rev-D [2]</w:t>
            </w:r>
          </w:p>
        </w:tc>
      </w:tr>
      <w:tr>
        <w:tc>
          <w:tcPr>
            <w:tcW w:type="dxa" w:w="45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125 °C powered burn-in; 0 / 24 / 96 / 168 h readout cadence</w:t>
            </w:r>
          </w:p>
        </w:tc>
        <w:tc>
          <w:tcPr>
            <w:tcW w:type="dxa" w:w="45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MIL-STD-883 TM 1015 [3]; MIL-PRF-38535 [4]</w:t>
            </w:r>
          </w:p>
        </w:tc>
      </w:tr>
      <w:tr>
        <w:tc>
          <w:tcPr>
            <w:tcW w:type="dxa" w:w="45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Observables: IDDQ, leakage, propagation delay</w:t>
            </w:r>
          </w:p>
        </w:tc>
        <w:tc>
          <w:tcPr>
            <w:tcW w:type="dxa" w:w="45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Hawkins / Soden IDDQ reviews [5], [6]</w:t>
            </w:r>
          </w:p>
        </w:tc>
      </w:tr>
      <w:tr>
        <w:tc>
          <w:tcPr>
            <w:tcW w:type="dxa" w:w="45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Isolation Forest on lot-normalised early features</w:t>
            </w:r>
          </w:p>
        </w:tc>
        <w:tc>
          <w:tcPr>
            <w:tcW w:type="dxa" w:w="45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Liu, Ting and Zhou, ICDM 2008 [8]</w:t>
            </w:r>
          </w:p>
        </w:tc>
      </w:tr>
      <w:tr>
        <w:tc>
          <w:tcPr>
            <w:tcW w:type="dxa" w:w="45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Robust Mahalanobis via MinCovDet</w:t>
            </w:r>
          </w:p>
        </w:tc>
        <w:tc>
          <w:tcPr>
            <w:tcW w:type="dxa" w:w="45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Rousseeuw and van Driessen, 1999 [9]; Mahalanobis, 1936 [10]</w:t>
            </w:r>
          </w:p>
        </w:tc>
      </w:tr>
      <w:tr>
        <w:tc>
          <w:tcPr>
            <w:tcW w:type="dxa" w:w="45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median + 6 × 1.4826 × MAD</w:t>
            </w:r>
          </w:p>
        </w:tc>
        <w:tc>
          <w:tcPr>
            <w:tcW w:type="dxa" w:w="45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Hampel, 1974 [11]; AEC-Q001 robust sigma [2]</w:t>
            </w:r>
          </w:p>
        </w:tc>
      </w:tr>
      <w:tr>
        <w:tc>
          <w:tcPr>
            <w:tcW w:type="dxa" w:w="45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Inspectable 168 h forecast (Ridge)</w:t>
            </w:r>
          </w:p>
        </w:tc>
        <w:tc>
          <w:tcPr>
            <w:tcW w:type="dxa" w:w="45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Hoerl and Kennard, 1970 [12]</w:t>
            </w:r>
          </w:p>
        </w:tc>
      </w:tr>
      <w:tr>
        <w:tc>
          <w:tcPr>
            <w:tcW w:type="dxa" w:w="45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Optional histogram gradient-boosting blend</w:t>
            </w:r>
          </w:p>
        </w:tc>
        <w:tc>
          <w:tcPr>
            <w:tcW w:type="dxa" w:w="45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Friedman, 2001 [13]</w:t>
            </w:r>
          </w:p>
        </w:tc>
      </w:tr>
      <w:tr>
        <w:tc>
          <w:tcPr>
            <w:tcW w:type="dxa" w:w="45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FN_COST = 1000 vs FP_COST = 12; recall-first thresholds</w:t>
            </w:r>
          </w:p>
        </w:tc>
        <w:tc>
          <w:tcPr>
            <w:tcW w:type="dxa" w:w="45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SIH26170 [1]; Elkan, 2001 [15]</w:t>
            </w:r>
          </w:p>
        </w:tc>
      </w:tr>
      <w:tr>
        <w:tc>
          <w:tcPr>
            <w:tcW w:type="dxa" w:w="45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Twelve confirmed-defect ICs (2274 … 2713) as a real-world check</w:t>
            </w:r>
          </w:p>
        </w:tc>
        <w:tc>
          <w:tcPr>
            <w:tcW w:type="dxa" w:w="45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SEMATECH / Nigh et al., ITC 1998 [7]</w:t>
            </w:r>
          </w:p>
        </w:tc>
      </w:tr>
      <w:tr>
        <w:tc>
          <w:tcPr>
            <w:tcW w:type="dxa" w:w="45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Training lots (4,945 parts, 24 lots)</w:t>
            </w:r>
          </w:p>
        </w:tc>
        <w:tc>
          <w:tcPr>
            <w:tcW w:type="dxa" w:w="4513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Synthetic generator — not a downloaded dataset</w:t>
            </w:r>
          </w:p>
        </w:tc>
      </w:tr>
    </w:tbl>
    <w:p>
      <w:pPr>
        <w:spacing w:after="120"/>
      </w:pPr>
    </w:p>
    <w:p>
      <w:pPr>
        <w:spacing w:after="16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twelve SEMATECH devices are scored one-at-a-time against a known-good reference lot in scripts/predict_realtime_iddq.py. They are not one manufacturing lot, so in-lot PAT among themselves would be the wrong test. They are not used as training data.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2.  Problem statement</w:t>
      </w:r>
    </w:p>
    <w:p>
      <w:pPr>
        <w:spacing w:after="16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the primary specification. Module A, Module B, the 10 / 45 / 50 µA worked example (pinned as LOTSIH-0045), and the three judging metrics all come from here.</w:t>
      </w:r>
    </w:p>
    <w:p>
      <w:pPr>
        <w:spacing w:after="4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[1]  Smart India Hackathon 2026, problem SIH26170, “AI-Driven Anomaly Detection in Component Burn-In &amp; Screening,” organisation: Indian Space Research Organisation (ISRO) / Department of Space, theme: Smart Automation.</w:t>
      </w:r>
    </w:p>
    <w:p>
      <w:pPr>
        <w:spacing w:after="160" w:line="240"/>
        <w:ind w:left="720"/>
      </w:pPr>
      <w:hyperlink w:history="1" r:id="rIdnxo9b9bowg8wsbg8rbojg">
        <w:r>
          <w:rPr>
            <w:rFonts w:ascii="Arial" w:cs="Arial" w:eastAsia="Arial" w:hAnsi="Arial"/>
            <w:color w:val="1B4F8A"/>
            <w:sz w:val="18"/>
            <w:szCs w:val="18"/>
            <w:u w:val="single"/>
          </w:rPr>
          <w:t xml:space="preserve">https://sih2026.vuce.in/ps/SIH26170</w:t>
        </w:r>
      </w:hyperlink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3.  Screening standards</w:t>
      </w:r>
    </w:p>
    <w:p>
      <w:pPr>
        <w:spacing w:after="16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Automotive Part Average Testing already names the idea the problem statement asks for: a part that is still inside the datasheet can be a maverick relative to its lot. Military burn-in methods set the temperature and duration that the 0 / 24 / 96 / 168 h cadence follows.</w:t>
      </w:r>
    </w:p>
    <w:p>
      <w:pPr>
        <w:spacing w:after="4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[2]  Automotive Electronics Council, AEC-Q001 Rev-D, “Guidelines for Part Average Testing.” Static PAT = Robust Mean ± 6 Robust Sigma; Dynamic PAT uses the current lot. Used in AETHER as PAT_K = 6.0 and MAD_TO_SIGMA = 1.4826 in src/config.py.</w:t>
      </w:r>
    </w:p>
    <w:p>
      <w:pPr>
        <w:spacing w:after="160" w:line="240"/>
        <w:ind w:left="720"/>
      </w:pPr>
      <w:hyperlink w:history="1" r:id="rId_wicuvdthyhnqygtk2oeb">
        <w:r>
          <w:rPr>
            <w:rFonts w:ascii="Arial" w:cs="Arial" w:eastAsia="Arial" w:hAnsi="Arial"/>
            <w:color w:val="1B4F8A"/>
            <w:sz w:val="18"/>
            <w:szCs w:val="18"/>
            <w:u w:val="single"/>
          </w:rPr>
          <w:t xml:space="preserve">http://www.aecouncil.com/Documents/AEC_Q001_Rev_D.pdf</w:t>
        </w:r>
      </w:hyperlink>
    </w:p>
    <w:p>
      <w:pPr>
        <w:spacing w:after="4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[3]  U.S. Department of Defense, MIL-STD-883, Test Method 1015, “Burn-in Test.” Purpose: screen infant-mortality failures at elevated temperature (125 °C minimum for conditions A–E). AETHER treats 125 °C as the soak, not as a datasheet check.</w:t>
      </w:r>
    </w:p>
    <w:p>
      <w:pPr>
        <w:spacing w:after="160" w:line="240"/>
        <w:ind w:left="720"/>
      </w:pPr>
      <w:hyperlink w:history="1" r:id="rIdc6-vytok7pxs_w1fr9nmi">
        <w:r>
          <w:rPr>
            <w:rFonts w:ascii="Arial" w:cs="Arial" w:eastAsia="Arial" w:hAnsi="Arial"/>
            <w:color w:val="1B4F8A"/>
            <w:sz w:val="18"/>
            <w:szCs w:val="18"/>
            <w:u w:val="single"/>
          </w:rPr>
          <w:t xml:space="preserve">https://landandmaritimeapps.dla.mil/Downloads/MilSpec/Docs/MIL-STD-883/std883.pdf</w:t>
        </w:r>
      </w:hyperlink>
    </w:p>
    <w:p>
      <w:pPr>
        <w:spacing w:after="4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[4]  MIL-PRF-38535, General Specification for Integrated Circuits (Microcircuits) Manufacturing. Class Q typically 160 h and Class V typically 240 h at 125 °C under TM 1015. The problem statement’s 0 h, 24 h, 96 h and 168 h readouts are the practical measurement cadence of that flow.</w:t>
      </w:r>
    </w:p>
    <w:p>
      <w:pPr>
        <w:spacing w:after="160" w:line="240"/>
        <w:ind w:left="720"/>
      </w:pPr>
      <w:hyperlink w:history="1" r:id="rIdr5scjpcsjk7lwi9ue0wen">
        <w:r>
          <w:rPr>
            <w:rFonts w:ascii="Arial" w:cs="Arial" w:eastAsia="Arial" w:hAnsi="Arial"/>
            <w:color w:val="1B4F8A"/>
            <w:sz w:val="18"/>
            <w:szCs w:val="18"/>
            <w:u w:val="single"/>
          </w:rPr>
          <w:t xml:space="preserve">https://landandmaritimeapps.dla.mil/Downloads/MilSpec/Docs/MIL-PRF-38535/prf38535.pdf</w:t>
        </w:r>
      </w:hyperlink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4.  Electronics and IDDQ literature</w:t>
      </w:r>
    </w:p>
    <w:p>
      <w:pPr>
        <w:spacing w:after="16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These papers justify why standby current, leakage and delay are the right observables, and they supply the only published real-device table used in this repository.</w:t>
      </w:r>
    </w:p>
    <w:p>
      <w:pPr>
        <w:spacing w:after="4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[5]  J. M. Soden, C. F. Hawkins, R. K. Gulati and W. Mao, “IDDQ Testing: A Review,” in IDDQ Testing of VLSI Circuits. Dordrecht: Springer, 1992, pp. 5–17. IDDQ as a defect-sensitive DC test for bridges, gate-oxide shorts and leakage that stuck-at tests miss.</w:t>
      </w:r>
    </w:p>
    <w:p>
      <w:pPr>
        <w:spacing w:after="160" w:line="240"/>
        <w:ind w:left="720"/>
      </w:pPr>
      <w:hyperlink w:history="1" r:id="rIdd_7j8wjdmrzsbm2tru8vh">
        <w:r>
          <w:rPr>
            <w:rFonts w:ascii="Arial" w:cs="Arial" w:eastAsia="Arial" w:hAnsi="Arial"/>
            <w:color w:val="1B4F8A"/>
            <w:sz w:val="18"/>
            <w:szCs w:val="18"/>
            <w:u w:val="single"/>
          </w:rPr>
          <w:t xml:space="preserve">https://link.springer.com/chapter/10.1007/978-1-4615-3146-3_1</w:t>
        </w:r>
      </w:hyperlink>
    </w:p>
    <w:p>
      <w:pPr>
        <w:spacing w:after="16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[6]  C. F. Hawkins, J. M. Soden, R. R. Fritzemeier and L. K. Horning, “Quiescent power supply current measurement for CMOS IC defect detection,” IEEE Transactions on Industrial Electronics, vol. 36, no. 2, pp. 211–218, May 1989.</w:t>
      </w:r>
    </w:p>
    <w:p>
      <w:pPr>
        <w:spacing w:after="4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[7]  P. Nigh, D. Vallett, A. Patel, J. Wright, F. Motika, D. Forlenza, R. Kurtulik and W. Chong, “Failure analysis of timing and IDDq-only failures from the SEMATECH test methods experiment,” Proc. International Test Conference, 1998, pp. 43–52. DOI: 10.1109/TEST.1998.743135. Table 1 is the source of the twelve confirmed-defect ICs (2274, 3392, 2795, 2890, 3488, 2663, 1787, 1947, 2968, 3457, 2557, 2713) scored in scripts/predict_realtime_iddq.py. Pre-burn-in IDDQ and post-burn-in values at 6 / 78 / 150 h, with physical defect found. SEMATECH also concluded that IDDQ is not a complete replacement for burn-in — which is why healthy AETHER parts still finish 168 h.</w:t>
      </w:r>
    </w:p>
    <w:p>
      <w:pPr>
        <w:spacing w:after="160" w:line="240"/>
        <w:ind w:left="720"/>
      </w:pPr>
      <w:hyperlink w:history="1" r:id="rIdx2nafim1ovkg09bqnqeyx">
        <w:r>
          <w:rPr>
            <w:rFonts w:ascii="Arial" w:cs="Arial" w:eastAsia="Arial" w:hAnsi="Arial"/>
            <w:color w:val="1B4F8A"/>
            <w:sz w:val="18"/>
            <w:szCs w:val="18"/>
            <w:u w:val="single"/>
          </w:rPr>
          <w:t xml:space="preserve">https://doi.org/10.1109/TEST.1998.743135</w:t>
        </w:r>
      </w:hyperlink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5.  Machine-learning methods</w:t>
      </w:r>
    </w:p>
    <w:p>
      <w:pPr>
        <w:spacing w:after="16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Module A fuses three complementary views: robust PAT, Isolation Forest, and robust Mahalanobis. Module B uses Ridge as the inspectable 168 h model, with an optional histogram gradient-boosting blend only when it reduces validation MAE. Implementations are scikit-learn classes cited in [14].</w:t>
      </w:r>
    </w:p>
    <w:p>
      <w:pPr>
        <w:spacing w:after="4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[8]  F. T. Liu, K. M. Ting and Z.-H. Zhou, “Isolation Forest,” Proc. 8th IEEE International Conference on Data Mining (ICDM), Pisa, Italy, 2008, pp. 413–422. DOI: 10.1109/ICDM.2008.17. Used as sklearn.ensemble.IsolationForest on lot-normalised 0 h / 24 h features (400 trees, contamination 0.06).</w:t>
      </w:r>
    </w:p>
    <w:p>
      <w:pPr>
        <w:spacing w:after="160" w:line="240"/>
        <w:ind w:left="720"/>
      </w:pPr>
      <w:hyperlink w:history="1" r:id="rId9pr__1ck7vpl_ipprrfmi">
        <w:r>
          <w:rPr>
            <w:rFonts w:ascii="Arial" w:cs="Arial" w:eastAsia="Arial" w:hAnsi="Arial"/>
            <w:color w:val="1B4F8A"/>
            <w:sz w:val="18"/>
            <w:szCs w:val="18"/>
            <w:u w:val="single"/>
          </w:rPr>
          <w:t xml:space="preserve">https://doi.org/10.1109/ICDM.2008.17</w:t>
        </w:r>
      </w:hyperlink>
    </w:p>
    <w:p>
      <w:pPr>
        <w:spacing w:after="4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[9]  P. J. Rousseeuw and K. van Driessen, “A Fast Algorithm for the Minimum Covariance Determinant Estimator,” Technometrics, vol. 41, no. 3, pp. 212–223, 1999. Robust covariance of the lot z-vector; Mahalanobis distance flags parts outside the lot ellipsoid (sklearn.covariance.MinCovDet).</w:t>
      </w:r>
    </w:p>
    <w:p>
      <w:pPr>
        <w:spacing w:after="160" w:line="240"/>
        <w:ind w:left="720"/>
      </w:pPr>
      <w:hyperlink w:history="1" r:id="rIdurfg1vh0yifyge5lbjecf">
        <w:r>
          <w:rPr>
            <w:rFonts w:ascii="Arial" w:cs="Arial" w:eastAsia="Arial" w:hAnsi="Arial"/>
            <w:color w:val="1B4F8A"/>
            <w:sz w:val="18"/>
            <w:szCs w:val="18"/>
            <w:u w:val="single"/>
          </w:rPr>
          <w:t xml:space="preserve">https://doi.org/10.1080/00401706.1999.10485670</w:t>
        </w:r>
      </w:hyperlink>
    </w:p>
    <w:p>
      <w:pPr>
        <w:spacing w:after="16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[10]  P. C. Mahalanobis, “On the generalised distance in statistics,” Proceedings of the National Institute of Sciences of India, vol. 2, no. 1, pp. 49–55, 1936. Distance of a part to the lot centroid under the estimated covariance.</w:t>
      </w:r>
    </w:p>
    <w:p>
      <w:pPr>
        <w:spacing w:after="4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[11]  F. R. Hampel, “The influence curve and its role in robust estimation,” Journal of the American Statistical Association, vol. 69, no. 346, pp. 383–393, 1974. Median and median absolute deviation; the factor 1.4826 makes MAD consistent for the standard deviation of a normal distribution.</w:t>
      </w:r>
    </w:p>
    <w:p>
      <w:pPr>
        <w:spacing w:after="160" w:line="240"/>
        <w:ind w:left="720"/>
      </w:pPr>
      <w:hyperlink w:history="1" r:id="rIdk6-ao2xbibbeiche2mshw">
        <w:r>
          <w:rPr>
            <w:rFonts w:ascii="Arial" w:cs="Arial" w:eastAsia="Arial" w:hAnsi="Arial"/>
            <w:color w:val="1B4F8A"/>
            <w:sz w:val="18"/>
            <w:szCs w:val="18"/>
            <w:u w:val="single"/>
          </w:rPr>
          <w:t xml:space="preserve">https://doi.org/10.1080/01621459.1974.10482962</w:t>
        </w:r>
      </w:hyperlink>
    </w:p>
    <w:p>
      <w:pPr>
        <w:spacing w:after="4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[12]  A. E. Hoerl and R. W. Kennard, “Ridge Regression: Biased Estimation for Nonorthogonal Problems,” Technometrics, vol. 12, no. 1, pp. 55–67, 1970. Primary Module B model (sklearn.linear_model.RidgeCV) because every coefficient is inspectable in the QA waterfall.</w:t>
      </w:r>
    </w:p>
    <w:p>
      <w:pPr>
        <w:spacing w:after="160" w:line="240"/>
        <w:ind w:left="720"/>
      </w:pPr>
      <w:hyperlink w:history="1" r:id="rId14eiknvwhahywonx4xtb0">
        <w:r>
          <w:rPr>
            <w:rFonts w:ascii="Arial" w:cs="Arial" w:eastAsia="Arial" w:hAnsi="Arial"/>
            <w:color w:val="1B4F8A"/>
            <w:sz w:val="18"/>
            <w:szCs w:val="18"/>
            <w:u w:val="single"/>
          </w:rPr>
          <w:t xml:space="preserve">https://doi.org/10.1080/00401706.1970.10488634</w:t>
        </w:r>
      </w:hyperlink>
    </w:p>
    <w:p>
      <w:pPr>
        <w:spacing w:after="4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[13]  J. H. Friedman, “Greedy function approximation: A gradient boosting machine,” Annals of Statistics, vol. 29, no. 5, pp. 1189–1232, 2001. Optional HistGradientBoostingRegressor blend, used only when it beats Ridge on held-out-lot validation MAE.</w:t>
      </w:r>
    </w:p>
    <w:p>
      <w:pPr>
        <w:spacing w:after="160" w:line="240"/>
        <w:ind w:left="720"/>
      </w:pPr>
      <w:hyperlink w:history="1" r:id="rIdielusxwjac4j9wx4guvwz">
        <w:r>
          <w:rPr>
            <w:rFonts w:ascii="Arial" w:cs="Arial" w:eastAsia="Arial" w:hAnsi="Arial"/>
            <w:color w:val="1B4F8A"/>
            <w:sz w:val="18"/>
            <w:szCs w:val="18"/>
            <w:u w:val="single"/>
          </w:rPr>
          <w:t xml:space="preserve">https://doi.org/10.1214/aos/1013203451</w:t>
        </w:r>
      </w:hyperlink>
    </w:p>
    <w:p>
      <w:pPr>
        <w:spacing w:after="4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[14]  F. Pedregosa et al., “Scikit-learn: Machine Learning in Python,” Journal of Machine Learning Research, vol. 12, pp. 2825–2830, 2011. Concrete implementations: IsolationForest, MinCovDet, EmpiricalCovariance, RidgeCV, HistGradientBoostingRegressor, RobustScaler, StandardScaler.</w:t>
      </w:r>
    </w:p>
    <w:p>
      <w:pPr>
        <w:spacing w:after="160" w:line="240"/>
        <w:ind w:left="720"/>
      </w:pPr>
      <w:hyperlink w:history="1" r:id="rIdblnobi4hxqohzj_0asstn">
        <w:r>
          <w:rPr>
            <w:rFonts w:ascii="Arial" w:cs="Arial" w:eastAsia="Arial" w:hAnsi="Arial"/>
            <w:color w:val="1B4F8A"/>
            <w:sz w:val="18"/>
            <w:szCs w:val="18"/>
            <w:u w:val="single"/>
          </w:rPr>
          <w:t xml:space="preserve">https://jmlr.org/papers/v12/pedregosa11a.html</w:t>
        </w:r>
      </w:hyperlink>
    </w:p>
    <w:p>
      <w:pPr>
        <w:spacing w:after="4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[15]  C. Elkan, “The Foundations of Cost-Sensitive Learning,” Proc. 17th International Joint Conference on Artificial Intelligence (IJCAI), 2001, pp. 973–978. Decision thresholds follow FN cost 1000 versus FP cost 12 rather than a 0.5 accuracy cut. HOLD exists because space-grade silicon is expensive: a two-class scrap/release policy is the wrong shape.</w:t>
      </w:r>
    </w:p>
    <w:p>
      <w:pPr>
        <w:spacing w:after="160" w:line="240"/>
        <w:ind w:left="720"/>
      </w:pPr>
      <w:hyperlink w:history="1" r:id="rIdzqhh-slyz0bmwzt6vvgzy">
        <w:r>
          <w:rPr>
            <w:rFonts w:ascii="Arial" w:cs="Arial" w:eastAsia="Arial" w:hAnsi="Arial"/>
            <w:color w:val="1B4F8A"/>
            <w:sz w:val="18"/>
            <w:szCs w:val="18"/>
            <w:u w:val="single"/>
          </w:rPr>
          <w:t xml:space="preserve">https://cseweb.ucsd.edu/~elkan/kddcost.pdf</w:t>
        </w:r>
      </w:hyperlink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6.  Data provenance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6.1 Training and held-out lots — synthetic</w:t>
      </w:r>
    </w:p>
    <w:p>
      <w:pPr>
        <w:spacing w:after="16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ISRO / Department of Space screening data for flight parts is not a public download. src/generate_data.py therefore builds lot-structured time series that reproduce the failure modes the problem statement cares about: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Mavericks — far from the lot centroid, still inside the datasheet box (the 10 / 45 / 50 µA sentence).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Latent drift — normal at 0 h, anomalous slope, often still in-spec at 168 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Runaway — accelerating degradation that a static limit only catches late.</w:t>
      </w:r>
    </w:p>
    <w:p>
      <w:pPr>
        <w:spacing w:after="16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Healthy parts follow a slow, nearly linear ageing law at 125 °C. Process corners (fast / nominal / slow) shift the whole lot centroid so a global Isolation Forest on raw microamps cannot be used — scores are lot-normalised first. Measurement noise is set to typical parametric-analyser repeatability. Default build: 24 lots, about 4,945 parts, split by lot (not by part) into train / val / test.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 xml:space="preserve">6.2 Real confirmed-defect ICs — SEMATECH [7]</w:t>
      </w:r>
    </w:p>
    <w:p>
      <w:pPr>
        <w:spacing w:after="16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twelve-row table pasted into the project (device IDs, pre-BI IDDQ, post-BI IDDQ at 6 / 78 / 150 h, and physical defect) is Table 1 of Nigh et al., International Test Conference 1998 [7]. AETHER maps those currents to microamps and scores each IC against a known-good reference lot (LOT01 healthy parts). Mapping notes live in scripts/predict_realtime_iddq.py.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Device ID</w:t>
            </w:r>
          </w:p>
        </w:tc>
        <w:tc>
          <w:tcPr>
            <w:tcW w:type="dxa" w:w="68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1B365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Physical defect (as published)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2274</w:t>
            </w:r>
          </w:p>
        </w:tc>
        <w:tc>
          <w:tcPr>
            <w:tcW w:type="dxa" w:w="68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Gate-to-drain short (128 kΩ)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3392</w:t>
            </w:r>
          </w:p>
        </w:tc>
        <w:tc>
          <w:tcPr>
            <w:tcW w:type="dxa" w:w="68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Poly-to-poly short (1.63 kΩ)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2795</w:t>
            </w:r>
          </w:p>
        </w:tc>
        <w:tc>
          <w:tcPr>
            <w:tcW w:type="dxa" w:w="68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Poly-to-NWell short (340 kΩ)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2890</w:t>
            </w:r>
          </w:p>
        </w:tc>
        <w:tc>
          <w:tcPr>
            <w:tcW w:type="dxa" w:w="68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Poly-to-NWell short (194 kΩ)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3488</w:t>
            </w:r>
          </w:p>
        </w:tc>
        <w:tc>
          <w:tcPr>
            <w:tcW w:type="dxa" w:w="68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Metal-to-metal short (184 Ω)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2663</w:t>
            </w:r>
          </w:p>
        </w:tc>
        <w:tc>
          <w:tcPr>
            <w:tcW w:type="dxa" w:w="68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Poly short in gate-array fill (two independent defects)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1787</w:t>
            </w:r>
          </w:p>
        </w:tc>
        <w:tc>
          <w:tcPr>
            <w:tcW w:type="dxa" w:w="68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Metal-to-metal short (75 Ω)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1947</w:t>
            </w:r>
          </w:p>
        </w:tc>
        <w:tc>
          <w:tcPr>
            <w:tcW w:type="dxa" w:w="68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Source-to-drain leakage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2968</w:t>
            </w:r>
          </w:p>
        </w:tc>
        <w:tc>
          <w:tcPr>
            <w:tcW w:type="dxa" w:w="68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Poly-to-diffusion / substrate leakage across 28 transistors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3457</w:t>
            </w:r>
          </w:p>
        </w:tc>
        <w:tc>
          <w:tcPr>
            <w:tcW w:type="dxa" w:w="68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Leakage in gate-array fill logic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2557</w:t>
            </w:r>
          </w:p>
        </w:tc>
        <w:tc>
          <w:tcPr>
            <w:tcW w:type="dxa" w:w="68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7F9FC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Leakage in gate-array fill logic</w:t>
            </w:r>
          </w:p>
        </w:tc>
      </w:tr>
      <w:tr>
        <w:tc>
          <w:tcPr>
            <w:tcW w:type="dxa" w:w="2200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2713</w:t>
            </w:r>
          </w:p>
        </w:tc>
        <w:tc>
          <w:tcPr>
            <w:tcW w:type="dxa" w:w="6826"/>
            <w:tcBorders>
              <w:top w:val="single" w:color="C5D0DC" w:sz="4"/>
              <w:left w:val="single" w:color="C5D0DC" w:sz="4"/>
              <w:bottom w:val="single" w:color="C5D0DC" w:sz="4"/>
              <w:right w:val="single" w:color="C5D0DC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40" w:line="24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Leakage in gate-array fill logic</w:t>
            </w:r>
          </w:p>
        </w:tc>
      </w:tr>
    </w:tbl>
    <w:p>
      <w:pPr>
        <w:spacing w:after="120"/>
      </w:pPr>
    </w:p>
    <w:p>
      <w:pPr>
        <w:spacing w:after="16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These twelve devices are a published check, not the training distribution. SEMATECH also reported that even IDDQ did not fully replace burn-in stressing. AETHER therefore never claims chamber hours back on PASS or HOLD parts; only early REJECT frees 144 h of soak.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7.  IEEE reference list (compact)</w:t>
      </w:r>
    </w:p>
    <w:p>
      <w:pPr>
        <w:spacing w:after="16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Copy-ready numbered list for the technical report, poster, or judging pack.</w:t>
      </w:r>
    </w:p>
    <w:p>
      <w:pPr>
        <w:spacing w:after="16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[1]  Smart India Hackathon 2026, SIH26170, “AI-Driven Anomaly Detection in Component Burn-In &amp; Screening,” ISRO / Department of Space. https://sih2026.vuce.in/ps/SIH26170</w:t>
      </w:r>
    </w:p>
    <w:p>
      <w:pPr>
        <w:spacing w:after="16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[2]  Automotive Electronics Council, AEC-Q001 Rev-D, Guidelines for Part Average Testing, 2011. http://www.aecouncil.com/Documents/AEC_Q001_Rev_D.pdf</w:t>
      </w:r>
    </w:p>
    <w:p>
      <w:pPr>
        <w:spacing w:after="16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[3]  MIL-STD-883, Test Method 1015, Burn-in Test.</w:t>
      </w:r>
    </w:p>
    <w:p>
      <w:pPr>
        <w:spacing w:after="16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[4]  MIL-PRF-38535, General Specification for Integrated Circuits (Microcircuits) Manufacturing.</w:t>
      </w:r>
    </w:p>
    <w:p>
      <w:pPr>
        <w:spacing w:after="16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[5]  J. M. Soden, C. F. Hawkins, R. K. Gulati and W. Mao, “IDDQ Testing: A Review,” in IDDQ Testing of VLSI Circuits, Springer, 1992.</w:t>
      </w:r>
    </w:p>
    <w:p>
      <w:pPr>
        <w:spacing w:after="16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[6]  C. F. Hawkins, J. M. Soden, R. R. Fritzemeier and L. K. Horning, “Quiescent power supply current measurement for CMOS IC defect detection,” IEEE Trans. Ind. Electron., vol. 36, no. 2, pp. 211–218, 1989.</w:t>
      </w:r>
    </w:p>
    <w:p>
      <w:pPr>
        <w:spacing w:after="16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[7]  P. Nigh et al., “Failure analysis of timing and IDDq-only failures from the SEMATECH test methods experiment,” Proc. ITC, 1998, pp. 43–52, doi: 10.1109/TEST.1998.743135.</w:t>
      </w:r>
    </w:p>
    <w:p>
      <w:pPr>
        <w:spacing w:after="16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[8]  F. T. Liu, K. M. Ting and Z.-H. Zhou, “Isolation Forest,” Proc. IEEE ICDM, 2008, pp. 413–422, doi: 10.1109/ICDM.2008.17.</w:t>
      </w:r>
    </w:p>
    <w:p>
      <w:pPr>
        <w:spacing w:after="16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[9]  P. J. Rousseeuw and K. van Driessen, “A Fast Algorithm for the Minimum Covariance Determinant Estimator,” Technometrics, vol. 41, no. 3, pp. 212–223, 1999.</w:t>
      </w:r>
    </w:p>
    <w:p>
      <w:pPr>
        <w:spacing w:after="16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[10]  P. C. Mahalanobis, “On the generalised distance in statistics,” Proc. Nat. Inst. Sci. India, vol. 2, no. 1, pp. 49–55, 1936.</w:t>
      </w:r>
    </w:p>
    <w:p>
      <w:pPr>
        <w:spacing w:after="16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[11]  F. R. Hampel, “The influence curve and its role in robust estimation,” J. Amer. Statist. Assoc., vol. 69, no. 346, pp. 383–393, 1974.</w:t>
      </w:r>
    </w:p>
    <w:p>
      <w:pPr>
        <w:spacing w:after="16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[12]  A. E. Hoerl and R. W. Kennard, “Ridge Regression: Biased Estimation for Nonorthogonal Problems,” Technometrics, vol. 12, no. 1, pp. 55–67, 1970, doi: 10.1080/00401706.1970.10488634.</w:t>
      </w:r>
    </w:p>
    <w:p>
      <w:pPr>
        <w:spacing w:after="16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[13]  J. H. Friedman, “Greedy function approximation: A gradient boosting machine,” Ann. Statist., vol. 29, no. 5, pp. 1189–1232, 2001.</w:t>
      </w:r>
    </w:p>
    <w:p>
      <w:pPr>
        <w:spacing w:after="16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[14]  F. Pedregosa et al., “Scikit-learn: Machine Learning in Python,” JMLR, vol. 12, pp. 2825–2830, 2011.</w:t>
      </w:r>
    </w:p>
    <w:p>
      <w:pPr>
        <w:spacing w:after="160" w:line="276"/>
        <w:ind w:left="720" w:hanging="72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[15]  C. Elkan, “The Foundations of Cost-Sensitive Learning,” Proc. IJCAI, 2001, pp. 973–978.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8.  What was not used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 public ISRO / Department of Space burn-in CSV. Training data is generated, not downloaded.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SEMATECH ICs [7] are a held-out real-world check. They are not mixed into train / val / test lots.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 proprietary ATE STDF from a screening house was ingested. A production line would freeze PAT k and the safety slope on that product after a qualification lot.</w:t>
      </w:r>
    </w:p>
    <w:p>
      <w:pPr>
        <w:spacing w:after="120"/>
      </w:pPr>
    </w:p>
    <w:p>
      <w:pPr>
        <w:spacing w:after="160" w:before="0" w:line="276"/>
      </w:pPr>
      <w:r>
        <w:rPr>
          <w:rFonts w:ascii="Arial" w:cs="Arial" w:eastAsia="Arial" w:hAnsi="Arial"/>
          <w:i/>
          <w:iCs/>
          <w:color w:val="5B6B7C"/>
          <w:sz w:val="22"/>
          <w:szCs w:val="22"/>
        </w:rPr>
        <w:t xml:space="preserve">End of document. AETHER — Adaptive ESS Thermal Health &amp; Early Reject — SIH26170.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0DC" w:sz="6" w:space="8"/>
      </w:pBdr>
      <w:spacing w:before="80"/>
    </w:pPr>
    <w:r>
      <w:rPr>
        <w:rFonts w:ascii="Arial" w:cs="Arial" w:eastAsia="Arial" w:hAnsi="Arial"/>
        <w:color w:val="5B6B7C"/>
        <w:sz w:val="16"/>
        <w:szCs w:val="16"/>
      </w:rPr>
      <w:t xml:space="preserve">References used to design the solution</w:t>
    </w:r>
    <w:r>
      <w:rPr>
        <w:rFonts w:ascii="Arial" w:cs="Arial" w:eastAsia="Arial" w:hAnsi="Arial"/>
        <w:color w:val="5B6B7C"/>
        <w:sz w:val="16"/>
        <w:szCs w:val="16"/>
      </w:rPr>
      <w:t xml:space="preserve">    |    Page </w:t>
    </w:r>
    <w:r>
      <w:rPr>
        <w:rFonts w:ascii="Arial" w:cs="Arial" w:eastAsia="Arial" w:hAnsi="Arial"/>
        <w:color w:val="5B6B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12" w:space="8"/>
      </w:pBdr>
      <w:spacing w:after="120"/>
    </w:pPr>
    <w:r>
      <w:rPr>
        <w:rFonts w:ascii="Arial" w:cs="Arial" w:eastAsia="Arial" w:hAnsi="Arial"/>
        <w:b/>
        <w:bCs/>
        <w:color w:val="1B365D"/>
        <w:sz w:val="16"/>
        <w:szCs w:val="16"/>
      </w:rPr>
      <w:t xml:space="preserve">AETHER  ·  SIH26170  ·  Sources and references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36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nxo9b9bowg8wsbg8rbojg" Type="http://schemas.openxmlformats.org/officeDocument/2006/relationships/hyperlink" Target="https://sih2026.vuce.in/ps/SIH26170" TargetMode="External"/><Relationship Id="rId_wicuvdthyhnqygtk2oeb" Type="http://schemas.openxmlformats.org/officeDocument/2006/relationships/hyperlink" Target="http://www.aecouncil.com/Documents/AEC_Q001_Rev_D.pdf" TargetMode="External"/><Relationship Id="rIdc6-vytok7pxs_w1fr9nmi" Type="http://schemas.openxmlformats.org/officeDocument/2006/relationships/hyperlink" Target="https://landandmaritimeapps.dla.mil/Downloads/MilSpec/Docs/MIL-STD-883/std883.pdf" TargetMode="External"/><Relationship Id="rIdr5scjpcsjk7lwi9ue0wen" Type="http://schemas.openxmlformats.org/officeDocument/2006/relationships/hyperlink" Target="https://landandmaritimeapps.dla.mil/Downloads/MilSpec/Docs/MIL-PRF-38535/prf38535.pdf" TargetMode="External"/><Relationship Id="rIdd_7j8wjdmrzsbm2tru8vh" Type="http://schemas.openxmlformats.org/officeDocument/2006/relationships/hyperlink" Target="https://link.springer.com/chapter/10.1007/978-1-4615-3146-3_1" TargetMode="External"/><Relationship Id="rIdx2nafim1ovkg09bqnqeyx" Type="http://schemas.openxmlformats.org/officeDocument/2006/relationships/hyperlink" Target="https://doi.org/10.1109/TEST.1998.743135" TargetMode="External"/><Relationship Id="rId9pr__1ck7vpl_ipprrfmi" Type="http://schemas.openxmlformats.org/officeDocument/2006/relationships/hyperlink" Target="https://doi.org/10.1109/ICDM.2008.17" TargetMode="External"/><Relationship Id="rIdurfg1vh0yifyge5lbjecf" Type="http://schemas.openxmlformats.org/officeDocument/2006/relationships/hyperlink" Target="https://doi.org/10.1080/00401706.1999.10485670" TargetMode="External"/><Relationship Id="rIdk6-ao2xbibbeiche2mshw" Type="http://schemas.openxmlformats.org/officeDocument/2006/relationships/hyperlink" Target="https://doi.org/10.1080/01621459.1974.10482962" TargetMode="External"/><Relationship Id="rId14eiknvwhahywonx4xtb0" Type="http://schemas.openxmlformats.org/officeDocument/2006/relationships/hyperlink" Target="https://doi.org/10.1080/00401706.1970.10488634" TargetMode="External"/><Relationship Id="rIdielusxwjac4j9wx4guvwz" Type="http://schemas.openxmlformats.org/officeDocument/2006/relationships/hyperlink" Target="https://doi.org/10.1214/aos/1013203451" TargetMode="External"/><Relationship Id="rIdblnobi4hxqohzj_0asstn" Type="http://schemas.openxmlformats.org/officeDocument/2006/relationships/hyperlink" Target="https://jmlr.org/papers/v12/pedregosa11a.html" TargetMode="External"/><Relationship Id="rIdzqhh-slyz0bmwzt6vvgzy" Type="http://schemas.openxmlformats.org/officeDocument/2006/relationships/hyperlink" Target="https://cseweb.ucsd.edu/~elkan/kddcost.pdf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2026-09-12T02:58:17.840Z</dcterms:created>
  <dcterms:modified xsi:type="dcterms:W3CDTF">2026-09-12T02:58:17.849Z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