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ptos" w:hAnsi="Aptos"/>
          <w:b/>
          <w:color w:val="147D83"/>
          <w:sz w:val="18"/>
        </w:rPr>
        <w:t>PROJECT READINESS REVIEW</w:t>
      </w:r>
    </w:p>
    <w:p>
      <w:pPr>
        <w:pStyle w:val="Title"/>
        <w:spacing w:after="140"/>
      </w:pPr>
      <w:r>
        <w:t>Return Root-Cause Intelligence</w:t>
        <w:br/>
        <w:t>Phase 2 Audit and Recommendations</w:t>
      </w:r>
    </w:p>
    <w:p>
      <w:pPr>
        <w:spacing w:after="240"/>
      </w:pPr>
      <w:r>
        <w:rPr>
          <w:color w:val="526174"/>
          <w:sz w:val="20"/>
        </w:rPr>
        <w:t>Dhaga &amp; Co. FDE mini project  |  Review date: 2 October 2026</w:t>
      </w:r>
    </w:p>
    <w:tbl>
      <w:tblPr>
        <w:tblW w:type="auto" w:w="0"/>
        <w:jc w:val="center"/>
        <w:tblLook w:firstColumn="1" w:firstRow="1" w:lastColumn="0" w:lastRow="0" w:noHBand="0" w:noVBand="1" w:val="04A0"/>
      </w:tblPr>
      <w:tblGrid>
        <w:gridCol w:w="10224"/>
      </w:tblGrid>
      <w:tr>
        <w:tc>
          <w:tcPr>
            <w:tcW w:type="dxa" w:w="10224"/>
            <w:shd w:fill="EAF3F5"/>
            <w:vAlign w:val="center"/>
          </w:tcPr>
          <w:p>
            <w:pPr>
              <w:spacing w:after="0" w:before="0"/>
            </w:pPr>
            <w:r/>
            <w:r>
              <w:rPr>
                <w:rFonts w:ascii="Aptos" w:hAnsi="Aptos"/>
                <w:b w:val="0"/>
                <w:color w:val="1D2939"/>
                <w:sz w:val="20"/>
              </w:rPr>
              <w:t>Overall finding: the end-to-end MVP capabilities are substantially present, and the user reports that the deployed flow works. The screenshot checklist is not yet fully evidenced: the evaluation corpus is small, cost figures are estimates rather than observed usage, deployment and CI status need current confirmation, and the deployment notes are stale.</w:t>
            </w:r>
          </w:p>
        </w:tc>
      </w:tr>
    </w:tbl>
    <w:p>
      <w:pPr>
        <w:pStyle w:val="Heading1"/>
      </w:pPr>
      <w:r>
        <w:t>Purpose and scope</w:t>
      </w:r>
    </w:p>
    <w:p>
      <w:r>
        <w:t>This report checks the implementation against the requirements in the supplied Phase 2 screenshot. It records what is present in the project files, what is reported as working by the project owner, what remains partial or unverified, and a practical plan to close the gaps.</w:t>
      </w:r>
    </w:p>
    <w:p>
      <w:r>
        <w:t>The local project copy available for review contains the application, tests, sample data, and project documentation. The owner reports that the public UI and API work end to end. I could not independently verify the live Vercel deployments or GitHub workflow from this local copy, so live availability and CI execution are marked as reported or unverified rather than independently confirmed.</w:t>
      </w:r>
    </w:p>
    <w:p>
      <w:pPr>
        <w:pStyle w:val="Heading1"/>
      </w:pPr>
      <w:r>
        <w:t>Executive findings</w:t>
      </w:r>
    </w:p>
    <w:p>
      <w:pPr>
        <w:pStyle w:val="ListBullet"/>
        <w:spacing w:after="40"/>
      </w:pPr>
      <w:r>
        <w:t>Implemented: an operable browser dashboard, FastAPI endpoints, PostgreSQL persistence, two-model routing, prompt chaining, structured output validation, visible errors, and a human-review queue.</w:t>
      </w:r>
    </w:p>
    <w:p>
      <w:pPr>
        <w:pStyle w:val="ListBullet"/>
        <w:spacing w:after="40"/>
      </w:pPr>
      <w:r>
        <w:t>Partially satisfied: realistic input coverage. The checked-in labelled fixture has 14 cases, including Hinglish, but is too small and narrow to represent the brief's scale or broad spelling and colour variation.</w:t>
      </w:r>
    </w:p>
    <w:p>
      <w:pPr>
        <w:pStyle w:val="ListBullet"/>
        <w:spacing w:after="40"/>
      </w:pPr>
      <w:r>
        <w:t>Partially satisfied: cost reporting. The build note contains a per-case and weekly estimate, but the calculations use assumed token counts and escalation rates rather than measured run usage.</w:t>
      </w:r>
    </w:p>
    <w:p>
      <w:pPr>
        <w:pStyle w:val="ListBullet"/>
        <w:spacing w:after="40"/>
      </w:pPr>
      <w:r>
        <w:t>Needs documentation cleanup: the README and deployment notes still state that deployment is pending, which conflicts with the owner's report that the public experience now works.</w:t>
      </w:r>
    </w:p>
    <w:p>
      <w:pPr>
        <w:pStyle w:val="ListBullet"/>
        <w:spacing w:after="40"/>
      </w:pPr>
      <w:r>
        <w:t>Recommended next step: strengthen the data/evaluation evidence and cost measurement, confirm GitHub/Vercel status, then publish a current as-built architecture guide.</w:t>
      </w:r>
    </w:p>
    <w:p>
      <w:pPr>
        <w:pStyle w:val="Heading1"/>
      </w:pPr>
      <w:r>
        <w:t>Requirement-by-requirement audit</w:t>
      </w:r>
    </w:p>
    <w:tbl>
      <w:tblPr>
        <w:tblW w:type="auto" w:w="0"/>
        <w:jc w:val="center"/>
        <w:tblLayout w:type="fixed"/>
        <w:tblLook w:firstColumn="1" w:firstRow="1" w:lastColumn="0" w:lastRow="0" w:noHBand="0" w:noVBand="1" w:val="04A0"/>
      </w:tblPr>
      <w:tblGrid>
        <w:gridCol w:w="2016"/>
        <w:gridCol w:w="2088"/>
        <w:gridCol w:w="5760"/>
      </w:tblGrid>
      <w:tr>
        <w:trPr>
          <w:tblHeader w:val="true"/>
        </w:trPr>
        <w:tc>
          <w:tcPr>
            <w:tcW w:type="dxa" w:w="3408"/>
            <w:shd w:fill="10233F"/>
            <w:vAlign w:val="center"/>
          </w:tcPr>
          <w:p>
            <w:pPr>
              <w:spacing w:after="0" w:before="0"/>
            </w:pPr>
            <w:r/>
            <w:r>
              <w:rPr>
                <w:rFonts w:ascii="Aptos" w:hAnsi="Aptos"/>
                <w:b/>
                <w:color w:val="FFFFFF"/>
                <w:sz w:val="17"/>
              </w:rPr>
              <w:t>Requirement</w:t>
            </w:r>
          </w:p>
        </w:tc>
        <w:tc>
          <w:tcPr>
            <w:tcW w:type="dxa" w:w="3408"/>
            <w:shd w:fill="10233F"/>
            <w:vAlign w:val="center"/>
          </w:tcPr>
          <w:p>
            <w:pPr>
              <w:spacing w:after="0" w:before="0"/>
            </w:pPr>
            <w:r/>
            <w:r>
              <w:rPr>
                <w:rFonts w:ascii="Aptos" w:hAnsi="Aptos"/>
                <w:b/>
                <w:color w:val="FFFFFF"/>
                <w:sz w:val="17"/>
              </w:rPr>
              <w:t>Status</w:t>
            </w:r>
          </w:p>
        </w:tc>
        <w:tc>
          <w:tcPr>
            <w:tcW w:type="dxa" w:w="3408"/>
            <w:shd w:fill="10233F"/>
            <w:vAlign w:val="center"/>
          </w:tcPr>
          <w:p>
            <w:pPr>
              <w:spacing w:after="0" w:before="0"/>
            </w:pPr>
            <w:r/>
            <w:r>
              <w:rPr>
                <w:rFonts w:ascii="Aptos" w:hAnsi="Aptos"/>
                <w:b/>
                <w:color w:val="FFFFFF"/>
                <w:sz w:val="17"/>
              </w:rPr>
              <w:t>Evidence and interpretation</w:t>
            </w:r>
          </w:p>
        </w:tc>
      </w:tr>
      <w:tr>
        <w:tc>
          <w:tcPr>
            <w:tcW w:type="dxa" w:w="2016"/>
            <w:vAlign w:val="center"/>
            <w:shd w:fill="F3F6FA"/>
          </w:tcPr>
          <w:p>
            <w:pPr>
              <w:spacing w:after="0" w:before="0"/>
            </w:pPr>
            <w:r/>
            <w:r>
              <w:rPr>
                <w:rFonts w:ascii="Aptos" w:hAnsi="Aptos"/>
                <w:b/>
                <w:color w:val="1D2939"/>
                <w:sz w:val="16"/>
              </w:rPr>
              <w:t>A visible frontend</w:t>
            </w:r>
          </w:p>
        </w:tc>
        <w:tc>
          <w:tcPr>
            <w:tcW w:type="dxa" w:w="2088"/>
            <w:shd w:fill="E4F3E8"/>
            <w:vAlign w:val="center"/>
          </w:tcPr>
          <w:p>
            <w:pPr>
              <w:spacing w:after="0" w:before="0"/>
            </w:pPr>
            <w:r/>
            <w:r>
              <w:rPr>
                <w:rFonts w:ascii="Aptos" w:hAnsi="Aptos"/>
                <w:b/>
                <w:color w:val="1D2939"/>
                <w:sz w:val="15"/>
              </w:rPr>
              <w:t>Implemented; owner reports E2E works</w:t>
            </w:r>
          </w:p>
        </w:tc>
        <w:tc>
          <w:tcPr>
            <w:tcW w:type="dxa" w:w="5760"/>
            <w:vAlign w:val="center"/>
            <w:shd w:fill="F3F6FA"/>
          </w:tcPr>
          <w:p>
            <w:pPr>
              <w:spacing w:after="0" w:before="0"/>
            </w:pPr>
            <w:r/>
            <w:r>
              <w:rPr>
                <w:rFonts w:ascii="Aptos" w:hAnsi="Aptos"/>
                <w:b w:val="0"/>
                <w:color w:val="1D2939"/>
                <w:sz w:val="15"/>
              </w:rPr>
              <w:t>Static dashboard includes summary metrics, classification, SKU/category insights, a review queue, API connection controls, and visible failures.</w:t>
            </w:r>
          </w:p>
        </w:tc>
      </w:tr>
      <w:tr>
        <w:tc>
          <w:tcPr>
            <w:tcW w:type="dxa" w:w="2016"/>
            <w:vAlign w:val="center"/>
          </w:tcPr>
          <w:p>
            <w:pPr>
              <w:spacing w:after="0" w:before="0"/>
            </w:pPr>
            <w:r/>
            <w:r>
              <w:rPr>
                <w:rFonts w:ascii="Aptos" w:hAnsi="Aptos"/>
                <w:b/>
                <w:color w:val="1D2939"/>
                <w:sz w:val="16"/>
              </w:rPr>
              <w:t>Deployed to a URL</w:t>
            </w:r>
          </w:p>
        </w:tc>
        <w:tc>
          <w:tcPr>
            <w:tcW w:type="dxa" w:w="2088"/>
            <w:shd w:fill="FFF1D6"/>
            <w:vAlign w:val="center"/>
          </w:tcPr>
          <w:p>
            <w:pPr>
              <w:spacing w:after="0" w:before="0"/>
            </w:pPr>
            <w:r/>
            <w:r>
              <w:rPr>
                <w:rFonts w:ascii="Aptos" w:hAnsi="Aptos"/>
                <w:b/>
                <w:color w:val="1D2939"/>
                <w:sz w:val="15"/>
              </w:rPr>
              <w:t>Reported working; not independently verified</w:t>
            </w:r>
          </w:p>
        </w:tc>
        <w:tc>
          <w:tcPr>
            <w:tcW w:type="dxa" w:w="5760"/>
            <w:vAlign w:val="center"/>
          </w:tcPr>
          <w:p>
            <w:pPr>
              <w:spacing w:after="0" w:before="0"/>
            </w:pPr>
            <w:r/>
            <w:r>
              <w:rPr>
                <w:rFonts w:ascii="Aptos" w:hAnsi="Aptos"/>
                <w:b w:val="0"/>
                <w:color w:val="1D2939"/>
                <w:sz w:val="15"/>
              </w:rPr>
              <w:t>Owner reports the public URL and full flow work. Local deployment notes still say deployment is pending; update them and record the canonical domains.</w:t>
            </w:r>
          </w:p>
        </w:tc>
      </w:tr>
      <w:tr>
        <w:tc>
          <w:tcPr>
            <w:tcW w:type="dxa" w:w="2016"/>
            <w:vAlign w:val="center"/>
            <w:shd w:fill="F3F6FA"/>
          </w:tcPr>
          <w:p>
            <w:pPr>
              <w:spacing w:after="0" w:before="0"/>
            </w:pPr>
            <w:r/>
            <w:r>
              <w:rPr>
                <w:rFonts w:ascii="Aptos" w:hAnsi="Aptos"/>
                <w:b/>
                <w:color w:val="1D2939"/>
                <w:sz w:val="16"/>
              </w:rPr>
              <w:t>Built in VS Code and runnable locally</w:t>
            </w:r>
          </w:p>
        </w:tc>
        <w:tc>
          <w:tcPr>
            <w:tcW w:type="dxa" w:w="2088"/>
            <w:shd w:fill="E4F3E8"/>
            <w:vAlign w:val="center"/>
          </w:tcPr>
          <w:p>
            <w:pPr>
              <w:spacing w:after="0" w:before="0"/>
            </w:pPr>
            <w:r/>
            <w:r>
              <w:rPr>
                <w:rFonts w:ascii="Aptos" w:hAnsi="Aptos"/>
                <w:b/>
                <w:color w:val="1D2939"/>
                <w:sz w:val="15"/>
              </w:rPr>
              <w:t>Implemented in repository; editor use not independently verifiable</w:t>
            </w:r>
          </w:p>
        </w:tc>
        <w:tc>
          <w:tcPr>
            <w:tcW w:type="dxa" w:w="5760"/>
            <w:vAlign w:val="center"/>
            <w:shd w:fill="F3F6FA"/>
          </w:tcPr>
          <w:p>
            <w:pPr>
              <w:spacing w:after="0" w:before="0"/>
            </w:pPr>
            <w:r/>
            <w:r>
              <w:rPr>
                <w:rFonts w:ascii="Aptos" w:hAnsi="Aptos"/>
                <w:b w:val="0"/>
                <w:color w:val="1D2939"/>
                <w:sz w:val="15"/>
              </w:rPr>
              <w:t>README provides virtual environment, installation, migration, seed, API, and static UI commands.</w:t>
            </w:r>
          </w:p>
        </w:tc>
      </w:tr>
      <w:tr>
        <w:tc>
          <w:tcPr>
            <w:tcW w:type="dxa" w:w="2016"/>
            <w:vAlign w:val="center"/>
          </w:tcPr>
          <w:p>
            <w:pPr>
              <w:spacing w:after="0" w:before="0"/>
            </w:pPr>
            <w:r/>
            <w:r>
              <w:rPr>
                <w:rFonts w:ascii="Aptos" w:hAnsi="Aptos"/>
                <w:b/>
                <w:color w:val="1D2939"/>
                <w:sz w:val="16"/>
              </w:rPr>
              <w:t>At least two deliberate patterns</w:t>
            </w:r>
          </w:p>
        </w:tc>
        <w:tc>
          <w:tcPr>
            <w:tcW w:type="dxa" w:w="2088"/>
            <w:shd w:fill="E4F3E8"/>
            <w:vAlign w:val="center"/>
          </w:tcPr>
          <w:p>
            <w:pPr>
              <w:spacing w:after="0" w:before="0"/>
            </w:pPr>
            <w:r/>
            <w:r>
              <w:rPr>
                <w:rFonts w:ascii="Aptos" w:hAnsi="Aptos"/>
                <w:b/>
                <w:color w:val="1D2939"/>
                <w:sz w:val="15"/>
              </w:rPr>
              <w:t>Implemented</w:t>
            </w:r>
          </w:p>
        </w:tc>
        <w:tc>
          <w:tcPr>
            <w:tcW w:type="dxa" w:w="5760"/>
            <w:vAlign w:val="center"/>
          </w:tcPr>
          <w:p>
            <w:pPr>
              <w:spacing w:after="0" w:before="0"/>
            </w:pPr>
            <w:r/>
            <w:r>
              <w:rPr>
                <w:rFonts w:ascii="Aptos" w:hAnsi="Aptos"/>
                <w:b w:val="0"/>
                <w:color w:val="1D2939"/>
                <w:sz w:val="15"/>
              </w:rPr>
              <w:t>Confidence/category routing sends ambiguous cases to a heavier model. The second prompt receives the first structured prediction, forming a prompt chain.</w:t>
            </w:r>
          </w:p>
        </w:tc>
      </w:tr>
      <w:tr>
        <w:tc>
          <w:tcPr>
            <w:tcW w:type="dxa" w:w="2016"/>
            <w:vAlign w:val="center"/>
            <w:shd w:fill="F3F6FA"/>
          </w:tcPr>
          <w:p>
            <w:pPr>
              <w:spacing w:after="0" w:before="0"/>
            </w:pPr>
            <w:r/>
            <w:r>
              <w:rPr>
                <w:rFonts w:ascii="Aptos" w:hAnsi="Aptos"/>
                <w:b/>
                <w:color w:val="1D2939"/>
                <w:sz w:val="16"/>
              </w:rPr>
              <w:t>Clear code/model boundary</w:t>
            </w:r>
          </w:p>
        </w:tc>
        <w:tc>
          <w:tcPr>
            <w:tcW w:type="dxa" w:w="2088"/>
            <w:shd w:fill="E4F3E8"/>
            <w:vAlign w:val="center"/>
          </w:tcPr>
          <w:p>
            <w:pPr>
              <w:spacing w:after="0" w:before="0"/>
            </w:pPr>
            <w:r/>
            <w:r>
              <w:rPr>
                <w:rFonts w:ascii="Aptos" w:hAnsi="Aptos"/>
                <w:b/>
                <w:color w:val="1D2939"/>
                <w:sz w:val="15"/>
              </w:rPr>
              <w:t>Implemented and documented</w:t>
            </w:r>
          </w:p>
        </w:tc>
        <w:tc>
          <w:tcPr>
            <w:tcW w:type="dxa" w:w="5760"/>
            <w:vAlign w:val="center"/>
            <w:shd w:fill="F3F6FA"/>
          </w:tcPr>
          <w:p>
            <w:pPr>
              <w:spacing w:after="0" w:before="0"/>
            </w:pPr>
            <w:r/>
            <w:r>
              <w:rPr>
                <w:rFonts w:ascii="Aptos" w:hAnsi="Aptos"/>
                <w:b w:val="0"/>
                <w:color w:val="1D2939"/>
                <w:sz w:val="15"/>
              </w:rPr>
              <w:t>CSV validation, arithmetic, aggregations, and review decisions are deterministic code. Free-text classification is the LLM boundary.</w:t>
            </w:r>
          </w:p>
        </w:tc>
      </w:tr>
      <w:tr>
        <w:tc>
          <w:tcPr>
            <w:tcW w:type="dxa" w:w="2016"/>
            <w:vAlign w:val="center"/>
          </w:tcPr>
          <w:p>
            <w:pPr>
              <w:spacing w:after="0" w:before="0"/>
            </w:pPr>
            <w:r/>
            <w:r>
              <w:rPr>
                <w:rFonts w:ascii="Aptos" w:hAnsi="Aptos"/>
                <w:b/>
                <w:color w:val="1D2939"/>
                <w:sz w:val="16"/>
              </w:rPr>
              <w:t>Real-shaped input</w:t>
            </w:r>
          </w:p>
        </w:tc>
        <w:tc>
          <w:tcPr>
            <w:tcW w:type="dxa" w:w="2088"/>
            <w:shd w:fill="FFF1D6"/>
            <w:vAlign w:val="center"/>
          </w:tcPr>
          <w:p>
            <w:pPr>
              <w:spacing w:after="0" w:before="0"/>
            </w:pPr>
            <w:r/>
            <w:r>
              <w:rPr>
                <w:rFonts w:ascii="Aptos" w:hAnsi="Aptos"/>
                <w:b/>
                <w:color w:val="1D2939"/>
                <w:sz w:val="15"/>
              </w:rPr>
              <w:t>Partial</w:t>
            </w:r>
          </w:p>
        </w:tc>
        <w:tc>
          <w:tcPr>
            <w:tcW w:type="dxa" w:w="5760"/>
            <w:vAlign w:val="center"/>
          </w:tcPr>
          <w:p>
            <w:pPr>
              <w:spacing w:after="0" w:before="0"/>
            </w:pPr>
            <w:r/>
            <w:r>
              <w:rPr>
                <w:rFonts w:ascii="Aptos" w:hAnsi="Aptos"/>
                <w:b w:val="0"/>
                <w:color w:val="1D2939"/>
                <w:sz w:val="15"/>
              </w:rPr>
              <w:t>The labelled fixture has 14 curated cases and Hinglish. It does not establish broad coverage of misspellings, colour spellings, noise, or source volume.</w:t>
            </w:r>
          </w:p>
        </w:tc>
      </w:tr>
      <w:tr>
        <w:tc>
          <w:tcPr>
            <w:tcW w:type="dxa" w:w="2016"/>
            <w:vAlign w:val="center"/>
            <w:shd w:fill="F3F6FA"/>
          </w:tcPr>
          <w:p>
            <w:pPr>
              <w:spacing w:after="0" w:before="0"/>
            </w:pPr>
            <w:r/>
            <w:r>
              <w:rPr>
                <w:rFonts w:ascii="Aptos" w:hAnsi="Aptos"/>
                <w:b/>
                <w:color w:val="1D2939"/>
                <w:sz w:val="16"/>
              </w:rPr>
              <w:t>Two models minimum</w:t>
            </w:r>
          </w:p>
        </w:tc>
        <w:tc>
          <w:tcPr>
            <w:tcW w:type="dxa" w:w="2088"/>
            <w:shd w:fill="E4F3E8"/>
            <w:vAlign w:val="center"/>
          </w:tcPr>
          <w:p>
            <w:pPr>
              <w:spacing w:after="0" w:before="0"/>
            </w:pPr>
            <w:r/>
            <w:r>
              <w:rPr>
                <w:rFonts w:ascii="Aptos" w:hAnsi="Aptos"/>
                <w:b/>
                <w:color w:val="1D2939"/>
                <w:sz w:val="15"/>
              </w:rPr>
              <w:t>Implemented in configuration</w:t>
            </w:r>
          </w:p>
        </w:tc>
        <w:tc>
          <w:tcPr>
            <w:tcW w:type="dxa" w:w="5760"/>
            <w:vAlign w:val="center"/>
            <w:shd w:fill="F3F6FA"/>
          </w:tcPr>
          <w:p>
            <w:pPr>
              <w:spacing w:after="0" w:before="0"/>
            </w:pPr>
            <w:r/>
            <w:r>
              <w:rPr>
                <w:rFonts w:ascii="Aptos" w:hAnsi="Aptos"/>
                <w:b w:val="0"/>
                <w:color w:val="1D2939"/>
                <w:sz w:val="15"/>
              </w:rPr>
              <w:t>The inspected config defaults to OpenRouter openai/gpt-4.1-mini for the light tier and openai/gpt-4.1 for escalations. Confirm these match the production Vercel variables and provider access.</w:t>
            </w:r>
          </w:p>
        </w:tc>
      </w:tr>
      <w:tr>
        <w:tc>
          <w:tcPr>
            <w:tcW w:type="dxa" w:w="2016"/>
            <w:vAlign w:val="center"/>
          </w:tcPr>
          <w:p>
            <w:pPr>
              <w:spacing w:after="0" w:before="0"/>
            </w:pPr>
            <w:r/>
            <w:r>
              <w:rPr>
                <w:rFonts w:ascii="Aptos" w:hAnsi="Aptos"/>
                <w:b/>
                <w:color w:val="1D2939"/>
                <w:sz w:val="16"/>
              </w:rPr>
              <w:t>Cost line</w:t>
            </w:r>
          </w:p>
        </w:tc>
        <w:tc>
          <w:tcPr>
            <w:tcW w:type="dxa" w:w="2088"/>
            <w:shd w:fill="FFF1D6"/>
            <w:vAlign w:val="center"/>
          </w:tcPr>
          <w:p>
            <w:pPr>
              <w:spacing w:after="0" w:before="0"/>
            </w:pPr>
            <w:r/>
            <w:r>
              <w:rPr>
                <w:rFonts w:ascii="Aptos" w:hAnsi="Aptos"/>
                <w:b/>
                <w:color w:val="1D2939"/>
                <w:sz w:val="15"/>
              </w:rPr>
              <w:t>Partial</w:t>
            </w:r>
          </w:p>
        </w:tc>
        <w:tc>
          <w:tcPr>
            <w:tcW w:type="dxa" w:w="5760"/>
            <w:vAlign w:val="center"/>
          </w:tcPr>
          <w:p>
            <w:pPr>
              <w:spacing w:after="0" w:before="0"/>
            </w:pPr>
            <w:r/>
            <w:r>
              <w:rPr>
                <w:rFonts w:ascii="Aptos" w:hAnsi="Aptos"/>
                <w:b w:val="0"/>
                <w:color w:val="1D2939"/>
                <w:sz w:val="15"/>
              </w:rPr>
              <w:t>Build note estimates per-return and weekly costs using assumed token sizes and 10% escalation. It does not measure actual tokens, latency, or spend per run.</w:t>
            </w:r>
          </w:p>
        </w:tc>
      </w:tr>
      <w:tr>
        <w:tc>
          <w:tcPr>
            <w:tcW w:type="dxa" w:w="2016"/>
            <w:vAlign w:val="center"/>
            <w:shd w:fill="F3F6FA"/>
          </w:tcPr>
          <w:p>
            <w:pPr>
              <w:spacing w:after="0" w:before="0"/>
            </w:pPr>
            <w:r/>
            <w:r>
              <w:rPr>
                <w:rFonts w:ascii="Aptos" w:hAnsi="Aptos"/>
                <w:b/>
                <w:color w:val="1D2939"/>
                <w:sz w:val="16"/>
              </w:rPr>
              <w:t>Stated temperatures</w:t>
            </w:r>
          </w:p>
        </w:tc>
        <w:tc>
          <w:tcPr>
            <w:tcW w:type="dxa" w:w="2088"/>
            <w:shd w:fill="FFF1D6"/>
            <w:vAlign w:val="center"/>
          </w:tcPr>
          <w:p>
            <w:pPr>
              <w:spacing w:after="0" w:before="0"/>
            </w:pPr>
            <w:r/>
            <w:r>
              <w:rPr>
                <w:rFonts w:ascii="Aptos" w:hAnsi="Aptos"/>
                <w:b/>
                <w:color w:val="1D2939"/>
                <w:sz w:val="15"/>
              </w:rPr>
              <w:t>Partial / needs explicit explanation</w:t>
            </w:r>
          </w:p>
        </w:tc>
        <w:tc>
          <w:tcPr>
            <w:tcW w:type="dxa" w:w="5760"/>
            <w:vAlign w:val="center"/>
            <w:shd w:fill="F3F6FA"/>
          </w:tcPr>
          <w:p>
            <w:pPr>
              <w:spacing w:after="0" w:before="0"/>
            </w:pPr>
            <w:r/>
            <w:r>
              <w:rPr>
                <w:rFonts w:ascii="Aptos" w:hAnsi="Aptos"/>
                <w:b w:val="0"/>
                <w:color w:val="1D2939"/>
                <w:sz w:val="15"/>
              </w:rPr>
              <w:t>Classifier uses temperature 0. Offline evaluation calls the same classifier at that setting, appropriately testing deployed behavior. There is no separate extraction or customer-facing generation model step.</w:t>
            </w:r>
          </w:p>
        </w:tc>
      </w:tr>
      <w:tr>
        <w:tc>
          <w:tcPr>
            <w:tcW w:type="dxa" w:w="2016"/>
            <w:vAlign w:val="center"/>
          </w:tcPr>
          <w:p>
            <w:pPr>
              <w:spacing w:after="0" w:before="0"/>
            </w:pPr>
            <w:r/>
            <w:r>
              <w:rPr>
                <w:rFonts w:ascii="Aptos" w:hAnsi="Aptos"/>
                <w:b/>
                <w:color w:val="1D2939"/>
                <w:sz w:val="16"/>
              </w:rPr>
              <w:t>Structured output</w:t>
            </w:r>
          </w:p>
        </w:tc>
        <w:tc>
          <w:tcPr>
            <w:tcW w:type="dxa" w:w="2088"/>
            <w:shd w:fill="E4F3E8"/>
            <w:vAlign w:val="center"/>
          </w:tcPr>
          <w:p>
            <w:pPr>
              <w:spacing w:after="0" w:before="0"/>
            </w:pPr>
            <w:r/>
            <w:r>
              <w:rPr>
                <w:rFonts w:ascii="Aptos" w:hAnsi="Aptos"/>
                <w:b/>
                <w:color w:val="1D2939"/>
                <w:sz w:val="15"/>
              </w:rPr>
              <w:t>Implemented</w:t>
            </w:r>
          </w:p>
        </w:tc>
        <w:tc>
          <w:tcPr>
            <w:tcW w:type="dxa" w:w="5760"/>
            <w:vAlign w:val="center"/>
          </w:tcPr>
          <w:p>
            <w:pPr>
              <w:spacing w:after="0" w:before="0"/>
            </w:pPr>
            <w:r/>
            <w:r>
              <w:rPr>
                <w:rFonts w:ascii="Aptos" w:hAnsi="Aptos"/>
                <w:b w:val="0"/>
                <w:color w:val="1D2939"/>
                <w:sz w:val="15"/>
              </w:rPr>
              <w:t>Pydantic validates the structured result, including taxonomy/category pairing. Model/schema failures are surfaced; failed classifications are not saved.</w:t>
            </w:r>
          </w:p>
        </w:tc>
      </w:tr>
      <w:tr>
        <w:tc>
          <w:tcPr>
            <w:tcW w:type="dxa" w:w="2016"/>
            <w:vAlign w:val="center"/>
            <w:shd w:fill="F3F6FA"/>
          </w:tcPr>
          <w:p>
            <w:pPr>
              <w:spacing w:after="0" w:before="0"/>
            </w:pPr>
            <w:r/>
            <w:r>
              <w:rPr>
                <w:rFonts w:ascii="Aptos" w:hAnsi="Aptos"/>
                <w:b/>
                <w:color w:val="1D2939"/>
                <w:sz w:val="16"/>
              </w:rPr>
              <w:t>GitHub CI/CD</w:t>
            </w:r>
          </w:p>
        </w:tc>
        <w:tc>
          <w:tcPr>
            <w:tcW w:type="dxa" w:w="2088"/>
            <w:shd w:fill="FFF1D6"/>
            <w:vAlign w:val="center"/>
          </w:tcPr>
          <w:p>
            <w:pPr>
              <w:spacing w:after="0" w:before="0"/>
            </w:pPr>
            <w:r/>
            <w:r>
              <w:rPr>
                <w:rFonts w:ascii="Aptos" w:hAnsi="Aptos"/>
                <w:b/>
                <w:color w:val="1D2939"/>
                <w:sz w:val="15"/>
              </w:rPr>
              <w:t>Workflow present; live execution unverified</w:t>
            </w:r>
          </w:p>
        </w:tc>
        <w:tc>
          <w:tcPr>
            <w:tcW w:type="dxa" w:w="5760"/>
            <w:vAlign w:val="center"/>
            <w:shd w:fill="F3F6FA"/>
          </w:tcPr>
          <w:p>
            <w:pPr>
              <w:spacing w:after="0" w:before="0"/>
            </w:pPr>
            <w:r/>
            <w:r>
              <w:rPr>
                <w:rFonts w:ascii="Aptos" w:hAnsi="Aptos"/>
                <w:b w:val="0"/>
                <w:color w:val="1D2939"/>
                <w:sz w:val="15"/>
              </w:rPr>
              <w:t>A GitHub Actions workflow installs dependencies and runs pytest on pushes and pull requests. The available project copy does not prove the workflow has passed or that Vercel is linked to the intended repository.</w:t>
            </w:r>
          </w:p>
        </w:tc>
      </w:tr>
    </w:tbl>
    <w:p>
      <w:pPr>
        <w:pStyle w:val="Heading1"/>
      </w:pPr>
      <w:r>
        <w:t>Gaps and recommendations</w:t>
      </w:r>
    </w:p>
    <w:p>
      <w:pPr>
        <w:pStyle w:val="Heading2"/>
      </w:pPr>
      <w:r>
        <w:t>1. Broaden the input set and evaluation</w:t>
      </w:r>
    </w:p>
    <w:p>
      <w:r>
        <w:t>The current 14 labelled examples establish a useful smoke test, not a representative benchmark. A larger test set should include natural Hinglish, transliterated Hindi, common misspellings, inconsistent spacing, short or vague comments, multiple issues in one comment, colour variants, and cases that should remain Other or go to human review.</w:t>
      </w:r>
    </w:p>
    <w:p>
      <w:pPr>
        <w:pStyle w:val="ListBullet"/>
        <w:spacing w:after="40"/>
      </w:pPr>
      <w:r>
        <w:t>Near term: expand to a few hundred clearly synthetic, varied cases; label category, subcategory, and whether a reviewer should be required.</w:t>
      </w:r>
    </w:p>
    <w:p>
      <w:pPr>
        <w:pStyle w:val="ListBullet"/>
        <w:spacing w:after="40"/>
      </w:pPr>
      <w:r>
        <w:t>Before client claims: obtain a Dhaga-approved, de-identified sample and human-reviewed labels. Keep train/prompt examples separate from the holdout evaluation set.</w:t>
      </w:r>
    </w:p>
    <w:p>
      <w:pPr>
        <w:pStyle w:val="ListBullet"/>
        <w:spacing w:after="40"/>
      </w:pPr>
      <w:r>
        <w:t>Report category and subcategory accuracy, confusion matrix, Other handling, escalation rate, human-review rate, and results by language/noise slice. Do not claim production accuracy from the 14-case fixture.</w:t>
      </w:r>
    </w:p>
    <w:p>
      <w:pPr>
        <w:pStyle w:val="Heading2"/>
      </w:pPr>
      <w:r>
        <w:t>2. Measure cost and latency from actual runs</w:t>
      </w:r>
    </w:p>
    <w:p>
      <w:r>
        <w:t>The existing cost note is transparent about assumptions, but the estimate should not be presented as observed spend. Instrument both model tiers and persist or export provider-reported input/output tokens, latency, model identifier, escalation decision, and errors. Derive cost from the provider's current rate card and actual usage metadata.</w:t>
      </w:r>
    </w:p>
    <w:p>
      <w:pPr>
        <w:pStyle w:val="ListBullet"/>
        <w:spacing w:after="40"/>
      </w:pPr>
      <w:r>
        <w:t>Show cost for one run and for explicit demand scenarios, including observed escalation rate and a 100% escalation upper bound.</w:t>
      </w:r>
    </w:p>
    <w:p>
      <w:pPr>
        <w:pStyle w:val="ListBullet"/>
        <w:spacing w:after="40"/>
      </w:pPr>
      <w:r>
        <w:t>State the measurement date, pricing source, and whether retries or failed calls are included.</w:t>
      </w:r>
    </w:p>
    <w:p>
      <w:pPr>
        <w:pStyle w:val="Heading2"/>
      </w:pPr>
      <w:r>
        <w:t>3. Clarify model stages and temperatures</w:t>
      </w:r>
    </w:p>
    <w:p>
      <w:r>
        <w:t>The current product has a classification operation, not distinct extraction, evaluation, and customer-facing generation calls. Classification is configured at temperature 0; the offline evaluation invokes the same classification pipeline so the test reflects production behavior. Document this design explicitly. If later stages are introduced, assign and record their temperatures independently, and explain the choice against the task's repeatability needs.</w:t>
      </w:r>
    </w:p>
    <w:p>
      <w:pPr>
        <w:pStyle w:val="Heading2"/>
      </w:pPr>
      <w:r>
        <w:t>4. Reconcile live deployment and repository documentation</w:t>
      </w:r>
    </w:p>
    <w:p>
      <w:pPr>
        <w:pStyle w:val="ListBullet"/>
        <w:spacing w:after="40"/>
      </w:pPr>
      <w:r>
        <w:t>Record the canonical UI and API domains, Vercel project names, repository/branch, and environment variables by project. Never record secret values in the report.</w:t>
      </w:r>
    </w:p>
    <w:p>
      <w:pPr>
        <w:pStyle w:val="ListBullet"/>
        <w:spacing w:after="40"/>
      </w:pPr>
      <w:r>
        <w:t>Update README and deployment guide to say what is currently deployed and provide current setup, redeploy, health-check, and E2E smoke-test steps.</w:t>
      </w:r>
    </w:p>
    <w:p>
      <w:pPr>
        <w:pStyle w:val="ListBullet"/>
        <w:spacing w:after="40"/>
      </w:pPr>
      <w:r>
        <w:t>Confirm GitHub Actions has a successful run on the current branch and that Vercel production deploys from the intended repository and folders.</w:t>
      </w:r>
    </w:p>
    <w:p>
      <w:pPr>
        <w:pStyle w:val="ListBullet"/>
        <w:spacing w:after="40"/>
      </w:pPr>
      <w:r>
        <w:t>Capture a short deployment verification: UI loads, dashboard reads Aiven, classification succeeds, review submission persists, and a deliberate invalid ID shows a useful error.</w:t>
      </w:r>
    </w:p>
    <w:p>
      <w:pPr>
        <w:pStyle w:val="Heading1"/>
      </w:pPr>
      <w:r>
        <w:t>Prioritized implementation plan</w:t>
      </w:r>
    </w:p>
    <w:tbl>
      <w:tblPr>
        <w:tblW w:type="auto" w:w="0"/>
        <w:jc w:val="center"/>
        <w:tblLook w:firstColumn="1" w:firstRow="1" w:lastColumn="0" w:lastRow="0" w:noHBand="0" w:noVBand="1" w:val="04A0"/>
      </w:tblPr>
      <w:tblGrid>
        <w:gridCol w:w="3408"/>
        <w:gridCol w:w="3408"/>
        <w:gridCol w:w="3408"/>
      </w:tblGrid>
      <w:tr>
        <w:trPr>
          <w:tblHeader w:val="true"/>
        </w:trPr>
        <w:tc>
          <w:tcPr>
            <w:tcW w:type="dxa" w:w="3408"/>
            <w:shd w:fill="10233F"/>
            <w:vAlign w:val="center"/>
          </w:tcPr>
          <w:p>
            <w:pPr>
              <w:spacing w:after="0" w:before="0"/>
            </w:pPr>
            <w:r/>
            <w:r>
              <w:rPr>
                <w:rFonts w:ascii="Aptos" w:hAnsi="Aptos"/>
                <w:b/>
                <w:color w:val="FFFFFF"/>
                <w:sz w:val="17"/>
              </w:rPr>
              <w:t>Priority</w:t>
            </w:r>
          </w:p>
        </w:tc>
        <w:tc>
          <w:tcPr>
            <w:tcW w:type="dxa" w:w="3408"/>
            <w:shd w:fill="10233F"/>
            <w:vAlign w:val="center"/>
          </w:tcPr>
          <w:p>
            <w:pPr>
              <w:spacing w:after="0" w:before="0"/>
            </w:pPr>
            <w:r/>
            <w:r>
              <w:rPr>
                <w:rFonts w:ascii="Aptos" w:hAnsi="Aptos"/>
                <w:b/>
                <w:color w:val="FFFFFF"/>
                <w:sz w:val="17"/>
              </w:rPr>
              <w:t>Work</w:t>
            </w:r>
          </w:p>
        </w:tc>
        <w:tc>
          <w:tcPr>
            <w:tcW w:type="dxa" w:w="3408"/>
            <w:shd w:fill="10233F"/>
            <w:vAlign w:val="center"/>
          </w:tcPr>
          <w:p>
            <w:pPr>
              <w:spacing w:after="0" w:before="0"/>
            </w:pPr>
            <w:r/>
            <w:r>
              <w:rPr>
                <w:rFonts w:ascii="Aptos" w:hAnsi="Aptos"/>
                <w:b/>
                <w:color w:val="FFFFFF"/>
                <w:sz w:val="17"/>
              </w:rPr>
              <w:t>Done when</w:t>
            </w:r>
          </w:p>
        </w:tc>
      </w:tr>
      <w:tr>
        <w:tc>
          <w:tcPr>
            <w:tcW w:type="dxa" w:w="3408"/>
            <w:vAlign w:val="center"/>
          </w:tcPr>
          <w:p>
            <w:pPr>
              <w:spacing w:after="0" w:before="0"/>
            </w:pPr>
            <w:r/>
            <w:r>
              <w:rPr>
                <w:rFonts w:ascii="Aptos" w:hAnsi="Aptos"/>
                <w:b/>
                <w:color w:val="1D2939"/>
                <w:sz w:val="16"/>
              </w:rPr>
              <w:t>P0 · Verify and document the live setup</w:t>
            </w:r>
          </w:p>
        </w:tc>
        <w:tc>
          <w:tcPr>
            <w:tcW w:type="dxa" w:w="3408"/>
            <w:vAlign w:val="center"/>
          </w:tcPr>
          <w:p>
            <w:pPr>
              <w:spacing w:after="0" w:before="0"/>
            </w:pPr>
            <w:r/>
            <w:r>
              <w:rPr>
                <w:rFonts w:ascii="Aptos" w:hAnsi="Aptos"/>
                <w:b w:val="0"/>
                <w:color w:val="1D2939"/>
                <w:sz w:val="16"/>
              </w:rPr>
              <w:t>Confirm canonical UI/API domains, Vercel project roots, production variables, Aiven connectivity, current GitHub workflow run, and E2E path. Update stale deployment statements.</w:t>
            </w:r>
          </w:p>
        </w:tc>
        <w:tc>
          <w:tcPr>
            <w:tcW w:type="dxa" w:w="3408"/>
            <w:vAlign w:val="center"/>
          </w:tcPr>
          <w:p>
            <w:pPr>
              <w:spacing w:after="0" w:before="0"/>
            </w:pPr>
            <w:r/>
            <w:r>
              <w:rPr>
                <w:rFonts w:ascii="Aptos" w:hAnsi="Aptos"/>
                <w:b w:val="0"/>
                <w:color w:val="1D2939"/>
                <w:sz w:val="16"/>
              </w:rPr>
              <w:t>README and deployment guide match the live system; checks are dated and reproducible.</w:t>
            </w:r>
          </w:p>
        </w:tc>
      </w:tr>
      <w:tr>
        <w:tc>
          <w:tcPr>
            <w:tcW w:type="dxa" w:w="3408"/>
            <w:vAlign w:val="center"/>
          </w:tcPr>
          <w:p>
            <w:pPr>
              <w:spacing w:after="0" w:before="0"/>
            </w:pPr>
            <w:r/>
            <w:r>
              <w:rPr>
                <w:rFonts w:ascii="Aptos" w:hAnsi="Aptos"/>
                <w:b/>
                <w:color w:val="1D2939"/>
                <w:sz w:val="16"/>
              </w:rPr>
              <w:t>P1 · Expand the evaluation fixture</w:t>
            </w:r>
          </w:p>
        </w:tc>
        <w:tc>
          <w:tcPr>
            <w:tcW w:type="dxa" w:w="3408"/>
            <w:vAlign w:val="center"/>
          </w:tcPr>
          <w:p>
            <w:pPr>
              <w:spacing w:after="0" w:before="0"/>
            </w:pPr>
            <w:r/>
            <w:r>
              <w:rPr>
                <w:rFonts w:ascii="Aptos" w:hAnsi="Aptos"/>
                <w:b w:val="0"/>
                <w:color w:val="1D2939"/>
                <w:sz w:val="16"/>
              </w:rPr>
              <w:t>Add varied synthetic text examples and labels, including Hinglish, misspellings, colour spellings, ambiguous comments, and expected escalation/review outcomes. Keep evaluation labels out of prompts.</w:t>
            </w:r>
          </w:p>
        </w:tc>
        <w:tc>
          <w:tcPr>
            <w:tcW w:type="dxa" w:w="3408"/>
            <w:vAlign w:val="center"/>
          </w:tcPr>
          <w:p>
            <w:pPr>
              <w:spacing w:after="0" w:before="0"/>
            </w:pPr>
            <w:r/>
            <w:r>
              <w:rPr>
                <w:rFonts w:ascii="Aptos" w:hAnsi="Aptos"/>
                <w:b w:val="0"/>
                <w:color w:val="1D2939"/>
                <w:sz w:val="16"/>
              </w:rPr>
              <w:t>A larger fixture is checked in; evaluation reports metrics and slices; no production-accuracy claim is made without approved data.</w:t>
            </w:r>
          </w:p>
        </w:tc>
      </w:tr>
      <w:tr>
        <w:tc>
          <w:tcPr>
            <w:tcW w:type="dxa" w:w="3408"/>
            <w:vAlign w:val="center"/>
          </w:tcPr>
          <w:p>
            <w:pPr>
              <w:spacing w:after="0" w:before="0"/>
            </w:pPr>
            <w:r/>
            <w:r>
              <w:rPr>
                <w:rFonts w:ascii="Aptos" w:hAnsi="Aptos"/>
                <w:b/>
                <w:color w:val="1D2939"/>
                <w:sz w:val="16"/>
              </w:rPr>
              <w:t>P1 · Capture observed model usage</w:t>
            </w:r>
          </w:p>
        </w:tc>
        <w:tc>
          <w:tcPr>
            <w:tcW w:type="dxa" w:w="3408"/>
            <w:vAlign w:val="center"/>
          </w:tcPr>
          <w:p>
            <w:pPr>
              <w:spacing w:after="0" w:before="0"/>
            </w:pPr>
            <w:r/>
            <w:r>
              <w:rPr>
                <w:rFonts w:ascii="Aptos" w:hAnsi="Aptos"/>
                <w:b w:val="0"/>
                <w:color w:val="1D2939"/>
                <w:sz w:val="16"/>
              </w:rPr>
              <w:t>Collect provider usage metadata and latency for both tiers; associate each call with a run and escalation decision; calculate costs from current rates.</w:t>
            </w:r>
          </w:p>
        </w:tc>
        <w:tc>
          <w:tcPr>
            <w:tcW w:type="dxa" w:w="3408"/>
            <w:vAlign w:val="center"/>
          </w:tcPr>
          <w:p>
            <w:pPr>
              <w:spacing w:after="0" w:before="0"/>
            </w:pPr>
            <w:r/>
            <w:r>
              <w:rPr>
                <w:rFonts w:ascii="Aptos" w:hAnsi="Aptos"/>
                <w:b w:val="0"/>
                <w:color w:val="1D2939"/>
                <w:sz w:val="16"/>
              </w:rPr>
              <w:t>A report shows observed cost per run/case and scaled scenarios with date, assumptions, and failure/retry treatment.</w:t>
            </w:r>
          </w:p>
        </w:tc>
      </w:tr>
      <w:tr>
        <w:tc>
          <w:tcPr>
            <w:tcW w:type="dxa" w:w="3408"/>
            <w:vAlign w:val="center"/>
          </w:tcPr>
          <w:p>
            <w:pPr>
              <w:spacing w:after="0" w:before="0"/>
            </w:pPr>
            <w:r/>
            <w:r>
              <w:rPr>
                <w:rFonts w:ascii="Aptos" w:hAnsi="Aptos"/>
                <w:b/>
                <w:color w:val="1D2939"/>
                <w:sz w:val="16"/>
              </w:rPr>
              <w:t>P2 · Publish the as-built architecture guide</w:t>
            </w:r>
          </w:p>
        </w:tc>
        <w:tc>
          <w:tcPr>
            <w:tcW w:type="dxa" w:w="3408"/>
            <w:vAlign w:val="center"/>
          </w:tcPr>
          <w:p>
            <w:pPr>
              <w:spacing w:after="0" w:before="0"/>
            </w:pPr>
            <w:r/>
            <w:r>
              <w:rPr>
                <w:rFonts w:ascii="Aptos" w:hAnsi="Aptos"/>
                <w:b w:val="0"/>
                <w:color w:val="1D2939"/>
                <w:sz w:val="16"/>
              </w:rPr>
              <w:t>Create a component view, classification/review sequence, environment/configuration table, model-routing policy, data flow, deployment topology, and known limitations.</w:t>
            </w:r>
          </w:p>
        </w:tc>
        <w:tc>
          <w:tcPr>
            <w:tcW w:type="dxa" w:w="3408"/>
            <w:vAlign w:val="center"/>
          </w:tcPr>
          <w:p>
            <w:pPr>
              <w:spacing w:after="0" w:before="0"/>
            </w:pPr>
            <w:r/>
            <w:r>
              <w:rPr>
                <w:rFonts w:ascii="Aptos" w:hAnsi="Aptos"/>
                <w:b w:val="0"/>
                <w:color w:val="1D2939"/>
                <w:sz w:val="16"/>
              </w:rPr>
              <w:t>A reader can explain the system and reproduce the demo without relying on oral narration.</w:t>
            </w:r>
          </w:p>
        </w:tc>
      </w:tr>
    </w:tbl>
    <w:p>
      <w:pPr>
        <w:pStyle w:val="Heading1"/>
      </w:pPr>
      <w:r>
        <w:t>Architecture guide recommendation</w:t>
      </w:r>
    </w:p>
    <w:p>
      <w:r>
        <w:t>Use Mermaid diagrams in the architecture guide, supported by concise tables. A single diagram cannot explain component ownership, model policy, configuration, and failure handling all at once.</w:t>
      </w:r>
    </w:p>
    <w:p>
      <w:pPr>
        <w:pStyle w:val="ListBullet"/>
        <w:spacing w:after="40"/>
      </w:pPr>
      <w:r>
        <w:t>System context / deployment flowchart: browser UI → FastAPI on Vercel → Aiven PostgreSQL and OpenRouter; show GitHub Actions and the separate Vercel projects.</w:t>
      </w:r>
    </w:p>
    <w:p>
      <w:pPr>
        <w:pStyle w:val="ListBullet"/>
        <w:spacing w:after="40"/>
      </w:pPr>
      <w:r>
        <w:t>Sequence diagram: user selects a return → API checks for an existing result → light model → optional heavy-model reassessment → schema validation → persistence → human review if uncertain.</w:t>
      </w:r>
    </w:p>
    <w:p>
      <w:pPr>
        <w:pStyle w:val="ListBullet"/>
        <w:spacing w:after="40"/>
      </w:pPr>
      <w:r>
        <w:t>Tables: components and responsibilities; production/local configuration names; API routes; model split, temperatures, validation, and cost measurement; operational checks and limitations.</w:t>
      </w:r>
    </w:p>
    <w:p>
      <w:r>
        <w:t>The guide should distinguish the current as-built flow from future work. In particular, it should not draw extraction, parallel processing, or a separate model evaluator as implemented unless those stages are added.</w:t>
      </w:r>
    </w:p>
    <w:p>
      <w:pPr>
        <w:pStyle w:val="Heading1"/>
      </w:pPr>
      <w:r>
        <w:t>Evidence reviewed</w:t>
      </w:r>
    </w:p>
    <w:p>
      <w:r>
        <w:t>Project files reviewed: README.md; docs/PHASE2_COMPLIANCE.md; docs/BUILD_NOTE.md; docs/DEPLOYMENT.md; app/ai/classifier.py; app/ai/evaluate.py; app/api.py; app/db/config.py; frontend/public/index.html; frontend/public/app.js; sample_data/return_text_test_cases.csv; tests; and .github/workflows/ci.yml. The Phase 2 checklist itself was supplied as a screenshot. The owner's report that the end-to-end deployment works is treated as a report, not independent live verification.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26174"/>
        <w:sz w:val="16"/>
      </w:rPr>
      <w:t>Dhaga &amp; Co. Return Root-Cause Intelligence  |  Phase 2 audit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D293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0233F"/>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47D83"/>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10233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233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