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4E79"/>
          <w:sz w:val="44"/>
        </w:rPr>
        <w:t>Dhaga &amp; Co. — Problem Prioritization Framework</w:t>
      </w:r>
    </w:p>
    <w:p>
      <w:pPr>
        <w:spacing w:after="360"/>
      </w:pPr>
      <w:r>
        <w:rPr>
          <w:rFonts w:ascii="Arial" w:hAnsi="Arial"/>
          <w:i/>
          <w:color w:val="595959"/>
          <w:sz w:val="24"/>
        </w:rPr>
        <w:t>Forward Deployment Engineering (FDE) Discovery Phase | Client Engagement Analysis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1. Evaluation Methodology &amp; Criteria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To determine the highest-leverage intervention point for Dhaga &amp; Co., we evaluated operational friction points across five distinct criteria. This ensures our selection is rooted in organizational reality rather than technical novelty.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- </w:t>
      </w:r>
      <w:r>
        <w:rPr>
          <w:rFonts w:ascii="Arial" w:hAnsi="Arial"/>
          <w:color w:val="333333"/>
          <w:sz w:val="21"/>
        </w:rPr>
        <w:t>1. Business Impact: Potential impact on revenue, cost, customer experience, or repeat purchase retention.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- </w:t>
      </w:r>
      <w:r>
        <w:rPr>
          <w:rFonts w:ascii="Arial" w:hAnsi="Arial"/>
          <w:color w:val="333333"/>
          <w:sz w:val="21"/>
        </w:rPr>
        <w:t>2. Problem Frequency / Scale: Transaction volume, SKU breadth, and operational frequency affected.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- </w:t>
      </w:r>
      <w:r>
        <w:rPr>
          <w:rFonts w:ascii="Arial" w:hAnsi="Arial"/>
          <w:color w:val="333333"/>
          <w:sz w:val="21"/>
        </w:rPr>
        <w:t>3. Evidence Strength: Clarity and verifiability of available data from the brief.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- </w:t>
      </w:r>
      <w:r>
        <w:rPr>
          <w:rFonts w:ascii="Arial" w:hAnsi="Arial"/>
          <w:color w:val="333333"/>
          <w:sz w:val="21"/>
        </w:rPr>
        <w:t>4. AI / Automation Opportunity: Suitability of language models, routing, and structured extraction for the bottleneck.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- </w:t>
      </w:r>
      <w:r>
        <w:rPr>
          <w:rFonts w:ascii="Arial" w:hAnsi="Arial"/>
          <w:color w:val="333333"/>
          <w:sz w:val="21"/>
        </w:rPr>
        <w:t>5. Time-to-Value: Speed of delivering measurable operational insights.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2. Ranked Shortlist of Problems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Problem Area</w:t>
            </w:r>
          </w:p>
        </w:tc>
        <w:tc>
          <w:tcPr>
            <w:tcW w:type="dxa" w:w="1152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888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Core Rationale &amp;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🥇 #1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color w:val="333333"/>
                <w:sz w:val="19"/>
              </w:rPr>
              <w:t>Return / Root-Cause Intelligence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24 / 25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color w:val="333333"/>
                <w:sz w:val="19"/>
              </w:rPr>
              <w:t>31% overall returns; 44% in 'Other'; size-chart mismatch; direct link to 22% repeat purchase retention ceiling.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🥈 #2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color w:val="333333"/>
                <w:sz w:val="19"/>
              </w:rPr>
              <w:t>SKU / Catalog Go-Live Automation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23 / 25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color w:val="333333"/>
                <w:sz w:val="19"/>
              </w:rPr>
              <w:t>400 new SKUs/week across 40 vendors; manual spreadsheets &amp; WhatsApp threads; 6-9 day sample-to-live delay.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🥉 #3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color w:val="333333"/>
                <w:sz w:val="19"/>
              </w:rPr>
              <w:t>Customer Support Intelligence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24 / 25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color w:val="333333"/>
                <w:sz w:val="19"/>
              </w:rPr>
              <w:t>9,000 weekly tickets; 58% WISMO inquiries; 34 agents bogged down by copy-pasting canned replies.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#4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color w:val="333333"/>
                <w:sz w:val="19"/>
              </w:rPr>
              <w:t>Customer / Product Analytics Intelligence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20 / 25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color w:val="333333"/>
                <w:sz w:val="19"/>
              </w:rPr>
              <w:t>410,000 unanalyzed reviews; 2-week analyst queue in Metabase; valuable but downstream from active bleed.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3. Detailed Justification for #1 Selection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#1 ranked problem—Return &amp; Fit Intelligence—is owned directly by Neha (Category Head). With overall returns at 31% (~14,880 returned items weekly) and 44% of return reasons trapped in an unread 'Other' free-text box, category leadership operates blind to systemic sizing errors across 14,000 live SKUs. Solving this directly addresses CEO Ritu's core concern: repeat purchase rate stuck at 22% for six quarters.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4. Constraints &amp; Operational Realities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- </w:t>
      </w:r>
      <w:r>
        <w:rPr>
          <w:rFonts w:ascii="Arial" w:hAnsi="Arial"/>
          <w:color w:val="333333"/>
          <w:sz w:val="21"/>
        </w:rPr>
        <w:t>Team Capacity: Exactly 16 engineers and zero ML engineers. Any deployed solution must be operable by a small, busy team without ongoing ML maintenance overhead.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- </w:t>
      </w:r>
      <w:r>
        <w:rPr>
          <w:rFonts w:ascii="Arial" w:hAnsi="Arial"/>
          <w:color w:val="333333"/>
          <w:sz w:val="21"/>
        </w:rPr>
        <w:t>Cost Sensitivity: At 48,000 orders/week, cost-per-action matters. Model calls must remain highly optimized (using lightweight models for bulk ingestion).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- </w:t>
      </w:r>
      <w:r>
        <w:rPr>
          <w:rFonts w:ascii="Arial" w:hAnsi="Arial"/>
          <w:color w:val="333333"/>
          <w:sz w:val="21"/>
        </w:rPr>
        <w:t>Guardrails: Unstructured Hinglish input requires robust schema validation with visible failure handling and human review queues for ambiguous cases.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