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UK Space Sector Turnover: Estimation &amp; 2030 Forecast</w:t>
      </w:r>
    </w:p>
    <w:p>
      <w:pPr>
        <w:spacing w:after="200"/>
        <w:jc w:val="center"/>
      </w:pPr>
      <w:r>
        <w:rPr>
          <w:i/>
          <w:iCs/>
          <w:color w:val="595959"/>
          <w:sz w:val="20"/>
          <w:szCs w:val="20"/>
        </w:rPr>
        <w:t xml:space="preserve">Project Summary — 21 July 2026</w:t>
      </w:r>
    </w:p>
    <w:p>
      <w:pPr>
        <w:pStyle w:val="Heading1"/>
        <w:spacing w:after="100" w:before="200"/>
      </w:pPr>
      <w:r>
        <w:rPr>
          <w:b/>
          <w:bCs/>
          <w:color w:val="1F3864"/>
        </w:rPr>
        <w:t xml:space="preserve">1. What This Does</w:t>
      </w:r>
    </w:p>
    <w:p>
      <w:pPr>
        <w:spacing w:after="120"/>
      </w:pPr>
      <w:r>
        <w:rPr>
          <w:sz w:val="21"/>
          <w:szCs w:val="21"/>
        </w:rPr>
        <w:t xml:space="preserve">This project turns an incomplete company dataset into a complete, forward-looking one for the UK space sector. Many UK space-sector companies don't publicly report a turnover figure for every year. The first stage uses machine learning to fill in those gaps — estimating current turnover for companies that don't report it, based on characteristics they do report (employee numbers, assets, company age, industry classification, and similar). The second stage takes that completed picture and projects each company's turnover forward year by year to 2030. Throughout, companies are grouped into three “missions” reflecting different parts of the space economy — Autonomous &amp; Connected Earth (ACE), Beyond Earth, and Resilient Earth — and a separate model is built for each, since a technique that works well for one group of companies doesn't necessarily work for another.</w:t>
      </w:r>
    </w:p>
    <w:p>
      <w:pPr>
        <w:pStyle w:val="Heading1"/>
        <w:spacing w:after="100" w:before="200"/>
      </w:pPr>
      <w:r>
        <w:rPr>
          <w:b/>
          <w:bCs/>
          <w:color w:val="1F3864"/>
        </w:rPr>
        <w:t xml:space="preserve">2. How Well It Works</w:t>
      </w:r>
    </w:p>
    <w:p>
      <w:pPr>
        <w:spacing w:after="120"/>
      </w:pPr>
      <w:r>
        <w:rPr>
          <w:sz w:val="21"/>
          <w:szCs w:val="21"/>
        </w:rPr>
        <w:t xml:space="preserve">Each mission's model is scored using R² (“R-squared”), a standard statistic that answers one question: of all the differences in turnover between companies, what share does the model actually explain? An R² of 0.65 means the model explains roughly 65% of the variation in company turnover; the rest is noise, one-off factors, or things the model simply can't see from the data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Mission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R²</w:t>
            </w:r>
          </w:p>
        </w:tc>
        <w:tc>
          <w:tcPr>
            <w:tcW w:type="dxa" w:w="2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In plain terms</w:t>
            </w:r>
          </w:p>
        </w:tc>
        <w:tc>
          <w:tcPr>
            <w:tcW w:type="dxa" w:w="26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Model used</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Beyond Earth</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0.63</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Explains about 63% of the variation in turnover</w:t>
            </w:r>
          </w:p>
        </w:tc>
        <w:tc>
          <w:tcPr>
            <w:tcW w:type="dxa" w:w="26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Lasso (linear)</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Resilient Earth</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0.65</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Explains about 65% of the variation in turnover</w:t>
            </w:r>
          </w:p>
        </w:tc>
        <w:tc>
          <w:tcPr>
            <w:tcW w:type="dxa" w:w="26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CatBoost</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left"/>
            </w:pPr>
            <w:r>
              <w:rPr>
                <w:b w:val="false"/>
                <w:bCs w:val="false"/>
                <w:sz w:val="21"/>
                <w:szCs w:val="21"/>
              </w:rPr>
              <w:t xml:space="preserve">ACE</w:t>
            </w:r>
          </w:p>
        </w:tc>
        <w:tc>
          <w:tcPr>
            <w:tcW w:type="dxa" w:w="18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b w:val="false"/>
                <w:bCs w:val="false"/>
                <w:sz w:val="21"/>
                <w:szCs w:val="21"/>
              </w:rPr>
              <w:t xml:space="preserve">0.14</w:t>
            </w:r>
          </w:p>
        </w:tc>
        <w:tc>
          <w:tcPr>
            <w:tcW w:type="dxa" w:w="25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left"/>
            </w:pPr>
            <w:r>
              <w:rPr>
                <w:b w:val="false"/>
                <w:bCs w:val="false"/>
                <w:sz w:val="21"/>
                <w:szCs w:val="21"/>
              </w:rPr>
              <w:t xml:space="preserve">Explains only about 14% of the variation — the weakest of the three</w:t>
            </w:r>
          </w:p>
        </w:tc>
        <w:tc>
          <w:tcPr>
            <w:tcW w:type="dxa" w:w="266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left"/>
            </w:pPr>
            <w:r>
              <w:rPr>
                <w:b w:val="false"/>
                <w:bCs w:val="false"/>
                <w:sz w:val="21"/>
                <w:szCs w:val="21"/>
              </w:rPr>
              <w:t xml:space="preserve">Lasso (linear)</w:t>
            </w:r>
          </w:p>
        </w:tc>
      </w:tr>
    </w:tbl>
    <w:p>
      <w:pPr>
        <w:spacing w:after="120"/>
      </w:pPr>
      <w:r>
        <w:rPr>
          <w:sz w:val="21"/>
          <w:szCs w:val="21"/>
        </w:rPr>
        <w:t xml:space="preserve"/>
      </w:r>
    </w:p>
    <w:p>
      <w:pPr>
        <w:spacing w:after="120"/>
      </w:pPr>
      <w:r>
        <w:rPr>
          <w:sz w:val="21"/>
          <w:szCs w:val="21"/>
        </w:rPr>
        <w:t xml:space="preserve">Why ACE is weaker: ACE has the fewest companies with known turnover to learn from (80, versus 202 for Beyond Earth and 85 for Resilient Earth). Within that small group, a handful of companies are highly atypical — for example BT and Babcock, whose reported turnover reflects their entire, much larger businesses, not just their space activities. With so few companies to learn from, these few outliers have an outsized effect on the model's accuracy, and results can swing sharply depending on exactly which companies happen to be used for testing versus training in a given run. This is a data-availability limitation, not a flaw in the technique: a single overall accuracy check across all ACE companies together (rather than split into small test groups) actually shows performance in line with the other two missions.</w:t>
      </w:r>
    </w:p>
    <w:p>
      <w:pPr>
        <w:spacing w:after="120"/>
      </w:pPr>
      <w:r>
        <w:rPr>
          <w:sz w:val="21"/>
          <w:szCs w:val="21"/>
        </w:rPr>
        <w:t xml:space="preserve">A documented backup approach exists for ACE: combining all three missions' company data into one larger, shared model (rather than three separate ones) raises ACE's explained variation from 14% to 36%, because it gives the model far more companies to learn general patterns from. This has been tested and recorded, but is not currently switched on — the project deliberately keeps three separate, mission-specific models as the primary approach, with this pooled version documented as a fallback.</w:t>
      </w:r>
    </w:p>
    <w:p>
      <w:pPr>
        <w:pStyle w:val="Heading1"/>
        <w:spacing w:after="100" w:before="200"/>
      </w:pPr>
      <w:r>
        <w:rPr>
          <w:b/>
          <w:bCs/>
          <w:color w:val="1F3864"/>
        </w:rPr>
        <w:t xml:space="preserve">3. What This Produces</w:t>
      </w:r>
    </w:p>
    <w:p>
      <w:pPr>
        <w:spacing w:after="120"/>
      </w:pPr>
      <w:r>
        <w:rPr>
          <w:sz w:val="21"/>
          <w:szCs w:val="21"/>
        </w:rPr>
        <w:t xml:space="preserve">An Excel workbook (data/output/turnover_forecast_workbook.xlsx) with seven sheets:</w:t>
      </w:r>
    </w:p>
    <w:p>
      <w:pPr>
        <w:pStyle w:val="ListParagraph"/>
        <w:numPr>
          <w:ilvl w:val="0"/>
          <w:numId w:val="2"/>
        </w:numPr>
        <w:spacing w:after="60"/>
      </w:pPr>
      <w:r>
        <w:rPr>
          <w:sz w:val="21"/>
          <w:szCs w:val="21"/>
        </w:rPr>
        <w:t xml:space="preserve">Current Turnover Baseline — every company's current turnover: either genuinely reported, or estimated where it was missing.</w:t>
      </w:r>
    </w:p>
    <w:p>
      <w:pPr>
        <w:pStyle w:val="ListParagraph"/>
        <w:numPr>
          <w:ilvl w:val="0"/>
          <w:numId w:val="2"/>
        </w:numPr>
        <w:spacing w:after="60"/>
      </w:pPr>
      <w:r>
        <w:rPr>
          <w:sz w:val="21"/>
          <w:szCs w:val="21"/>
        </w:rPr>
        <w:t xml:space="preserve">2030 Full Trajectories — a year-by-year turnover figure for every company from its earliest known year through to 2030.</w:t>
      </w:r>
    </w:p>
    <w:p>
      <w:pPr>
        <w:pStyle w:val="ListParagraph"/>
        <w:numPr>
          <w:ilvl w:val="0"/>
          <w:numId w:val="2"/>
        </w:numPr>
        <w:spacing w:after="60"/>
      </w:pPr>
      <w:r>
        <w:rPr>
          <w:sz w:val="21"/>
          <w:szCs w:val="21"/>
        </w:rPr>
        <w:t xml:space="preserve">£10M Crossings — companies currently below £10M turnover that are projected to cross above it by 2030.</w:t>
      </w:r>
    </w:p>
    <w:p>
      <w:pPr>
        <w:pStyle w:val="ListParagraph"/>
        <w:numPr>
          <w:ilvl w:val="0"/>
          <w:numId w:val="2"/>
        </w:numPr>
        <w:spacing w:after="60"/>
      </w:pPr>
      <w:r>
        <w:rPr>
          <w:sz w:val="21"/>
          <w:szCs w:val="21"/>
        </w:rPr>
        <w:t xml:space="preserve">Gazelle 10pct / Gazelle 20pct — fast-growing companies: those sustaining at least 10% (or 20%) year-on-year growth for three consecutive years or more.</w:t>
      </w:r>
    </w:p>
    <w:p>
      <w:pPr>
        <w:pStyle w:val="ListParagraph"/>
        <w:numPr>
          <w:ilvl w:val="0"/>
          <w:numId w:val="2"/>
        </w:numPr>
        <w:spacing w:after="60"/>
      </w:pPr>
      <w:r>
        <w:rPr>
          <w:sz w:val="21"/>
          <w:szCs w:val="21"/>
        </w:rPr>
        <w:t xml:space="preserve">£50M Intersection — companies that are both fast-growing (either gazelle tier) and projected to reach £50M+ turnover by 2030, the highest-potential group.</w:t>
      </w:r>
    </w:p>
    <w:p>
      <w:pPr>
        <w:pStyle w:val="ListParagraph"/>
        <w:numPr>
          <w:ilvl w:val="0"/>
          <w:numId w:val="2"/>
        </w:numPr>
        <w:spacing w:after="60"/>
      </w:pPr>
      <w:r>
        <w:rPr>
          <w:sz w:val="21"/>
          <w:szCs w:val="21"/>
        </w:rPr>
        <w:t xml:space="preserve">Operational Scaling — companies growing quickly in headcount or assets, even in years where a turnover figure isn't available.</w:t>
      </w:r>
    </w:p>
    <w:p>
      <w:pPr>
        <w:spacing w:after="120"/>
      </w:pPr>
      <w:r>
        <w:rPr>
          <w:sz w:val="21"/>
          <w:szCs w:val="21"/>
        </w:rPr>
        <w:t xml:space="preserve">An interactive dashboard lets anyone search for a company by name or Companies House number and see: a chart of its turnover history plus its projected path to 2030 (with a shaded confidence band showing how uncertain that projection is), a summary panel (mission, evidence quality, 2030 forecast and growth rate, and which of the flags above it qualifies for), and a full year-by-year data table.</w:t>
      </w:r>
    </w:p>
    <w:p>
      <w:pPr>
        <w:pStyle w:val="Heading1"/>
        <w:spacing w:after="100" w:before="200"/>
      </w:pPr>
      <w:r>
        <w:rPr>
          <w:b/>
          <w:bCs/>
          <w:color w:val="1F3864"/>
        </w:rPr>
        <w:t xml:space="preserve">4.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c>
          <w:tcPr>
            <w:tcW w:type="dxa" w:w="53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Metric</w:t>
            </w:r>
          </w:p>
        </w:tc>
        <w:tc>
          <w:tcPr>
            <w:tcW w:type="dxa" w:w="1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Count</w:t>
            </w:r>
          </w:p>
        </w:tc>
        <w:tc>
          <w:tcPr>
            <w:tcW w:type="dxa" w:w="2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jc w:val="center"/>
            </w:pPr>
            <w:r>
              <w:rPr>
                <w:b/>
                <w:bCs/>
                <w:sz w:val="21"/>
                <w:szCs w:val="21"/>
              </w:rPr>
              <w:t xml:space="preserve">Source file</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Companies with genuinely reported turnover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475</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final_completed_dataset.csv</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Companies with an estimated (predicted) turnover</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749</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final_completed_dataset.csv</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£10M-by-2030 crossings</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9</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forecast_10m_crossings.csv</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Gazelle companies (≥10% sustained growth)</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167</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forecast_gazelle_10pct.csv</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Gazelle companies (≥20% sustained growth)</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54</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forecast_gazelle_20pct.csv</w:t>
            </w:r>
          </w:p>
        </w:tc>
      </w:tr>
      <w:tr>
        <w:tc>
          <w:tcPr>
            <w:tcW w:type="dxa" w:w="53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21"/>
                <w:szCs w:val="21"/>
              </w:rPr>
              <w:t xml:space="preserve">£50M intersection (fast-growing AND ≥£50M by 2030)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b w:val="false"/>
                <w:bCs w:val="false"/>
                <w:sz w:val="21"/>
                <w:szCs w:val="21"/>
              </w:rPr>
              <w:t xml:space="preserve">77</w:t>
            </w:r>
          </w:p>
        </w:tc>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8"/>
                <w:szCs w:val="18"/>
              </w:rPr>
              <w:t xml:space="preserve">forecast_gazelle_50m_intersection.csv</w:t>
            </w:r>
          </w:p>
        </w:tc>
      </w:tr>
    </w:tbl>
    <w:p>
      <w:pPr>
        <w:spacing w:after="120"/>
      </w:pPr>
      <w:r>
        <w:rPr>
          <w:sz w:val="21"/>
          <w:szCs w:val="21"/>
        </w:rPr>
        <w:t xml:space="preserve"/>
      </w:r>
    </w:p>
    <w:p>
      <w:pPr>
        <w:spacing w:after="120"/>
      </w:pPr>
      <w:r>
        <w:rPr>
          <w:i/>
          <w:iCs/>
          <w:color w:val="595959"/>
          <w:sz w:val="18"/>
          <w:szCs w:val="18"/>
        </w:rPr>
        <w:t xml:space="preserve">(1 further company is excluded from the totals above as a confirmed data-entry error — Sky UK's own name was mistakenly entered in a field used to assign companies to missions.)</w:t>
      </w:r>
    </w:p>
    <w:p>
      <w:pPr>
        <w:pStyle w:val="Heading1"/>
        <w:spacing w:after="100" w:before="200"/>
      </w:pPr>
      <w:r>
        <w:rPr>
          <w:b/>
          <w:bCs/>
          <w:color w:val="1F3864"/>
        </w:rPr>
        <w:t xml:space="preserve">5. Honest Limitations</w:t>
      </w:r>
    </w:p>
    <w:p>
      <w:pPr>
        <w:pStyle w:val="ListParagraph"/>
        <w:numPr>
          <w:ilvl w:val="0"/>
          <w:numId w:val="2"/>
        </w:numPr>
        <w:spacing w:after="60"/>
      </w:pPr>
      <w:r>
        <w:rPr>
          <w:sz w:val="21"/>
          <w:szCs w:val="21"/>
        </w:rPr>
        <w:t xml:space="preserve">Most companies have no real turnover history to forecast from. 749 of the 1,222 companies in the 2030 forecast (about 61%) have zero years of genuinely reported turnover — their starting point is itself an estimate from stage one, not a real figure, and everything projected from it inherits that uncertainty. (forecast_2030_summary.csv)</w:t>
      </w:r>
    </w:p>
    <w:p>
      <w:pPr>
        <w:pStyle w:val="ListParagraph"/>
        <w:numPr>
          <w:ilvl w:val="0"/>
          <w:numId w:val="2"/>
        </w:numPr>
        <w:spacing w:after="60"/>
      </w:pPr>
      <w:r>
        <w:rPr>
          <w:sz w:val="21"/>
          <w:szCs w:val="21"/>
        </w:rPr>
        <w:t xml:space="preserve">ACE remains the least reliable mission model, for the small-sample reasons explained in Section 2 — usable, but the weakest of the three, and sensitive to which few atypical companies happen to be included in any given check.</w:t>
      </w:r>
    </w:p>
    <w:p>
      <w:pPr>
        <w:pStyle w:val="ListParagraph"/>
        <w:numPr>
          <w:ilvl w:val="0"/>
          <w:numId w:val="2"/>
        </w:numPr>
        <w:spacing w:after="60"/>
      </w:pPr>
      <w:r>
        <w:rPr>
          <w:sz w:val="21"/>
          <w:szCs w:val="21"/>
        </w:rPr>
        <w:t xml:space="preserve">Data from companies outside the space sector (“adjacent” companies, expected to add roughly 23,000 more company-years of data) has not yet been integrated — it would meaningfully strengthen every mission's model, especially ACE's, by giving each far more examples to learn from. The pipeline has been deliberately built to accept this data (including a mechanism to trust it slightly less than genuine space-sector data) as soon as it becomes available; no rework will be needed to add it.</w:t>
      </w:r>
    </w:p>
    <w:p>
      <w:pPr>
        <w:pStyle w:val="Heading1"/>
        <w:spacing w:after="100" w:before="200"/>
      </w:pPr>
      <w:r>
        <w:rPr>
          <w:b/>
          <w:bCs/>
          <w:color w:val="1F3864"/>
        </w:rPr>
        <w:t xml:space="preserve">6. Viewing These Results</w:t>
      </w:r>
    </w:p>
    <w:p>
      <w:pPr>
        <w:spacing w:after="120"/>
      </w:pPr>
      <w:r>
        <w:rPr>
          <w:sz w:val="21"/>
          <w:szCs w:val="21"/>
        </w:rPr>
        <w:t xml:space="preserve">Excel workbook: data/output/turnover_forecast_workbook.xlsx (see Section 3 for what each sheet contains).</w:t>
      </w:r>
    </w:p>
    <w:p>
      <w:pPr>
        <w:spacing w:after="120"/>
      </w:pPr>
      <w:r>
        <w:rPr>
          <w:sz w:val="21"/>
          <w:szCs w:val="21"/>
        </w:rPr>
        <w:t xml:space="preserve">Interactive dashboard — run from the project folder:</w:t>
      </w:r>
    </w:p>
    <w:p>
      <w:pPr>
        <w:shd w:fill="F2F2F2" w:val="clear"/>
        <w:spacing w:after="120"/>
      </w:pPr>
      <w:r>
        <w:rPr>
          <w:rFonts w:ascii="Consolas" w:cs="Consolas" w:eastAsia="Consolas" w:hAnsi="Consolas"/>
          <w:sz w:val="21"/>
          <w:szCs w:val="21"/>
        </w:rPr>
        <w:t xml:space="preserve">streamlit run dashboard.py</w:t>
      </w:r>
    </w:p>
    <w:p>
      <w:pPr>
        <w:spacing w:after="120"/>
      </w:pPr>
      <w:r>
        <w:rPr>
          <w:sz w:val="21"/>
          <w:szCs w:val="21"/>
        </w:rPr>
        <w:t xml:space="preserve">This opens in a web browser and lets you search for any company by name or Companies House number.</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2026-07-21T09:47:44.823Z</dcterms:created>
  <dcterms:modified xsi:type="dcterms:W3CDTF">2026-07-21T09:47:44.824Z</dcterms:modified>
</cp:coreProperties>
</file>

<file path=docProps/custom.xml><?xml version="1.0" encoding="utf-8"?>
<Properties xmlns="http://schemas.openxmlformats.org/officeDocument/2006/custom-properties" xmlns:vt="http://schemas.openxmlformats.org/officeDocument/2006/docPropsVTypes"/>
</file>