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b/>
          <w:bCs/>
          <w:color w:val="1F3864"/>
          <w:sz w:val="34"/>
          <w:szCs w:val="34"/>
        </w:rPr>
        <w:t xml:space="preserve">UK Space Sector Turnover: Estimation &amp; 2030 Forecast</w:t>
      </w:r>
    </w:p>
    <w:p>
      <w:pPr>
        <w:spacing w:after="200"/>
        <w:jc w:val="center"/>
      </w:pPr>
      <w:r>
        <w:rPr>
          <w:i/>
          <w:iCs/>
          <w:color w:val="595959"/>
          <w:sz w:val="20"/>
          <w:szCs w:val="20"/>
        </w:rPr>
        <w:t xml:space="preserve">Project Summary — 23 July 2026</w:t>
      </w:r>
    </w:p>
    <w:p>
      <w:pPr>
        <w:pStyle w:val="Heading1"/>
        <w:spacing w:after="100" w:before="200"/>
      </w:pPr>
      <w:r>
        <w:rPr>
          <w:b/>
          <w:bCs/>
          <w:color w:val="1F3864"/>
        </w:rPr>
        <w:t xml:space="preserve">1. What This Does</w:t>
      </w:r>
    </w:p>
    <w:p>
      <w:pPr>
        <w:spacing w:after="120"/>
      </w:pPr>
      <w:r>
        <w:rPr>
          <w:sz w:val="21"/>
          <w:szCs w:val="21"/>
        </w:rPr>
        <w:t xml:space="preserve">This project turns an incomplete company dataset into a complete, forward-looking one for the UK space sector. Many UK space-sector companies don't publicly report a turnover figure for every year. The first stage uses machine learning to fill in those gaps — estimating current turnover for companies that don't report it, based on characteristics they do report (employee numbers, assets, company age, industry classification, and similar). The second stage takes that completed picture and projects each company's turnover forward year by year to 2030. Companies are grouped into four “missions” reflecting different parts of the space economy — Autonomous &amp; Connected Earth (ACE), Beyond Earth, Resilient Earth, and Cross-cutting (companies that don't fit neatly into the other three) — and a separate model is built for each, since a technique that works well for one group of companies doesn't necessarily work for another.</w:t>
      </w:r>
    </w:p>
    <w:p>
      <w:pPr>
        <w:spacing w:after="120"/>
      </w:pPr>
      <w:r>
        <w:rPr>
          <w:sz w:val="21"/>
          <w:szCs w:val="21"/>
        </w:rPr>
        <w:t xml:space="preserve">Since the previous version of this summary, three missions' models have been strengthened using “adjacent-company” data — companies outside the space sector but similar in profile — as extra training examples (trusted less than genuine space-sector data, via a lower sample weight, but still useful for learning general patterns). Cross-cutting now has its own model for the first time.</w:t>
      </w:r>
    </w:p>
    <w:p>
      <w:pPr>
        <w:pStyle w:val="Heading1"/>
        <w:spacing w:after="100" w:before="200"/>
      </w:pPr>
      <w:r>
        <w:rPr>
          <w:b/>
          <w:bCs/>
          <w:color w:val="1F3864"/>
        </w:rPr>
        <w:t xml:space="preserve">2. How Well It Works</w:t>
      </w:r>
    </w:p>
    <w:p>
      <w:pPr>
        <w:spacing w:after="120"/>
      </w:pPr>
      <w:r>
        <w:rPr>
          <w:sz w:val="21"/>
          <w:szCs w:val="21"/>
        </w:rPr>
        <w:t xml:space="preserve">Each mission's model is scored using R² (“R-squared”), a standard statistic that answers one question: of all the differences in turnover between companies, what share does the model actually explain? An R² of 0.65 means the model explains roughly 65% of the variation in company turnover; the rest is noise, one-off factors, or things the model simply can't see from the data available. “Model used” falls into two families: linear models (Lasso, Elastic Net) fit a straight-line relationship and work best with fewer examples; tree-based models (Extra Trees, CatBoost) can learn more complex patterns but need more data to do it reliably — which is exactly why the models below changed as more data became available.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2800"/>
        <w:gridCol w:w="2660"/>
      </w:tblGrid>
      <w:tr>
        <w:tc>
          <w:tcPr>
            <w:tcW w:type="dxa" w:w="2400"/>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jc w:val="center"/>
            </w:pPr>
            <w:r>
              <w:rPr>
                <w:b/>
                <w:bCs/>
                <w:sz w:val="21"/>
                <w:szCs w:val="21"/>
              </w:rPr>
              <w:t xml:space="preserve">Mission</w:t>
            </w:r>
          </w:p>
        </w:tc>
        <w:tc>
          <w:tcPr>
            <w:tcW w:type="dxa" w:w="1500"/>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jc w:val="center"/>
            </w:pPr>
            <w:r>
              <w:rPr>
                <w:b/>
                <w:bCs/>
                <w:sz w:val="21"/>
                <w:szCs w:val="21"/>
              </w:rPr>
              <w:t xml:space="preserve">R²</w:t>
            </w:r>
          </w:p>
        </w:tc>
        <w:tc>
          <w:tcPr>
            <w:tcW w:type="dxa" w:w="2800"/>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jc w:val="center"/>
            </w:pPr>
            <w:r>
              <w:rPr>
                <w:b/>
                <w:bCs/>
                <w:sz w:val="21"/>
                <w:szCs w:val="21"/>
              </w:rPr>
              <w:t xml:space="preserve">In plain terms</w:t>
            </w:r>
          </w:p>
        </w:tc>
        <w:tc>
          <w:tcPr>
            <w:tcW w:type="dxa" w:w="2660"/>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jc w:val="center"/>
            </w:pPr>
            <w:r>
              <w:rPr>
                <w:b/>
                <w:bCs/>
                <w:sz w:val="21"/>
                <w:szCs w:val="21"/>
              </w:rPr>
              <w:t xml:space="preserve">Model used</w:t>
            </w:r>
          </w:p>
        </w:tc>
      </w:tr>
      <w:tr>
        <w:tc>
          <w:tcPr>
            <w:tcW w:type="dxa" w:w="2400"/>
            <w:tcBorders>
              <w:top w:val="single" w:color="BFBFBF" w:sz="4"/>
              <w:left w:val="single" w:color="BFBFBF" w:sz="4"/>
              <w:bottom w:val="single" w:color="BFBFBF" w:sz="4"/>
              <w:right w:val="single" w:color="BFBFBF" w:sz="4"/>
            </w:tcBorders>
            <w:shd w:fill="E2EFDA" w:val="clear"/>
            <w:tcMar>
              <w:top w:type="dxa" w:w="80"/>
              <w:left w:type="dxa" w:w="100"/>
              <w:bottom w:type="dxa" w:w="80"/>
              <w:right w:type="dxa" w:w="100"/>
            </w:tcMar>
          </w:tcPr>
          <w:p>
            <w:pPr>
              <w:jc w:val="left"/>
            </w:pPr>
            <w:r>
              <w:rPr>
                <w:b w:val="false"/>
                <w:bCs w:val="false"/>
                <w:sz w:val="21"/>
                <w:szCs w:val="21"/>
              </w:rPr>
              <w:t xml:space="preserve">ACE</w:t>
            </w:r>
          </w:p>
        </w:tc>
        <w:tc>
          <w:tcPr>
            <w:tcW w:type="dxa" w:w="1500"/>
            <w:tcBorders>
              <w:top w:val="single" w:color="BFBFBF" w:sz="4"/>
              <w:left w:val="single" w:color="BFBFBF" w:sz="4"/>
              <w:bottom w:val="single" w:color="BFBFBF" w:sz="4"/>
              <w:right w:val="single" w:color="BFBFBF" w:sz="4"/>
            </w:tcBorders>
            <w:shd w:fill="E2EFDA" w:val="clear"/>
            <w:tcMar>
              <w:top w:type="dxa" w:w="80"/>
              <w:left w:type="dxa" w:w="100"/>
              <w:bottom w:type="dxa" w:w="80"/>
              <w:right w:type="dxa" w:w="100"/>
            </w:tcMar>
          </w:tcPr>
          <w:p>
            <w:pPr>
              <w:jc w:val="center"/>
            </w:pPr>
            <w:r>
              <w:rPr>
                <w:b w:val="false"/>
                <w:bCs w:val="false"/>
                <w:sz w:val="21"/>
                <w:szCs w:val="21"/>
              </w:rPr>
              <w:t xml:space="preserve">0.72</w:t>
            </w:r>
          </w:p>
        </w:tc>
        <w:tc>
          <w:tcPr>
            <w:tcW w:type="dxa" w:w="2800"/>
            <w:tcBorders>
              <w:top w:val="single" w:color="BFBFBF" w:sz="4"/>
              <w:left w:val="single" w:color="BFBFBF" w:sz="4"/>
              <w:bottom w:val="single" w:color="BFBFBF" w:sz="4"/>
              <w:right w:val="single" w:color="BFBFBF" w:sz="4"/>
            </w:tcBorders>
            <w:shd w:fill="E2EFDA" w:val="clear"/>
            <w:tcMar>
              <w:top w:type="dxa" w:w="80"/>
              <w:left w:type="dxa" w:w="100"/>
              <w:bottom w:type="dxa" w:w="80"/>
              <w:right w:type="dxa" w:w="100"/>
            </w:tcMar>
          </w:tcPr>
          <w:p>
            <w:pPr>
              <w:jc w:val="left"/>
            </w:pPr>
            <w:r>
              <w:rPr>
                <w:b w:val="false"/>
                <w:bCs w:val="false"/>
                <w:sz w:val="21"/>
                <w:szCs w:val="21"/>
              </w:rPr>
              <w:t xml:space="preserve">Explains about 72% of the variation — up sharply from 14% before adjacent-company data was added</w:t>
            </w:r>
          </w:p>
        </w:tc>
        <w:tc>
          <w:tcPr>
            <w:tcW w:type="dxa" w:w="2660"/>
            <w:tcBorders>
              <w:top w:val="single" w:color="BFBFBF" w:sz="4"/>
              <w:left w:val="single" w:color="BFBFBF" w:sz="4"/>
              <w:bottom w:val="single" w:color="BFBFBF" w:sz="4"/>
              <w:right w:val="single" w:color="BFBFBF" w:sz="4"/>
            </w:tcBorders>
            <w:shd w:fill="E2EFDA" w:val="clear"/>
            <w:tcMar>
              <w:top w:type="dxa" w:w="80"/>
              <w:left w:type="dxa" w:w="100"/>
              <w:bottom w:type="dxa" w:w="80"/>
              <w:right w:type="dxa" w:w="100"/>
            </w:tcMar>
          </w:tcPr>
          <w:p>
            <w:pPr>
              <w:jc w:val="left"/>
            </w:pPr>
            <w:r>
              <w:rPr>
                <w:b w:val="false"/>
                <w:bCs w:val="false"/>
                <w:sz w:val="21"/>
                <w:szCs w:val="21"/>
              </w:rPr>
              <w:t xml:space="preserve">Extra Trees, adjacent-augmented</w:t>
            </w:r>
          </w:p>
        </w:tc>
      </w:tr>
      <w:tr>
        <w:tc>
          <w:tcPr>
            <w:tcW w:type="dxa" w:w="2400"/>
            <w:tcBorders>
              <w:top w:val="single" w:color="BFBFBF" w:sz="4"/>
              <w:left w:val="single" w:color="BFBFBF" w:sz="4"/>
              <w:bottom w:val="single" w:color="BFBFBF" w:sz="4"/>
              <w:right w:val="single" w:color="BFBFBF" w:sz="4"/>
            </w:tcBorders>
            <w:shd w:fill="E2EFDA" w:val="clear"/>
            <w:tcMar>
              <w:top w:type="dxa" w:w="80"/>
              <w:left w:type="dxa" w:w="100"/>
              <w:bottom w:type="dxa" w:w="80"/>
              <w:right w:type="dxa" w:w="100"/>
            </w:tcMar>
          </w:tcPr>
          <w:p>
            <w:pPr>
              <w:jc w:val="left"/>
            </w:pPr>
            <w:r>
              <w:rPr>
                <w:b w:val="false"/>
                <w:bCs w:val="false"/>
                <w:sz w:val="21"/>
                <w:szCs w:val="21"/>
              </w:rPr>
              <w:t xml:space="preserve">Beyond Earth</w:t>
            </w:r>
          </w:p>
        </w:tc>
        <w:tc>
          <w:tcPr>
            <w:tcW w:type="dxa" w:w="1500"/>
            <w:tcBorders>
              <w:top w:val="single" w:color="BFBFBF" w:sz="4"/>
              <w:left w:val="single" w:color="BFBFBF" w:sz="4"/>
              <w:bottom w:val="single" w:color="BFBFBF" w:sz="4"/>
              <w:right w:val="single" w:color="BFBFBF" w:sz="4"/>
            </w:tcBorders>
            <w:shd w:fill="E2EFDA" w:val="clear"/>
            <w:tcMar>
              <w:top w:type="dxa" w:w="80"/>
              <w:left w:type="dxa" w:w="100"/>
              <w:bottom w:type="dxa" w:w="80"/>
              <w:right w:type="dxa" w:w="100"/>
            </w:tcMar>
          </w:tcPr>
          <w:p>
            <w:pPr>
              <w:jc w:val="center"/>
            </w:pPr>
            <w:r>
              <w:rPr>
                <w:b w:val="false"/>
                <w:bCs w:val="false"/>
                <w:sz w:val="21"/>
                <w:szCs w:val="21"/>
              </w:rPr>
              <w:t xml:space="preserve">0.69</w:t>
            </w:r>
          </w:p>
        </w:tc>
        <w:tc>
          <w:tcPr>
            <w:tcW w:type="dxa" w:w="2800"/>
            <w:tcBorders>
              <w:top w:val="single" w:color="BFBFBF" w:sz="4"/>
              <w:left w:val="single" w:color="BFBFBF" w:sz="4"/>
              <w:bottom w:val="single" w:color="BFBFBF" w:sz="4"/>
              <w:right w:val="single" w:color="BFBFBF" w:sz="4"/>
            </w:tcBorders>
            <w:shd w:fill="E2EFDA" w:val="clear"/>
            <w:tcMar>
              <w:top w:type="dxa" w:w="80"/>
              <w:left w:type="dxa" w:w="100"/>
              <w:bottom w:type="dxa" w:w="80"/>
              <w:right w:type="dxa" w:w="100"/>
            </w:tcMar>
          </w:tcPr>
          <w:p>
            <w:pPr>
              <w:jc w:val="left"/>
            </w:pPr>
            <w:r>
              <w:rPr>
                <w:b w:val="false"/>
                <w:bCs w:val="false"/>
                <w:sz w:val="21"/>
                <w:szCs w:val="21"/>
              </w:rPr>
              <w:t xml:space="preserve">Explains about 69% of the variation — up from 63% before adjacent-company data</w:t>
            </w:r>
          </w:p>
        </w:tc>
        <w:tc>
          <w:tcPr>
            <w:tcW w:type="dxa" w:w="2660"/>
            <w:tcBorders>
              <w:top w:val="single" w:color="BFBFBF" w:sz="4"/>
              <w:left w:val="single" w:color="BFBFBF" w:sz="4"/>
              <w:bottom w:val="single" w:color="BFBFBF" w:sz="4"/>
              <w:right w:val="single" w:color="BFBFBF" w:sz="4"/>
            </w:tcBorders>
            <w:shd w:fill="E2EFDA" w:val="clear"/>
            <w:tcMar>
              <w:top w:type="dxa" w:w="80"/>
              <w:left w:type="dxa" w:w="100"/>
              <w:bottom w:type="dxa" w:w="80"/>
              <w:right w:type="dxa" w:w="100"/>
            </w:tcMar>
          </w:tcPr>
          <w:p>
            <w:pPr>
              <w:jc w:val="left"/>
            </w:pPr>
            <w:r>
              <w:rPr>
                <w:b w:val="false"/>
                <w:bCs w:val="false"/>
                <w:sz w:val="21"/>
                <w:szCs w:val="21"/>
              </w:rPr>
              <w:t xml:space="preserve">Extra Trees, adjacent-augmented</w:t>
            </w:r>
          </w:p>
        </w:tc>
      </w:tr>
      <w:tr>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jc w:val="left"/>
            </w:pPr>
            <w:r>
              <w:rPr>
                <w:b w:val="false"/>
                <w:bCs w:val="false"/>
                <w:sz w:val="21"/>
                <w:szCs w:val="21"/>
              </w:rPr>
              <w:t xml:space="preserve">Resilient Earth</w:t>
            </w:r>
          </w:p>
        </w:tc>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jc w:val="center"/>
            </w:pPr>
            <w:r>
              <w:rPr>
                <w:b w:val="false"/>
                <w:bCs w:val="false"/>
                <w:sz w:val="21"/>
                <w:szCs w:val="21"/>
              </w:rPr>
              <w:t xml:space="preserve">0.65</w:t>
            </w:r>
          </w:p>
        </w:tc>
        <w:tc>
          <w:tcPr>
            <w:tcW w:type="dxa" w:w="2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jc w:val="left"/>
            </w:pPr>
            <w:r>
              <w:rPr>
                <w:b w:val="false"/>
                <w:bCs w:val="false"/>
                <w:sz w:val="21"/>
                <w:szCs w:val="21"/>
              </w:rPr>
              <w:t xml:space="preserve">Explains about 65% of the variation — unchanged; adjacent data was tested here too but didn't improve it</w:t>
            </w:r>
          </w:p>
        </w:tc>
        <w:tc>
          <w:tcPr>
            <w:tcW w:type="dxa" w:w="26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jc w:val="left"/>
            </w:pPr>
            <w:r>
              <w:rPr>
                <w:b w:val="false"/>
                <w:bCs w:val="false"/>
                <w:sz w:val="21"/>
                <w:szCs w:val="21"/>
              </w:rPr>
              <w:t xml:space="preserve">CatBoost</w:t>
            </w:r>
          </w:p>
        </w:tc>
      </w:tr>
      <w:tr>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jc w:val="left"/>
            </w:pPr>
            <w:r>
              <w:rPr>
                <w:b w:val="false"/>
                <w:bCs w:val="false"/>
                <w:sz w:val="21"/>
                <w:szCs w:val="21"/>
              </w:rPr>
              <w:t xml:space="preserve">Cross-cutting — Consultancy/Other companies (86)</w:t>
            </w:r>
          </w:p>
        </w:tc>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jc w:val="center"/>
            </w:pPr>
            <w:r>
              <w:rPr>
                <w:b w:val="false"/>
                <w:bCs w:val="false"/>
                <w:sz w:val="21"/>
                <w:szCs w:val="21"/>
              </w:rPr>
              <w:t xml:space="preserve">0.78</w:t>
            </w:r>
          </w:p>
        </w:tc>
        <w:tc>
          <w:tcPr>
            <w:tcW w:type="dxa" w:w="2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jc w:val="left"/>
            </w:pPr>
            <w:r>
              <w:rPr>
                <w:b w:val="false"/>
                <w:bCs w:val="false"/>
                <w:sz w:val="21"/>
                <w:szCs w:val="21"/>
              </w:rPr>
              <w:t xml:space="preserve">Explains about 78% of the variation — a new model, split out because this sub-group behaves consistently enough to model on its own</w:t>
            </w:r>
          </w:p>
        </w:tc>
        <w:tc>
          <w:tcPr>
            <w:tcW w:type="dxa" w:w="26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jc w:val="left"/>
            </w:pPr>
            <w:r>
              <w:rPr>
                <w:b w:val="false"/>
                <w:bCs w:val="false"/>
                <w:sz w:val="21"/>
                <w:szCs w:val="21"/>
              </w:rPr>
              <w:t xml:space="preserve">Elastic Net (linear)</w:t>
            </w:r>
          </w:p>
        </w:tc>
      </w:tr>
      <w:tr>
        <w:tc>
          <w:tcPr>
            <w:tcW w:type="dxa" w:w="24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jc w:val="left"/>
            </w:pPr>
            <w:r>
              <w:rPr>
                <w:b w:val="false"/>
                <w:bCs w:val="false"/>
                <w:sz w:val="21"/>
                <w:szCs w:val="21"/>
              </w:rPr>
              <w:t xml:space="preserve">Cross-cutting — Explore New Markets companies (21)</w:t>
            </w:r>
          </w:p>
        </w:tc>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jc w:val="center"/>
            </w:pPr>
            <w:r>
              <w:rPr>
                <w:b w:val="false"/>
                <w:bCs w:val="false"/>
                <w:sz w:val="21"/>
                <w:szCs w:val="21"/>
              </w:rPr>
              <w:t xml:space="preserve">0.45</w:t>
            </w:r>
          </w:p>
        </w:tc>
        <w:tc>
          <w:tcPr>
            <w:tcW w:type="dxa" w:w="28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jc w:val="left"/>
            </w:pPr>
            <w:r>
              <w:rPr>
                <w:b w:val="false"/>
                <w:bCs w:val="false"/>
                <w:sz w:val="21"/>
                <w:szCs w:val="21"/>
              </w:rPr>
              <w:t xml:space="preserve">Explains about 45% of the variation — these 21 companies are too few to reliably support their own model, so they use the whole-population model instead</w:t>
            </w:r>
          </w:p>
        </w:tc>
        <w:tc>
          <w:tcPr>
            <w:tcW w:type="dxa" w:w="26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jc w:val="left"/>
            </w:pPr>
            <w:r>
              <w:rPr>
                <w:b w:val="false"/>
                <w:bCs w:val="false"/>
                <w:sz w:val="21"/>
                <w:szCs w:val="21"/>
              </w:rPr>
              <w:t xml:space="preserve">Elastic Net (linear)</w:t>
            </w:r>
          </w:p>
        </w:tc>
      </w:tr>
    </w:tbl>
    <w:p>
      <w:pPr>
        <w:spacing w:after="120"/>
      </w:pPr>
      <w:r>
        <w:rPr>
          <w:sz w:val="21"/>
          <w:szCs w:val="21"/>
        </w:rPr>
        <w:t xml:space="preserve"/>
      </w:r>
    </w:p>
    <w:p>
      <w:pPr>
        <w:spacing w:after="120"/>
      </w:pPr>
      <w:r>
        <w:rPr>
          <w:sz w:val="21"/>
          <w:szCs w:val="21"/>
        </w:rPr>
        <w:t xml:space="preserve">Why ACE and Beyond Earth improved so much: both now train on thousands of adjacent-company data points alongside their own real space companies (still only 80 for ACE, 202 for Beyond Earth), giving tree-based models enough volume to learn a more complex, reliable pattern than a simple straight-line model could. This confirms what an earlier, cruder test (temporarily pooling all missions' companies together, which raised ACE from 14% to 36%) had already hinted at — more data helps ACE specifically more than any other mission.</w:t>
      </w:r>
    </w:p>
    <w:p>
      <w:pPr>
        <w:spacing w:after="120"/>
      </w:pPr>
      <w:r>
        <w:rPr>
          <w:sz w:val="21"/>
          <w:szCs w:val="21"/>
        </w:rPr>
        <w:t xml:space="preserve">Why Resilient Earth didn't improve: it already had enough of its own real companies (85) for its model to learn a reliable pattern before adjacent data was tried — so extra, less-trusted data didn't move the number. A further attempt to split Resilient Earth into smaller, more specific sub-groups (mirroring what worked for Cross-cutting) was tested and also didn't beat the current single model overall, mainly because one of the two candidate sub-groups (Agriculture) proved too small to model reliably on its own — so Resilient Earth keeps one combined model for now.</w:t>
      </w:r>
    </w:p>
    <w:p>
      <w:pPr>
        <w:spacing w:after="120"/>
      </w:pPr>
      <w:r>
        <w:rPr>
          <w:sz w:val="21"/>
          <w:szCs w:val="21"/>
        </w:rPr>
        <w:t xml:space="preserve">A caveat worth stating plainly: ACE and Beyond Earth's confirmed R² figures (0.72 and 0.69) come with real fold-to-fold variation (typically ±0.35–0.46) — a meaningfully wider range than Resilient Earth's (±0.16). The headline number is a genuine average across many repeated tests, not a guarantee of that exact accuracy on every single company.</w:t>
      </w:r>
    </w:p>
    <w:p>
      <w:pPr>
        <w:pStyle w:val="Heading1"/>
        <w:spacing w:after="100" w:before="200"/>
      </w:pPr>
      <w:r>
        <w:rPr>
          <w:b/>
          <w:bCs/>
          <w:color w:val="1F3864"/>
        </w:rPr>
        <w:t xml:space="preserve">3. What This Produces</w:t>
      </w:r>
    </w:p>
    <w:p>
      <w:pPr>
        <w:spacing w:after="120"/>
      </w:pPr>
      <w:r>
        <w:rPr>
          <w:sz w:val="21"/>
          <w:szCs w:val="21"/>
        </w:rPr>
        <w:t xml:space="preserve">An Excel workbook (data/output/turnover_forecast_workbook.xlsx) with seven sheets:</w:t>
      </w:r>
    </w:p>
    <w:p>
      <w:pPr>
        <w:pStyle w:val="ListParagraph"/>
        <w:numPr>
          <w:ilvl w:val="0"/>
          <w:numId w:val="2"/>
        </w:numPr>
        <w:spacing w:after="60"/>
      </w:pPr>
      <w:r>
        <w:rPr>
          <w:sz w:val="21"/>
          <w:szCs w:val="21"/>
        </w:rPr>
        <w:t xml:space="preserve">Current Turnover Baseline — every company's current turnover: either genuinely reported, or estimated where it was missing.</w:t>
      </w:r>
    </w:p>
    <w:p>
      <w:pPr>
        <w:pStyle w:val="ListParagraph"/>
        <w:numPr>
          <w:ilvl w:val="0"/>
          <w:numId w:val="2"/>
        </w:numPr>
        <w:spacing w:after="60"/>
      </w:pPr>
      <w:r>
        <w:rPr>
          <w:sz w:val="21"/>
          <w:szCs w:val="21"/>
        </w:rPr>
        <w:t xml:space="preserve">2030 Full Trajectories — a year-by-year turnover figure for every company from its earliest known year through to 2030.</w:t>
      </w:r>
    </w:p>
    <w:p>
      <w:pPr>
        <w:pStyle w:val="ListParagraph"/>
        <w:numPr>
          <w:ilvl w:val="0"/>
          <w:numId w:val="2"/>
        </w:numPr>
        <w:spacing w:after="60"/>
      </w:pPr>
      <w:r>
        <w:rPr>
          <w:sz w:val="21"/>
          <w:szCs w:val="21"/>
        </w:rPr>
        <w:t xml:space="preserve">£10M Crossings — companies currently below £10M turnover that are projected to cross above it by 2030.</w:t>
      </w:r>
    </w:p>
    <w:p>
      <w:pPr>
        <w:pStyle w:val="ListParagraph"/>
        <w:numPr>
          <w:ilvl w:val="0"/>
          <w:numId w:val="2"/>
        </w:numPr>
        <w:spacing w:after="60"/>
      </w:pPr>
      <w:r>
        <w:rPr>
          <w:sz w:val="21"/>
          <w:szCs w:val="21"/>
        </w:rPr>
        <w:t xml:space="preserve">Gazelle 10pct / Gazelle 20pct — fast-growing companies: those sustaining at least 10% (or 20%) year-on-year growth for three consecutive years or more.</w:t>
      </w:r>
    </w:p>
    <w:p>
      <w:pPr>
        <w:pStyle w:val="ListParagraph"/>
        <w:numPr>
          <w:ilvl w:val="0"/>
          <w:numId w:val="2"/>
        </w:numPr>
        <w:spacing w:after="60"/>
      </w:pPr>
      <w:r>
        <w:rPr>
          <w:sz w:val="21"/>
          <w:szCs w:val="21"/>
        </w:rPr>
        <w:t xml:space="preserve">£50M Intersection — companies that are both fast-growing (either gazelle tier) and projected to reach £50M+ turnover by 2030, the highest-potential group.</w:t>
      </w:r>
    </w:p>
    <w:p>
      <w:pPr>
        <w:pStyle w:val="ListParagraph"/>
        <w:numPr>
          <w:ilvl w:val="0"/>
          <w:numId w:val="2"/>
        </w:numPr>
        <w:spacing w:after="60"/>
      </w:pPr>
      <w:r>
        <w:rPr>
          <w:sz w:val="21"/>
          <w:szCs w:val="21"/>
        </w:rPr>
        <w:t xml:space="preserve">Operational Scaling — companies growing quickly in headcount or assets, even in years where a turnover figure isn't available.</w:t>
      </w:r>
    </w:p>
    <w:p>
      <w:pPr>
        <w:spacing w:after="120"/>
      </w:pPr>
      <w:r>
        <w:rPr>
          <w:sz w:val="21"/>
          <w:szCs w:val="21"/>
        </w:rPr>
        <w:t xml:space="preserve">An interactive dashboard lets anyone search for a company by name or Companies House number and see: a chart of its turnover history plus its projected path to 2030 (with a shaded confidence band showing how uncertain that projection is), a summary panel (mission, evidence quality, 2030 forecast and growth rate, and which of the flags above it qualifies for), and a full year-by-year data table.</w:t>
      </w:r>
    </w:p>
    <w:p>
      <w:pPr>
        <w:pStyle w:val="Heading1"/>
        <w:spacing w:after="100" w:before="200"/>
      </w:pPr>
      <w:r>
        <w:rPr>
          <w:b/>
          <w:bCs/>
          <w:color w:val="1F3864"/>
        </w:rPr>
        <w:t xml:space="preserve">4. Key Findings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360"/>
        <w:gridCol w:w="1500"/>
        <w:gridCol w:w="2500"/>
      </w:tblGrid>
      <w:tr>
        <w:tc>
          <w:tcPr>
            <w:tcW w:type="dxa" w:w="5360"/>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jc w:val="center"/>
            </w:pPr>
            <w:r>
              <w:rPr>
                <w:b/>
                <w:bCs/>
                <w:sz w:val="21"/>
                <w:szCs w:val="21"/>
              </w:rPr>
              <w:t xml:space="preserve">Metric</w:t>
            </w:r>
          </w:p>
        </w:tc>
        <w:tc>
          <w:tcPr>
            <w:tcW w:type="dxa" w:w="1500"/>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jc w:val="center"/>
            </w:pPr>
            <w:r>
              <w:rPr>
                <w:b/>
                <w:bCs/>
                <w:sz w:val="21"/>
                <w:szCs w:val="21"/>
              </w:rPr>
              <w:t xml:space="preserve">Count</w:t>
            </w:r>
          </w:p>
        </w:tc>
        <w:tc>
          <w:tcPr>
            <w:tcW w:type="dxa" w:w="2500"/>
            <w:tcBorders>
              <w:top w:val="single" w:color="BFBFBF" w:sz="4"/>
              <w:left w:val="single" w:color="BFBFBF" w:sz="4"/>
              <w:bottom w:val="single" w:color="BFBFBF" w:sz="4"/>
              <w:right w:val="single" w:color="BFBFBF" w:sz="4"/>
            </w:tcBorders>
            <w:shd w:fill="1F3864" w:val="clear"/>
            <w:tcMar>
              <w:top w:type="dxa" w:w="80"/>
              <w:left w:type="dxa" w:w="100"/>
              <w:bottom w:type="dxa" w:w="80"/>
              <w:right w:type="dxa" w:w="100"/>
            </w:tcMar>
          </w:tcPr>
          <w:p>
            <w:pPr>
              <w:jc w:val="center"/>
            </w:pPr>
            <w:r>
              <w:rPr>
                <w:b/>
                <w:bCs/>
                <w:sz w:val="21"/>
                <w:szCs w:val="21"/>
              </w:rPr>
              <w:t xml:space="preserve">Source file</w:t>
            </w:r>
          </w:p>
        </w:tc>
      </w:tr>
      <w:tr>
        <w:tc>
          <w:tcPr>
            <w:tcW w:type="dxa" w:w="53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jc w:val="left"/>
            </w:pPr>
            <w:r>
              <w:rPr>
                <w:b w:val="false"/>
                <w:bCs w:val="false"/>
                <w:sz w:val="21"/>
                <w:szCs w:val="21"/>
              </w:rPr>
              <w:t xml:space="preserve">Companies with genuinely reported turnover</w:t>
            </w:r>
          </w:p>
        </w:tc>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jc w:val="center"/>
            </w:pPr>
            <w:r>
              <w:rPr>
                <w:b w:val="false"/>
                <w:bCs w:val="false"/>
                <w:sz w:val="21"/>
                <w:szCs w:val="21"/>
              </w:rPr>
              <w:t xml:space="preserve">475</w:t>
            </w:r>
          </w:p>
        </w:tc>
        <w:tc>
          <w:tcPr>
            <w:tcW w:type="dxa" w:w="2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jc w:val="left"/>
            </w:pPr>
            <w:r>
              <w:rPr>
                <w:b w:val="false"/>
                <w:bCs w:val="false"/>
                <w:sz w:val="18"/>
                <w:szCs w:val="18"/>
              </w:rPr>
              <w:t xml:space="preserve">final_completed_dataset.csv</w:t>
            </w:r>
          </w:p>
        </w:tc>
      </w:tr>
      <w:tr>
        <w:tc>
          <w:tcPr>
            <w:tcW w:type="dxa" w:w="53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jc w:val="left"/>
            </w:pPr>
            <w:r>
              <w:rPr>
                <w:b w:val="false"/>
                <w:bCs w:val="false"/>
                <w:sz w:val="21"/>
                <w:szCs w:val="21"/>
              </w:rPr>
              <w:t xml:space="preserve">Companies with an estimated (predicted) turnover</w:t>
            </w:r>
          </w:p>
        </w:tc>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jc w:val="center"/>
            </w:pPr>
            <w:r>
              <w:rPr>
                <w:b w:val="false"/>
                <w:bCs w:val="false"/>
                <w:sz w:val="21"/>
                <w:szCs w:val="21"/>
              </w:rPr>
              <w:t xml:space="preserve">748</w:t>
            </w:r>
          </w:p>
        </w:tc>
        <w:tc>
          <w:tcPr>
            <w:tcW w:type="dxa" w:w="2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jc w:val="left"/>
            </w:pPr>
            <w:r>
              <w:rPr>
                <w:b w:val="false"/>
                <w:bCs w:val="false"/>
                <w:sz w:val="18"/>
                <w:szCs w:val="18"/>
              </w:rPr>
              <w:t xml:space="preserve">final_completed_dataset.csv</w:t>
            </w:r>
          </w:p>
        </w:tc>
      </w:tr>
      <w:tr>
        <w:tc>
          <w:tcPr>
            <w:tcW w:type="dxa" w:w="53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jc w:val="left"/>
            </w:pPr>
            <w:r>
              <w:rPr>
                <w:b w:val="false"/>
                <w:bCs w:val="false"/>
                <w:sz w:val="21"/>
                <w:szCs w:val="21"/>
              </w:rPr>
              <w:t xml:space="preserve">£10M-by-2030 crossings</w:t>
            </w:r>
          </w:p>
        </w:tc>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jc w:val="center"/>
            </w:pPr>
            <w:r>
              <w:rPr>
                <w:b w:val="false"/>
                <w:bCs w:val="false"/>
                <w:sz w:val="21"/>
                <w:szCs w:val="21"/>
              </w:rPr>
              <w:t xml:space="preserve">12</w:t>
            </w:r>
          </w:p>
        </w:tc>
        <w:tc>
          <w:tcPr>
            <w:tcW w:type="dxa" w:w="2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jc w:val="left"/>
            </w:pPr>
            <w:r>
              <w:rPr>
                <w:b w:val="false"/>
                <w:bCs w:val="false"/>
                <w:sz w:val="18"/>
                <w:szCs w:val="18"/>
              </w:rPr>
              <w:t xml:space="preserve">forecast_10m_crossings.csv</w:t>
            </w:r>
          </w:p>
        </w:tc>
      </w:tr>
      <w:tr>
        <w:tc>
          <w:tcPr>
            <w:tcW w:type="dxa" w:w="53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jc w:val="left"/>
            </w:pPr>
            <w:r>
              <w:rPr>
                <w:b w:val="false"/>
                <w:bCs w:val="false"/>
                <w:sz w:val="21"/>
                <w:szCs w:val="21"/>
              </w:rPr>
              <w:t xml:space="preserve">Gazelle companies (≥10% sustained growth)</w:t>
            </w:r>
          </w:p>
        </w:tc>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jc w:val="center"/>
            </w:pPr>
            <w:r>
              <w:rPr>
                <w:b w:val="false"/>
                <w:bCs w:val="false"/>
                <w:sz w:val="21"/>
                <w:szCs w:val="21"/>
              </w:rPr>
              <w:t xml:space="preserve">168</w:t>
            </w:r>
          </w:p>
        </w:tc>
        <w:tc>
          <w:tcPr>
            <w:tcW w:type="dxa" w:w="2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jc w:val="left"/>
            </w:pPr>
            <w:r>
              <w:rPr>
                <w:b w:val="false"/>
                <w:bCs w:val="false"/>
                <w:sz w:val="18"/>
                <w:szCs w:val="18"/>
              </w:rPr>
              <w:t xml:space="preserve">forecast_gazelle_10pct.csv</w:t>
            </w:r>
          </w:p>
        </w:tc>
      </w:tr>
      <w:tr>
        <w:tc>
          <w:tcPr>
            <w:tcW w:type="dxa" w:w="53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jc w:val="left"/>
            </w:pPr>
            <w:r>
              <w:rPr>
                <w:b w:val="false"/>
                <w:bCs w:val="false"/>
                <w:sz w:val="21"/>
                <w:szCs w:val="21"/>
              </w:rPr>
              <w:t xml:space="preserve">Gazelle companies (≥20% sustained growth)</w:t>
            </w:r>
          </w:p>
        </w:tc>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jc w:val="center"/>
            </w:pPr>
            <w:r>
              <w:rPr>
                <w:b w:val="false"/>
                <w:bCs w:val="false"/>
                <w:sz w:val="21"/>
                <w:szCs w:val="21"/>
              </w:rPr>
              <w:t xml:space="preserve">57</w:t>
            </w:r>
          </w:p>
        </w:tc>
        <w:tc>
          <w:tcPr>
            <w:tcW w:type="dxa" w:w="2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jc w:val="left"/>
            </w:pPr>
            <w:r>
              <w:rPr>
                <w:b w:val="false"/>
                <w:bCs w:val="false"/>
                <w:sz w:val="18"/>
                <w:szCs w:val="18"/>
              </w:rPr>
              <w:t xml:space="preserve">forecast_gazelle_20pct.csv</w:t>
            </w:r>
          </w:p>
        </w:tc>
      </w:tr>
      <w:tr>
        <w:tc>
          <w:tcPr>
            <w:tcW w:type="dxa" w:w="5360"/>
            <w:tcBorders>
              <w:top w:val="single" w:color="BFBFBF" w:sz="4"/>
              <w:left w:val="single" w:color="BFBFBF" w:sz="4"/>
              <w:bottom w:val="single" w:color="BFBFBF" w:sz="4"/>
              <w:right w:val="single" w:color="BFBFBF" w:sz="4"/>
            </w:tcBorders>
            <w:tcMar>
              <w:top w:type="dxa" w:w="80"/>
              <w:left w:type="dxa" w:w="100"/>
              <w:bottom w:type="dxa" w:w="80"/>
              <w:right w:type="dxa" w:w="100"/>
            </w:tcMar>
          </w:tcPr>
          <w:p>
            <w:pPr>
              <w:jc w:val="left"/>
            </w:pPr>
            <w:r>
              <w:rPr>
                <w:b w:val="false"/>
                <w:bCs w:val="false"/>
                <w:sz w:val="21"/>
                <w:szCs w:val="21"/>
              </w:rPr>
              <w:t xml:space="preserve">£50M intersection (fast-growing AND ≥£50M by 2030)</w:t>
            </w:r>
          </w:p>
        </w:tc>
        <w:tc>
          <w:tcPr>
            <w:tcW w:type="dxa" w:w="1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jc w:val="center"/>
            </w:pPr>
            <w:r>
              <w:rPr>
                <w:b w:val="false"/>
                <w:bCs w:val="false"/>
                <w:sz w:val="21"/>
                <w:szCs w:val="21"/>
              </w:rPr>
              <w:t xml:space="preserve">77</w:t>
            </w:r>
          </w:p>
        </w:tc>
        <w:tc>
          <w:tcPr>
            <w:tcW w:type="dxa" w:w="2500"/>
            <w:tcBorders>
              <w:top w:val="single" w:color="BFBFBF" w:sz="4"/>
              <w:left w:val="single" w:color="BFBFBF" w:sz="4"/>
              <w:bottom w:val="single" w:color="BFBFBF" w:sz="4"/>
              <w:right w:val="single" w:color="BFBFBF" w:sz="4"/>
            </w:tcBorders>
            <w:tcMar>
              <w:top w:type="dxa" w:w="80"/>
              <w:left w:type="dxa" w:w="100"/>
              <w:bottom w:type="dxa" w:w="80"/>
              <w:right w:type="dxa" w:w="100"/>
            </w:tcMar>
          </w:tcPr>
          <w:p>
            <w:pPr>
              <w:jc w:val="left"/>
            </w:pPr>
            <w:r>
              <w:rPr>
                <w:b w:val="false"/>
                <w:bCs w:val="false"/>
                <w:sz w:val="18"/>
                <w:szCs w:val="18"/>
              </w:rPr>
              <w:t xml:space="preserve">forecast_gazelle_50m_intersection.csv</w:t>
            </w:r>
          </w:p>
        </w:tc>
      </w:tr>
    </w:tbl>
    <w:p>
      <w:pPr>
        <w:spacing w:after="120"/>
      </w:pPr>
      <w:r>
        <w:rPr>
          <w:sz w:val="21"/>
          <w:szCs w:val="21"/>
        </w:rPr>
        <w:t xml:space="preserve"/>
      </w:r>
    </w:p>
    <w:p>
      <w:pPr>
        <w:spacing w:after="120"/>
      </w:pPr>
      <w:r>
        <w:rPr>
          <w:i/>
          <w:iCs/>
          <w:color w:val="595959"/>
          <w:sz w:val="18"/>
          <w:szCs w:val="18"/>
        </w:rPr>
        <w:t xml:space="preserve">(1 further company is excluded from the totals above as a confirmed data-entry error — Sky UK's own name was mistakenly entered in a field used to assign companies to missions. A separate Cross-cutting company has no valid model-based estimate at all and is tracked as unmodelled rather than given a fabricated number.)</w:t>
      </w:r>
    </w:p>
    <w:p>
      <w:pPr>
        <w:pStyle w:val="Heading1"/>
        <w:spacing w:after="100" w:before="200"/>
      </w:pPr>
      <w:r>
        <w:rPr>
          <w:b/>
          <w:bCs/>
          <w:color w:val="1F3864"/>
        </w:rPr>
        <w:t xml:space="preserve">5. Honest Limitations</w:t>
      </w:r>
    </w:p>
    <w:p>
      <w:pPr>
        <w:pStyle w:val="ListParagraph"/>
        <w:numPr>
          <w:ilvl w:val="0"/>
          <w:numId w:val="2"/>
        </w:numPr>
        <w:spacing w:after="60"/>
      </w:pPr>
      <w:r>
        <w:rPr>
          <w:sz w:val="21"/>
          <w:szCs w:val="21"/>
        </w:rPr>
        <w:t xml:space="preserve">Most companies have no real turnover history to forecast from. 748 of the 1,222 companies in the 2030 forecast (about 61%) have zero years of genuinely reported turnover — their starting point is itself an estimate from stage one, not a real figure, and everything projected from it inherits that uncertainty. (forecast_2030_summary.csv)</w:t>
      </w:r>
    </w:p>
    <w:p>
      <w:pPr>
        <w:pStyle w:val="ListParagraph"/>
        <w:numPr>
          <w:ilvl w:val="0"/>
          <w:numId w:val="2"/>
        </w:numPr>
        <w:spacing w:after="60"/>
      </w:pPr>
      <w:r>
        <w:rPr>
          <w:sz w:val="21"/>
          <w:szCs w:val="21"/>
        </w:rPr>
        <w:t xml:space="preserve">Adjacent-company data has now been integrated, with mixed results. It substantially improved ACE and Beyond Earth (Section 2), but did not improve Resilient Earth, and a further round of more narrowly-targeted adjacent data (sourced specifically to address known weak spots in each mission) failed to improve any of the three missions it was tried on — evidence that the original, larger data pull had already captured most of the available benefit.</w:t>
      </w:r>
    </w:p>
    <w:p>
      <w:pPr>
        <w:pStyle w:val="ListParagraph"/>
        <w:numPr>
          <w:ilvl w:val="0"/>
          <w:numId w:val="2"/>
        </w:numPr>
        <w:spacing w:after="60"/>
      </w:pPr>
      <w:r>
        <w:rPr>
          <w:sz w:val="21"/>
          <w:szCs w:val="21"/>
        </w:rPr>
        <w:t xml:space="preserve">Cross-cutting's Explore New Markets companies (21 of its 107) don't have a genuinely reliable model of their own — a dedicated attempt was tested and its accuracy collapsed under repeated re-checking, the same small-sample problem ACE used to have. These companies use the whole-population model instead, which is more conservative but less precise for this specific group.</w:t>
      </w:r>
    </w:p>
    <w:p>
      <w:pPr>
        <w:pStyle w:val="ListParagraph"/>
        <w:numPr>
          <w:ilvl w:val="0"/>
          <w:numId w:val="2"/>
        </w:numPr>
        <w:spacing w:after="60"/>
      </w:pPr>
      <w:r>
        <w:rPr>
          <w:sz w:val="21"/>
          <w:szCs w:val="21"/>
        </w:rPr>
        <w:t xml:space="preserve">A newer validation check (predicting each company's own later years from its own earlier years, rather than predicting unseen companies) hasn't yet been re-run against Cross-cutting's current two-model setup — it was run against an earlier, simpler version of the Cross-cutting model. This is a known, tracked gap, not a silent one.</w:t>
      </w:r>
    </w:p>
    <w:p>
      <w:pPr>
        <w:pStyle w:val="ListParagraph"/>
        <w:numPr>
          <w:ilvl w:val="0"/>
          <w:numId w:val="2"/>
        </w:numPr>
        <w:spacing w:after="60"/>
      </w:pPr>
      <w:r>
        <w:rPr>
          <w:sz w:val="21"/>
          <w:szCs w:val="21"/>
        </w:rPr>
        <w:t xml:space="preserve">ACE and Beyond Earth's adjacent-augmented models are considerably larger as files than every other model in this project (over 1 GB and 440 MB respectively, versus a few megabytes or less for the others) — a genuine practical cost of the extra training data, worth knowing about if these files are ever moved or deployed somewhere with tighter storage limits.</w:t>
      </w:r>
    </w:p>
    <w:p>
      <w:pPr>
        <w:pStyle w:val="Heading1"/>
        <w:spacing w:after="100" w:before="200"/>
      </w:pPr>
      <w:r>
        <w:rPr>
          <w:b/>
          <w:bCs/>
          <w:color w:val="1F3864"/>
        </w:rPr>
        <w:t xml:space="preserve">6. Viewing These Results</w:t>
      </w:r>
    </w:p>
    <w:p>
      <w:pPr>
        <w:spacing w:after="120"/>
      </w:pPr>
      <w:r>
        <w:rPr>
          <w:sz w:val="21"/>
          <w:szCs w:val="21"/>
        </w:rPr>
        <w:t xml:space="preserve">Excel workbook: data/output/turnover_forecast_workbook.xlsx (see Section 3 for what each sheet contains).</w:t>
      </w:r>
    </w:p>
    <w:p>
      <w:pPr>
        <w:spacing w:after="120"/>
      </w:pPr>
      <w:r>
        <w:rPr>
          <w:sz w:val="21"/>
          <w:szCs w:val="21"/>
        </w:rPr>
        <w:t xml:space="preserve">Interactive dashboard — run from the project folder:</w:t>
      </w:r>
    </w:p>
    <w:p>
      <w:pPr>
        <w:shd w:fill="F2F2F2" w:val="clear"/>
        <w:spacing w:after="120"/>
      </w:pPr>
      <w:r>
        <w:rPr>
          <w:rFonts w:ascii="Consolas" w:cs="Consolas" w:eastAsia="Consolas" w:hAnsi="Consolas"/>
          <w:sz w:val="21"/>
          <w:szCs w:val="21"/>
        </w:rPr>
        <w:t xml:space="preserve">streamlit run dashboard.py</w:t>
      </w:r>
    </w:p>
    <w:p>
      <w:pPr>
        <w:spacing w:after="120"/>
      </w:pPr>
      <w:r>
        <w:rPr>
          <w:sz w:val="21"/>
          <w:szCs w:val="21"/>
        </w:rPr>
        <w:t xml:space="preserve">This opens in a web browser and lets you search for any company by name or Companies House number.</w:t>
      </w:r>
    </w:p>
    <w:sectPr>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2026-07-23T19:19:37.722Z</dcterms:created>
  <dcterms:modified xsi:type="dcterms:W3CDTF">2026-07-23T19:19:37.722Z</dcterms:modified>
</cp:coreProperties>
</file>

<file path=docProps/custom.xml><?xml version="1.0" encoding="utf-8"?>
<Properties xmlns="http://schemas.openxmlformats.org/officeDocument/2006/custom-properties" xmlns:vt="http://schemas.openxmlformats.org/officeDocument/2006/docPropsVTypes"/>
</file>