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497D"/>
        </w:rPr>
        <w:t>Thailand Combined Dataset — Column Dictionary</w:t>
      </w:r>
    </w:p>
    <w:p>
      <w:pPr>
        <w:jc w:val="center"/>
      </w:pPr>
      <w:r>
        <w:rPr>
          <w:color w:val="606060"/>
          <w:sz w:val="18"/>
        </w:rPr>
        <w:t>ADB AI for Safer Roads Innovation Challenge 2026  |  script/data preparation/Thailand/v3/thailand_data_prep.py  |  Total columns: 38</w:t>
      </w:r>
    </w:p>
    <w:p/>
    <w:p>
      <w:r>
        <w:rPr>
          <w:b/>
        </w:rPr>
        <w:t xml:space="preserve">Column Source key:  </w:t>
      </w:r>
      <w:r>
        <w:rPr>
          <w:sz w:val="18"/>
        </w:rPr>
        <w:t>Original = from the ADB GeoJSON data file.  Added (SPI join) = joined from the ADB Helmet Wearing Excel by LandUse.  Added (broadcast) = single national value applied to all segments.  Computed = derived by the data preparation script.</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W w:w="453" w:type="dxa"/>
          </w:tcPr>
          <w:p>
            <w:pPr>
              <w:jc w:val="center"/>
            </w:pPr>
            <w:r>
              <w:rPr>
                <w:b/>
                <w:color w:val="FFFFFF"/>
                <w:sz w:val="18"/>
              </w:rPr>
              <w:t>#</w:t>
            </w:r>
          </w:p>
        </w:tc>
        <w:tc>
          <w:tcPr>
            <w:tcW w:type="dxa" w:w="1881"/>
            <w:shd w:val="clear" w:color="auto" w:fill="1F497D"/>
            <w:tcW w:w="2551" w:type="dxa"/>
          </w:tcPr>
          <w:p>
            <w:pPr>
              <w:jc w:val="center"/>
            </w:pPr>
            <w:r>
              <w:rPr>
                <w:b/>
                <w:color w:val="FFFFFF"/>
                <w:sz w:val="18"/>
              </w:rPr>
              <w:t>Column Name</w:t>
            </w:r>
          </w:p>
        </w:tc>
        <w:tc>
          <w:tcPr>
            <w:tcW w:type="dxa" w:w="1881"/>
            <w:shd w:val="clear" w:color="auto" w:fill="1F497D"/>
            <w:tcW w:w="1417" w:type="dxa"/>
          </w:tcPr>
          <w:p>
            <w:pPr>
              <w:jc w:val="center"/>
            </w:pPr>
            <w:r>
              <w:rPr>
                <w:b/>
                <w:color w:val="FFFFFF"/>
                <w:sz w:val="18"/>
              </w:rPr>
              <w:t>Data Type</w:t>
            </w:r>
          </w:p>
        </w:tc>
        <w:tc>
          <w:tcPr>
            <w:tcW w:type="dxa" w:w="1881"/>
            <w:shd w:val="clear" w:color="auto" w:fill="1F497D"/>
            <w:tcW w:w="1984" w:type="dxa"/>
          </w:tcPr>
          <w:p>
            <w:pPr>
              <w:jc w:val="center"/>
            </w:pPr>
            <w:r>
              <w:rPr>
                <w:b/>
                <w:color w:val="FFFFFF"/>
                <w:sz w:val="18"/>
              </w:rPr>
              <w:t>Source</w:t>
            </w:r>
          </w:p>
        </w:tc>
        <w:tc>
          <w:tcPr>
            <w:tcW w:type="dxa" w:w="1881"/>
            <w:shd w:val="clear" w:color="auto" w:fill="1F497D"/>
            <w:tcW w:w="5216" w:type="dxa"/>
          </w:tcPr>
          <w:p>
            <w:pPr>
              <w:jc w:val="center"/>
            </w:pPr>
            <w:r>
              <w:rPr>
                <w:b/>
                <w:color w:val="FFFFFF"/>
                <w:sz w:val="18"/>
              </w:rPr>
              <w:t>Definition</w:t>
            </w:r>
          </w:p>
        </w:tc>
      </w:tr>
      <w:tr>
        <w:tc>
          <w:tcPr>
            <w:tcW w:type="dxa" w:w="1881"/>
            <w:shd w:val="clear" w:color="auto" w:fill="EEF4FB"/>
            <w:tcW w:w="453" w:type="dxa"/>
          </w:tcPr>
          <w:p>
            <w:r>
              <w:rPr>
                <w:sz w:val="17"/>
              </w:rPr>
              <w:t>1</w:t>
            </w:r>
          </w:p>
        </w:tc>
        <w:tc>
          <w:tcPr>
            <w:tcW w:type="dxa" w:w="1881"/>
            <w:shd w:val="clear" w:color="auto" w:fill="EEF4FB"/>
            <w:tcW w:w="2551" w:type="dxa"/>
          </w:tcPr>
          <w:p>
            <w:r>
              <w:rPr>
                <w:sz w:val="17"/>
              </w:rPr>
              <w:t>OBJECTID</w:t>
            </w:r>
          </w:p>
        </w:tc>
        <w:tc>
          <w:tcPr>
            <w:tcW w:type="dxa" w:w="1881"/>
            <w:shd w:val="clear" w:color="auto" w:fill="EEF4FB"/>
            <w:tcW w:w="1417" w:type="dxa"/>
          </w:tcPr>
          <w:p>
            <w:r>
              <w:rPr>
                <w:sz w:val="17"/>
              </w:rPr>
              <w:t>Integer</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Sequential integer identifier assigned by the ADB GIS processing pipeline. Unique within each GeoJSON file.</w:t>
            </w:r>
          </w:p>
        </w:tc>
      </w:tr>
      <w:tr>
        <w:tc>
          <w:tcPr>
            <w:tcW w:type="dxa" w:w="1881"/>
            <w:shd w:val="clear" w:color="auto" w:fill="FFFFFF"/>
            <w:tcW w:w="453" w:type="dxa"/>
          </w:tcPr>
          <w:p>
            <w:r>
              <w:rPr>
                <w:sz w:val="17"/>
              </w:rPr>
              <w:t>2</w:t>
            </w:r>
          </w:p>
        </w:tc>
        <w:tc>
          <w:tcPr>
            <w:tcW w:type="dxa" w:w="1881"/>
            <w:shd w:val="clear" w:color="auto" w:fill="FFFFFF"/>
            <w:tcW w:w="2551" w:type="dxa"/>
          </w:tcPr>
          <w:p>
            <w:r>
              <w:rPr>
                <w:sz w:val="17"/>
              </w:rPr>
              <w:t>english_ro</w:t>
            </w:r>
          </w:p>
        </w:tc>
        <w:tc>
          <w:tcPr>
            <w:tcW w:type="dxa" w:w="1881"/>
            <w:shd w:val="clear" w:color="auto" w:fill="FFFFFF"/>
            <w:tcW w:w="1417" w:type="dxa"/>
          </w:tcPr>
          <w:p>
            <w:r>
              <w:rPr>
                <w:sz w:val="17"/>
              </w:rPr>
              <w:t>String</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English transliteration or translation of the Thai road name from the Overture Maps dataset. Null for minor roads or roads without an official English name.</w:t>
            </w:r>
          </w:p>
        </w:tc>
      </w:tr>
      <w:tr>
        <w:tc>
          <w:tcPr>
            <w:tcW w:type="dxa" w:w="1881"/>
            <w:shd w:val="clear" w:color="auto" w:fill="EEF4FB"/>
            <w:tcW w:w="453" w:type="dxa"/>
          </w:tcPr>
          <w:p>
            <w:r>
              <w:rPr>
                <w:sz w:val="17"/>
              </w:rPr>
              <w:t>3</w:t>
            </w:r>
          </w:p>
        </w:tc>
        <w:tc>
          <w:tcPr>
            <w:tcW w:type="dxa" w:w="1881"/>
            <w:shd w:val="clear" w:color="auto" w:fill="EEF4FB"/>
            <w:tcW w:w="2551" w:type="dxa"/>
          </w:tcPr>
          <w:p>
            <w:r>
              <w:rPr>
                <w:sz w:val="17"/>
              </w:rPr>
              <w:t>OvertureID</w:t>
            </w:r>
          </w:p>
        </w:tc>
        <w:tc>
          <w:tcPr>
            <w:tcW w:type="dxa" w:w="1881"/>
            <w:shd w:val="clear" w:color="auto" w:fill="EEF4FB"/>
            <w:tcW w:w="1417" w:type="dxa"/>
          </w:tcPr>
          <w:p>
            <w:r>
              <w:rPr>
                <w:sz w:val="17"/>
              </w:rPr>
              <w:t>Integer</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Unique road segment identifier from the Overture Maps open dataset. Can be used to cross-reference this record with other Overture-derived spatial products.</w:t>
            </w:r>
          </w:p>
        </w:tc>
      </w:tr>
      <w:tr>
        <w:tc>
          <w:tcPr>
            <w:tcW w:type="dxa" w:w="1881"/>
            <w:shd w:val="clear" w:color="auto" w:fill="FFFFFF"/>
            <w:tcW w:w="453" w:type="dxa"/>
          </w:tcPr>
          <w:p>
            <w:r>
              <w:rPr>
                <w:sz w:val="17"/>
              </w:rPr>
              <w:t>4</w:t>
            </w:r>
          </w:p>
        </w:tc>
        <w:tc>
          <w:tcPr>
            <w:tcW w:type="dxa" w:w="1881"/>
            <w:shd w:val="clear" w:color="auto" w:fill="FFFFFF"/>
            <w:tcW w:w="2551" w:type="dxa"/>
          </w:tcPr>
          <w:p>
            <w:r>
              <w:rPr>
                <w:sz w:val="17"/>
              </w:rPr>
              <w:t>SampleSize_avg</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Average number of GPS probe-vehicle speed observations used to compute the speed metrics for this segment. A value of zero means no probe data was collected and all speed columns will be zero or null.</w:t>
            </w:r>
          </w:p>
        </w:tc>
      </w:tr>
      <w:tr>
        <w:tc>
          <w:tcPr>
            <w:tcW w:type="dxa" w:w="1881"/>
            <w:shd w:val="clear" w:color="auto" w:fill="EEF4FB"/>
            <w:tcW w:w="453" w:type="dxa"/>
          </w:tcPr>
          <w:p>
            <w:r>
              <w:rPr>
                <w:sz w:val="17"/>
              </w:rPr>
              <w:t>5</w:t>
            </w:r>
          </w:p>
        </w:tc>
        <w:tc>
          <w:tcPr>
            <w:tcW w:type="dxa" w:w="1881"/>
            <w:shd w:val="clear" w:color="auto" w:fill="EEF4FB"/>
            <w:tcW w:w="2551" w:type="dxa"/>
          </w:tcPr>
          <w:p>
            <w:r>
              <w:rPr>
                <w:sz w:val="17"/>
              </w:rPr>
              <w:t>RoadLength</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Length of the road segment in metres, derived from the Overture Maps LineString geometry.</w:t>
            </w:r>
          </w:p>
        </w:tc>
      </w:tr>
      <w:tr>
        <w:tc>
          <w:tcPr>
            <w:tcW w:type="dxa" w:w="1881"/>
            <w:shd w:val="clear" w:color="auto" w:fill="FFFFFF"/>
            <w:tcW w:w="453" w:type="dxa"/>
          </w:tcPr>
          <w:p>
            <w:r>
              <w:rPr>
                <w:sz w:val="17"/>
              </w:rPr>
              <w:t>6</w:t>
            </w:r>
          </w:p>
        </w:tc>
        <w:tc>
          <w:tcPr>
            <w:tcW w:type="dxa" w:w="1881"/>
            <w:shd w:val="clear" w:color="auto" w:fill="FFFFFF"/>
            <w:tcW w:w="2551" w:type="dxa"/>
          </w:tcPr>
          <w:p>
            <w:r>
              <w:rPr>
                <w:sz w:val="17"/>
              </w:rPr>
              <w:t>WeightedSample</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Probe sample size weighted by road length, used in the ADB speed SPI aggregation methodology to reduce bias from short segments with high probe density.</w:t>
            </w:r>
          </w:p>
        </w:tc>
      </w:tr>
      <w:tr>
        <w:tc>
          <w:tcPr>
            <w:tcW w:type="dxa" w:w="1881"/>
            <w:shd w:val="clear" w:color="auto" w:fill="EEF4FB"/>
            <w:tcW w:w="453" w:type="dxa"/>
          </w:tcPr>
          <w:p>
            <w:r>
              <w:rPr>
                <w:sz w:val="17"/>
              </w:rPr>
              <w:t>7</w:t>
            </w:r>
          </w:p>
        </w:tc>
        <w:tc>
          <w:tcPr>
            <w:tcW w:type="dxa" w:w="1881"/>
            <w:shd w:val="clear" w:color="auto" w:fill="EEF4FB"/>
            <w:tcW w:w="2551" w:type="dxa"/>
          </w:tcPr>
          <w:p>
            <w:r>
              <w:rPr>
                <w:sz w:val="17"/>
              </w:rPr>
              <w:t>Percent_</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Raw percentile score of this segment within the full regional dataset, based on the speed SPI calculation formula.</w:t>
            </w:r>
          </w:p>
        </w:tc>
      </w:tr>
      <w:tr>
        <w:tc>
          <w:tcPr>
            <w:tcW w:type="dxa" w:w="1881"/>
            <w:shd w:val="clear" w:color="auto" w:fill="FFFFFF"/>
            <w:tcW w:w="453" w:type="dxa"/>
          </w:tcPr>
          <w:p>
            <w:r>
              <w:rPr>
                <w:sz w:val="17"/>
              </w:rPr>
              <w:t>8</w:t>
            </w:r>
          </w:p>
        </w:tc>
        <w:tc>
          <w:tcPr>
            <w:tcW w:type="dxa" w:w="1881"/>
            <w:shd w:val="clear" w:color="auto" w:fill="FFFFFF"/>
            <w:tcW w:w="2551" w:type="dxa"/>
          </w:tcPr>
          <w:p>
            <w:r>
              <w:rPr>
                <w:sz w:val="17"/>
              </w:rPr>
              <w:t>Percentile</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Normalised percentile rank (0 to 100) indicating how this segment performs relative to all other segments in the region. Higher values indicate worse (faster) speed behaviour.</w:t>
            </w:r>
          </w:p>
        </w:tc>
      </w:tr>
      <w:tr>
        <w:tc>
          <w:tcPr>
            <w:tcW w:type="dxa" w:w="1881"/>
            <w:shd w:val="clear" w:color="auto" w:fill="EEF4FB"/>
            <w:tcW w:w="453" w:type="dxa"/>
          </w:tcPr>
          <w:p>
            <w:r>
              <w:rPr>
                <w:sz w:val="17"/>
              </w:rPr>
              <w:t>9</w:t>
            </w:r>
          </w:p>
        </w:tc>
        <w:tc>
          <w:tcPr>
            <w:tcW w:type="dxa" w:w="1881"/>
            <w:shd w:val="clear" w:color="auto" w:fill="EEF4FB"/>
            <w:tcW w:w="2551" w:type="dxa"/>
          </w:tcPr>
          <w:p>
            <w:r>
              <w:rPr>
                <w:sz w:val="17"/>
              </w:rPr>
              <w:t>SpeedLimit</w:t>
            </w:r>
          </w:p>
        </w:tc>
        <w:tc>
          <w:tcPr>
            <w:tcW w:type="dxa" w:w="1881"/>
            <w:shd w:val="clear" w:color="auto" w:fill="EEF4FB"/>
            <w:tcW w:w="1417" w:type="dxa"/>
          </w:tcPr>
          <w:p>
            <w:r>
              <w:rPr>
                <w:sz w:val="17"/>
              </w:rPr>
              <w:t>String or 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Posted speed limit on this road segment in km/h. Stored as a string in Maharashtra and as a float in Thailand. Null when no speed limit data is available from TomTom.</w:t>
            </w:r>
          </w:p>
        </w:tc>
      </w:tr>
      <w:tr>
        <w:tc>
          <w:tcPr>
            <w:tcW w:type="dxa" w:w="1881"/>
            <w:shd w:val="clear" w:color="auto" w:fill="FFFFFF"/>
            <w:tcW w:w="453" w:type="dxa"/>
          </w:tcPr>
          <w:p>
            <w:r>
              <w:rPr>
                <w:sz w:val="17"/>
              </w:rPr>
              <w:t>10</w:t>
            </w:r>
          </w:p>
        </w:tc>
        <w:tc>
          <w:tcPr>
            <w:tcW w:type="dxa" w:w="1881"/>
            <w:shd w:val="clear" w:color="auto" w:fill="FFFFFF"/>
            <w:tcW w:w="2551" w:type="dxa"/>
          </w:tcPr>
          <w:p>
            <w:r>
              <w:rPr>
                <w:sz w:val="17"/>
              </w:rPr>
              <w:t>RoadClass</w:t>
            </w:r>
          </w:p>
        </w:tc>
        <w:tc>
          <w:tcPr>
            <w:tcW w:type="dxa" w:w="1881"/>
            <w:shd w:val="clear" w:color="auto" w:fill="FFFFFF"/>
            <w:tcW w:w="1417" w:type="dxa"/>
          </w:tcPr>
          <w:p>
            <w:r>
              <w:rPr>
                <w:sz w:val="17"/>
              </w:rPr>
              <w:t>String</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Functional road classification from Overture Maps: motorway, trunk, primary, secondary, tertiary, residential, or local. Determines the expected speed environment and is used in the Safe System rule engine.</w:t>
            </w:r>
          </w:p>
        </w:tc>
      </w:tr>
      <w:tr>
        <w:tc>
          <w:tcPr>
            <w:tcW w:type="dxa" w:w="1881"/>
            <w:shd w:val="clear" w:color="auto" w:fill="EEF4FB"/>
            <w:tcW w:w="453" w:type="dxa"/>
          </w:tcPr>
          <w:p>
            <w:r>
              <w:rPr>
                <w:sz w:val="17"/>
              </w:rPr>
              <w:t>11</w:t>
            </w:r>
          </w:p>
        </w:tc>
        <w:tc>
          <w:tcPr>
            <w:tcW w:type="dxa" w:w="1881"/>
            <w:shd w:val="clear" w:color="auto" w:fill="EEF4FB"/>
            <w:tcW w:w="2551" w:type="dxa"/>
          </w:tcPr>
          <w:p>
            <w:r>
              <w:rPr>
                <w:sz w:val="17"/>
              </w:rPr>
              <w:t>NumberOverLimit</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Estimated count of vehicles per observation period exceeding the posted speed limit, derived from probe data and the posted speed limit value.</w:t>
            </w:r>
          </w:p>
        </w:tc>
      </w:tr>
      <w:tr>
        <w:tc>
          <w:tcPr>
            <w:tcW w:type="dxa" w:w="1881"/>
            <w:shd w:val="clear" w:color="auto" w:fill="FFFFFF"/>
            <w:tcW w:w="453" w:type="dxa"/>
          </w:tcPr>
          <w:p>
            <w:r>
              <w:rPr>
                <w:sz w:val="17"/>
              </w:rPr>
              <w:t>12</w:t>
            </w:r>
          </w:p>
        </w:tc>
        <w:tc>
          <w:tcPr>
            <w:tcW w:type="dxa" w:w="1881"/>
            <w:shd w:val="clear" w:color="auto" w:fill="FFFFFF"/>
            <w:tcW w:w="2551" w:type="dxa"/>
          </w:tcPr>
          <w:p>
            <w:r>
              <w:rPr>
                <w:sz w:val="17"/>
              </w:rPr>
              <w:t>MedianSpeed</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50th percentile observed vehicle speed (km/h) from GPS probe data. Represents the typical (middle) operating speed on this segment under free-flow conditions.</w:t>
            </w:r>
          </w:p>
        </w:tc>
      </w:tr>
      <w:tr>
        <w:tc>
          <w:tcPr>
            <w:tcW w:type="dxa" w:w="1881"/>
            <w:shd w:val="clear" w:color="auto" w:fill="EEF4FB"/>
            <w:tcW w:w="453" w:type="dxa"/>
          </w:tcPr>
          <w:p>
            <w:r>
              <w:rPr>
                <w:sz w:val="17"/>
              </w:rPr>
              <w:t>13</w:t>
            </w:r>
          </w:p>
        </w:tc>
        <w:tc>
          <w:tcPr>
            <w:tcW w:type="dxa" w:w="1881"/>
            <w:shd w:val="clear" w:color="auto" w:fill="EEF4FB"/>
            <w:tcW w:w="2551" w:type="dxa"/>
          </w:tcPr>
          <w:p>
            <w:r>
              <w:rPr>
                <w:sz w:val="17"/>
              </w:rPr>
              <w:t>F85thPercentileSpeed</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85th percentile observed vehicle speed, also called V85 (km/h). The internationally accepted engineering benchmark for assessing whether a posted speed limit is appropriate — it is the speed at or below which 85% of free-flowing vehicles travel.</w:t>
            </w:r>
          </w:p>
        </w:tc>
      </w:tr>
      <w:tr>
        <w:tc>
          <w:tcPr>
            <w:tcW w:type="dxa" w:w="1881"/>
            <w:shd w:val="clear" w:color="auto" w:fill="FFFFFF"/>
            <w:tcW w:w="453" w:type="dxa"/>
          </w:tcPr>
          <w:p>
            <w:r>
              <w:rPr>
                <w:sz w:val="17"/>
              </w:rPr>
              <w:t>14</w:t>
            </w:r>
          </w:p>
        </w:tc>
        <w:tc>
          <w:tcPr>
            <w:tcW w:type="dxa" w:w="1881"/>
            <w:shd w:val="clear" w:color="auto" w:fill="FFFFFF"/>
            <w:tcW w:w="2551" w:type="dxa"/>
          </w:tcPr>
          <w:p>
            <w:r>
              <w:rPr>
                <w:sz w:val="17"/>
              </w:rPr>
              <w:t>ForAnalysis</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ADB flag indicating whether this segment should be included in speed SPI ranking. 1 = include in analysis, 0 = exclude.</w:t>
            </w:r>
          </w:p>
        </w:tc>
      </w:tr>
      <w:tr>
        <w:tc>
          <w:tcPr>
            <w:tcW w:type="dxa" w:w="1881"/>
            <w:shd w:val="clear" w:color="auto" w:fill="EEF4FB"/>
            <w:tcW w:w="453" w:type="dxa"/>
          </w:tcPr>
          <w:p>
            <w:r>
              <w:rPr>
                <w:sz w:val="17"/>
              </w:rPr>
              <w:t>15</w:t>
            </w:r>
          </w:p>
        </w:tc>
        <w:tc>
          <w:tcPr>
            <w:tcW w:type="dxa" w:w="1881"/>
            <w:shd w:val="clear" w:color="auto" w:fill="EEF4FB"/>
            <w:tcW w:w="2551" w:type="dxa"/>
          </w:tcPr>
          <w:p>
            <w:r>
              <w:rPr>
                <w:sz w:val="17"/>
              </w:rPr>
              <w:t>ProvinceID</w:t>
            </w:r>
          </w:p>
        </w:tc>
        <w:tc>
          <w:tcPr>
            <w:tcW w:type="dxa" w:w="1881"/>
            <w:shd w:val="clear" w:color="auto" w:fill="EEF4FB"/>
            <w:tcW w:w="1417" w:type="dxa"/>
          </w:tcPr>
          <w:p>
            <w:r>
              <w:rPr>
                <w:sz w:val="17"/>
              </w:rPr>
              <w:t>String</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Thai province code identifying which of Thailand's 77 provinces this segment is located in. Enables province-level risk aggregation and comparison.</w:t>
            </w:r>
          </w:p>
        </w:tc>
      </w:tr>
      <w:tr>
        <w:tc>
          <w:tcPr>
            <w:tcW w:type="dxa" w:w="1881"/>
            <w:shd w:val="clear" w:color="auto" w:fill="FFFFFF"/>
            <w:tcW w:w="453" w:type="dxa"/>
          </w:tcPr>
          <w:p>
            <w:r>
              <w:rPr>
                <w:sz w:val="17"/>
              </w:rPr>
              <w:t>16</w:t>
            </w:r>
          </w:p>
        </w:tc>
        <w:tc>
          <w:tcPr>
            <w:tcW w:type="dxa" w:w="1881"/>
            <w:shd w:val="clear" w:color="auto" w:fill="FFFFFF"/>
            <w:tcW w:w="2551" w:type="dxa"/>
          </w:tcPr>
          <w:p>
            <w:r>
              <w:rPr>
                <w:sz w:val="17"/>
              </w:rPr>
              <w:t>SpeedLimitFloor</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Lower bound of the speed limit band used in the ADB analysis pipeline to handle rounding and uncertainty in posted limit values.</w:t>
            </w:r>
          </w:p>
        </w:tc>
      </w:tr>
      <w:tr>
        <w:tc>
          <w:tcPr>
            <w:tcW w:type="dxa" w:w="1881"/>
            <w:shd w:val="clear" w:color="auto" w:fill="EEF4FB"/>
            <w:tcW w:w="453" w:type="dxa"/>
          </w:tcPr>
          <w:p>
            <w:r>
              <w:rPr>
                <w:sz w:val="17"/>
              </w:rPr>
              <w:t>17</w:t>
            </w:r>
          </w:p>
        </w:tc>
        <w:tc>
          <w:tcPr>
            <w:tcW w:type="dxa" w:w="1881"/>
            <w:shd w:val="clear" w:color="auto" w:fill="EEF4FB"/>
            <w:tcW w:w="2551" w:type="dxa"/>
          </w:tcPr>
          <w:p>
            <w:r>
              <w:rPr>
                <w:sz w:val="17"/>
              </w:rPr>
              <w:t>PercentOverLimit</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Percentage of observed vehicles (0 to 100) exceeding the posted speed limit. Null when SpeedLimit is not available. Used as the speeding dimension of the CompositeRisk score.</w:t>
            </w:r>
          </w:p>
        </w:tc>
      </w:tr>
      <w:tr>
        <w:tc>
          <w:tcPr>
            <w:tcW w:type="dxa" w:w="1881"/>
            <w:shd w:val="clear" w:color="auto" w:fill="FFFFFF"/>
            <w:tcW w:w="453" w:type="dxa"/>
          </w:tcPr>
          <w:p>
            <w:r>
              <w:rPr>
                <w:sz w:val="17"/>
              </w:rPr>
              <w:t>18</w:t>
            </w:r>
          </w:p>
        </w:tc>
        <w:tc>
          <w:tcPr>
            <w:tcW w:type="dxa" w:w="1881"/>
            <w:shd w:val="clear" w:color="auto" w:fill="FFFFFF"/>
            <w:tcW w:w="2551" w:type="dxa"/>
          </w:tcPr>
          <w:p>
            <w:r>
              <w:rPr>
                <w:sz w:val="17"/>
              </w:rPr>
              <w:t>InvPercentile</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Inverted percentile score calculated as 100 minus Percentile. Higher InvPercentile values indicate worse-performing (more dangerous) segments; used for descending risk sorting.</w:t>
            </w:r>
          </w:p>
        </w:tc>
      </w:tr>
      <w:tr>
        <w:tc>
          <w:tcPr>
            <w:tcW w:type="dxa" w:w="1881"/>
            <w:shd w:val="clear" w:color="auto" w:fill="EEF4FB"/>
            <w:tcW w:w="453" w:type="dxa"/>
          </w:tcPr>
          <w:p>
            <w:r>
              <w:rPr>
                <w:sz w:val="17"/>
              </w:rPr>
              <w:t>19</w:t>
            </w:r>
          </w:p>
        </w:tc>
        <w:tc>
          <w:tcPr>
            <w:tcW w:type="dxa" w:w="1881"/>
            <w:shd w:val="clear" w:color="auto" w:fill="EEF4FB"/>
            <w:tcW w:w="2551" w:type="dxa"/>
          </w:tcPr>
          <w:p>
            <w:r>
              <w:rPr>
                <w:sz w:val="17"/>
              </w:rPr>
              <w:t>AnalysisStatus</w:t>
            </w:r>
          </w:p>
        </w:tc>
        <w:tc>
          <w:tcPr>
            <w:tcW w:type="dxa" w:w="1881"/>
            <w:shd w:val="clear" w:color="auto" w:fill="EEF4FB"/>
            <w:tcW w:w="1417" w:type="dxa"/>
          </w:tcPr>
          <w:p>
            <w:r>
              <w:rPr>
                <w:sz w:val="17"/>
              </w:rPr>
              <w:t>String</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ADB data quality flag. 'Valid' means the segment passed all QA checks and can be used in speed SPI analysis. 'Not Included' means the segment is excluded (e.g. insufficient probe data, no speed limit, toll road).</w:t>
            </w:r>
          </w:p>
        </w:tc>
      </w:tr>
      <w:tr>
        <w:tc>
          <w:tcPr>
            <w:tcW w:type="dxa" w:w="1881"/>
            <w:shd w:val="clear" w:color="auto" w:fill="FFFFFF"/>
            <w:tcW w:w="453" w:type="dxa"/>
          </w:tcPr>
          <w:p>
            <w:r>
              <w:rPr>
                <w:sz w:val="17"/>
              </w:rPr>
              <w:t>20</w:t>
            </w:r>
          </w:p>
        </w:tc>
        <w:tc>
          <w:tcPr>
            <w:tcW w:type="dxa" w:w="1881"/>
            <w:shd w:val="clear" w:color="auto" w:fill="FFFFFF"/>
            <w:tcW w:w="2551" w:type="dxa"/>
          </w:tcPr>
          <w:p>
            <w:r>
              <w:rPr>
                <w:sz w:val="17"/>
              </w:rPr>
              <w:t>RankedPercentile</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Rank of the segment by its percentile score within its road class group, enabling within-class comparisons.</w:t>
            </w:r>
          </w:p>
        </w:tc>
      </w:tr>
      <w:tr>
        <w:tc>
          <w:tcPr>
            <w:tcW w:type="dxa" w:w="1881"/>
            <w:shd w:val="clear" w:color="auto" w:fill="EEF4FB"/>
            <w:tcW w:w="453" w:type="dxa"/>
          </w:tcPr>
          <w:p>
            <w:r>
              <w:rPr>
                <w:sz w:val="17"/>
              </w:rPr>
              <w:t>21</w:t>
            </w:r>
          </w:p>
        </w:tc>
        <w:tc>
          <w:tcPr>
            <w:tcW w:type="dxa" w:w="1881"/>
            <w:shd w:val="clear" w:color="auto" w:fill="EEF4FB"/>
            <w:tcW w:w="2551" w:type="dxa"/>
          </w:tcPr>
          <w:p>
            <w:r>
              <w:rPr>
                <w:sz w:val="17"/>
              </w:rPr>
              <w:t>StreetImageLink</w:t>
            </w:r>
          </w:p>
        </w:tc>
        <w:tc>
          <w:tcPr>
            <w:tcW w:type="dxa" w:w="1881"/>
            <w:shd w:val="clear" w:color="auto" w:fill="EEF4FB"/>
            <w:tcW w:w="1417" w:type="dxa"/>
          </w:tcPr>
          <w:p>
            <w:r>
              <w:rPr>
                <w:sz w:val="17"/>
              </w:rPr>
              <w:t>String</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URL linking to a street-level photograph of this road segment. Useful for visual verification of road conditions and environment.</w:t>
            </w:r>
          </w:p>
        </w:tc>
      </w:tr>
      <w:tr>
        <w:tc>
          <w:tcPr>
            <w:tcW w:type="dxa" w:w="1881"/>
            <w:shd w:val="clear" w:color="auto" w:fill="FFFFFF"/>
            <w:tcW w:w="453" w:type="dxa"/>
          </w:tcPr>
          <w:p>
            <w:r>
              <w:rPr>
                <w:sz w:val="17"/>
              </w:rPr>
              <w:t>22</w:t>
            </w:r>
          </w:p>
        </w:tc>
        <w:tc>
          <w:tcPr>
            <w:tcW w:type="dxa" w:w="1881"/>
            <w:shd w:val="clear" w:color="auto" w:fill="FFFFFF"/>
            <w:tcW w:w="2551" w:type="dxa"/>
          </w:tcPr>
          <w:p>
            <w:r>
              <w:rPr>
                <w:sz w:val="17"/>
              </w:rPr>
              <w:t>LandUse</w:t>
            </w:r>
          </w:p>
        </w:tc>
        <w:tc>
          <w:tcPr>
            <w:tcW w:type="dxa" w:w="1881"/>
            <w:shd w:val="clear" w:color="auto" w:fill="FFFFFF"/>
            <w:tcW w:w="1417" w:type="dxa"/>
          </w:tcPr>
          <w:p>
            <w:r>
              <w:rPr>
                <w:sz w:val="17"/>
              </w:rPr>
              <w:t>String</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Land use classification of the area surrounding this segment: URBAN or RURAL. Derived from the NASA GRUMP (Global Rural Urban Mapping Project) dataset. Null for segments where classification could not be determined. This is the primary key used to join Helmet SPI data onto segments.</w:t>
            </w:r>
          </w:p>
        </w:tc>
      </w:tr>
      <w:tr>
        <w:tc>
          <w:tcPr>
            <w:tcW w:type="dxa" w:w="1881"/>
            <w:shd w:val="clear" w:color="auto" w:fill="EEF4FB"/>
            <w:tcW w:w="453" w:type="dxa"/>
          </w:tcPr>
          <w:p>
            <w:r>
              <w:rPr>
                <w:sz w:val="17"/>
              </w:rPr>
              <w:t>23</w:t>
            </w:r>
          </w:p>
        </w:tc>
        <w:tc>
          <w:tcPr>
            <w:tcW w:type="dxa" w:w="1881"/>
            <w:shd w:val="clear" w:color="auto" w:fill="EEF4FB"/>
            <w:tcW w:w="2551" w:type="dxa"/>
          </w:tcPr>
          <w:p>
            <w:r>
              <w:rPr>
                <w:sz w:val="17"/>
              </w:rPr>
              <w:t>NO_OF_Result_Segments</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Number of underlying sub-segments that were spatially aggregated to produce this result row. Relevant for interpreting SampleSize_avg.</w:t>
            </w:r>
          </w:p>
        </w:tc>
      </w:tr>
      <w:tr>
        <w:tc>
          <w:tcPr>
            <w:tcW w:type="dxa" w:w="1881"/>
            <w:shd w:val="clear" w:color="auto" w:fill="FFFFFF"/>
            <w:tcW w:w="453" w:type="dxa"/>
          </w:tcPr>
          <w:p>
            <w:r>
              <w:rPr>
                <w:sz w:val="17"/>
              </w:rPr>
              <w:t>24</w:t>
            </w:r>
          </w:p>
        </w:tc>
        <w:tc>
          <w:tcPr>
            <w:tcW w:type="dxa" w:w="1881"/>
            <w:shd w:val="clear" w:color="auto" w:fill="FFFFFF"/>
            <w:tcW w:w="2551" w:type="dxa"/>
          </w:tcPr>
          <w:p>
            <w:r>
              <w:rPr>
                <w:sz w:val="17"/>
              </w:rPr>
              <w:t>PercentileBand</w:t>
            </w:r>
          </w:p>
        </w:tc>
        <w:tc>
          <w:tcPr>
            <w:tcW w:type="dxa" w:w="1881"/>
            <w:shd w:val="clear" w:color="auto" w:fill="FFFFFF"/>
            <w:tcW w:w="1417" w:type="dxa"/>
          </w:tcPr>
          <w:p>
            <w:r>
              <w:rPr>
                <w:sz w:val="17"/>
              </w:rPr>
              <w:t>String</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Categorical label grouping the percentile score into bands, for example Top 10%, 10-25%, 25-50%, 50-75%, or Bottom 25%.</w:t>
            </w:r>
          </w:p>
        </w:tc>
      </w:tr>
      <w:tr>
        <w:tc>
          <w:tcPr>
            <w:tcW w:type="dxa" w:w="1881"/>
            <w:shd w:val="clear" w:color="auto" w:fill="EEF4FB"/>
            <w:tcW w:w="453" w:type="dxa"/>
          </w:tcPr>
          <w:p>
            <w:r>
              <w:rPr>
                <w:sz w:val="17"/>
              </w:rPr>
              <w:t>25</w:t>
            </w:r>
          </w:p>
        </w:tc>
        <w:tc>
          <w:tcPr>
            <w:tcW w:type="dxa" w:w="1881"/>
            <w:shd w:val="clear" w:color="auto" w:fill="EEF4FB"/>
            <w:tcW w:w="2551" w:type="dxa"/>
          </w:tcPr>
          <w:p>
            <w:r>
              <w:rPr>
                <w:sz w:val="17"/>
              </w:rPr>
              <w:t>SampleSizeTotal</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Total (non-weighted) count of GPS probe vehicle speed observations contributing to this segment's speed metrics.</w:t>
            </w:r>
          </w:p>
        </w:tc>
      </w:tr>
      <w:tr>
        <w:tc>
          <w:tcPr>
            <w:tcW w:type="dxa" w:w="1881"/>
            <w:shd w:val="clear" w:color="auto" w:fill="FFFFFF"/>
            <w:tcW w:w="453" w:type="dxa"/>
          </w:tcPr>
          <w:p>
            <w:r>
              <w:rPr>
                <w:sz w:val="17"/>
              </w:rPr>
              <w:t>26</w:t>
            </w:r>
          </w:p>
        </w:tc>
        <w:tc>
          <w:tcPr>
            <w:tcW w:type="dxa" w:w="1881"/>
            <w:shd w:val="clear" w:color="auto" w:fill="FFFFFF"/>
            <w:tcW w:w="2551" w:type="dxa"/>
          </w:tcPr>
          <w:p>
            <w:r>
              <w:rPr>
                <w:sz w:val="17"/>
              </w:rPr>
              <w:t>Shape_Length</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Original</w:t>
            </w:r>
          </w:p>
        </w:tc>
        <w:tc>
          <w:tcPr>
            <w:tcW w:type="dxa" w:w="1881"/>
            <w:shd w:val="clear" w:color="auto" w:fill="FFFFFF"/>
            <w:tcW w:w="5216" w:type="dxa"/>
          </w:tcPr>
          <w:p>
            <w:r>
              <w:rPr>
                <w:sz w:val="17"/>
              </w:rPr>
              <w:t>Length of the road segment in decimal degrees as stored in the source GeoJSON attribute table. For distance calculations in metres, use the RoadLength column instead.</w:t>
            </w:r>
          </w:p>
        </w:tc>
      </w:tr>
      <w:tr>
        <w:tc>
          <w:tcPr>
            <w:tcW w:type="dxa" w:w="1881"/>
            <w:shd w:val="clear" w:color="auto" w:fill="EEF4FB"/>
            <w:tcW w:w="453" w:type="dxa"/>
          </w:tcPr>
          <w:p>
            <w:r>
              <w:rPr>
                <w:sz w:val="17"/>
              </w:rPr>
              <w:t>27</w:t>
            </w:r>
          </w:p>
        </w:tc>
        <w:tc>
          <w:tcPr>
            <w:tcW w:type="dxa" w:w="1881"/>
            <w:shd w:val="clear" w:color="auto" w:fill="EEF4FB"/>
            <w:tcW w:w="2551" w:type="dxa"/>
          </w:tcPr>
          <w:p>
            <w:r>
              <w:rPr>
                <w:sz w:val="17"/>
              </w:rPr>
              <w:t>geometry</w:t>
            </w:r>
          </w:p>
        </w:tc>
        <w:tc>
          <w:tcPr>
            <w:tcW w:type="dxa" w:w="1881"/>
            <w:shd w:val="clear" w:color="auto" w:fill="EEF4FB"/>
            <w:tcW w:w="1417" w:type="dxa"/>
          </w:tcPr>
          <w:p>
            <w:r>
              <w:rPr>
                <w:sz w:val="17"/>
              </w:rPr>
              <w:t>Geometry (LineString)</w:t>
            </w:r>
          </w:p>
        </w:tc>
        <w:tc>
          <w:tcPr>
            <w:tcW w:type="dxa" w:w="1881"/>
            <w:shd w:val="clear" w:color="auto" w:fill="EEF4FB"/>
            <w:tcW w:w="1984" w:type="dxa"/>
          </w:tcPr>
          <w:p>
            <w:r>
              <w:rPr>
                <w:sz w:val="17"/>
              </w:rPr>
              <w:t>Original</w:t>
            </w:r>
          </w:p>
        </w:tc>
        <w:tc>
          <w:tcPr>
            <w:tcW w:type="dxa" w:w="1881"/>
            <w:shd w:val="clear" w:color="auto" w:fill="EEF4FB"/>
            <w:tcW w:w="5216" w:type="dxa"/>
          </w:tcPr>
          <w:p>
            <w:r>
              <w:rPr>
                <w:sz w:val="17"/>
              </w:rPr>
              <w:t>LineString spatial geometry of the road segment in WGS84 geographic coordinates (EPSG:4326). Present in the .parquet file so spatial operations and QGIS styling work natively. Dropped in the .csv file since CSV cannot store geometry.</w:t>
            </w:r>
          </w:p>
        </w:tc>
      </w:tr>
      <w:tr>
        <w:tc>
          <w:tcPr>
            <w:tcW w:type="dxa" w:w="1881"/>
            <w:shd w:val="clear" w:color="auto" w:fill="FFFFFF"/>
            <w:tcW w:w="453" w:type="dxa"/>
          </w:tcPr>
          <w:p>
            <w:r>
              <w:rPr>
                <w:sz w:val="17"/>
              </w:rPr>
              <w:t>28</w:t>
            </w:r>
          </w:p>
        </w:tc>
        <w:tc>
          <w:tcPr>
            <w:tcW w:type="dxa" w:w="1881"/>
            <w:shd w:val="clear" w:color="auto" w:fill="FFFFFF"/>
            <w:tcW w:w="2551" w:type="dxa"/>
          </w:tcPr>
          <w:p>
            <w:r>
              <w:rPr>
                <w:sz w:val="17"/>
              </w:rPr>
              <w:t>Location</w:t>
            </w:r>
          </w:p>
        </w:tc>
        <w:tc>
          <w:tcPr>
            <w:tcW w:type="dxa" w:w="1881"/>
            <w:shd w:val="clear" w:color="auto" w:fill="FFFFFF"/>
            <w:tcW w:w="1417" w:type="dxa"/>
          </w:tcPr>
          <w:p>
            <w:r>
              <w:rPr>
                <w:sz w:val="17"/>
              </w:rPr>
              <w:t>String</w:t>
            </w:r>
          </w:p>
        </w:tc>
        <w:tc>
          <w:tcPr>
            <w:tcW w:type="dxa" w:w="1881"/>
            <w:shd w:val="clear" w:color="auto" w:fill="FFFFFF"/>
            <w:tcW w:w="1984" w:type="dxa"/>
          </w:tcPr>
          <w:p>
            <w:r>
              <w:rPr>
                <w:sz w:val="17"/>
              </w:rPr>
              <w:t>Added (SPI join)</w:t>
            </w:r>
          </w:p>
        </w:tc>
        <w:tc>
          <w:tcPr>
            <w:tcW w:type="dxa" w:w="1881"/>
            <w:shd w:val="clear" w:color="auto" w:fill="FFFFFF"/>
            <w:tcW w:w="5216" w:type="dxa"/>
          </w:tcPr>
          <w:p>
            <w:r>
              <w:rPr>
                <w:sz w:val="17"/>
              </w:rPr>
              <w:t>Region name added by the data preparation script to unambiguously anchor the SPI lookup join. Matches the Location column in the ADB Helmet Wearing Excel file (e.g. 'Thailand', 'Maharashtra').</w:t>
            </w:r>
          </w:p>
        </w:tc>
      </w:tr>
      <w:tr>
        <w:tc>
          <w:tcPr>
            <w:tcW w:type="dxa" w:w="1881"/>
            <w:shd w:val="clear" w:color="auto" w:fill="EEF4FB"/>
            <w:tcW w:w="453" w:type="dxa"/>
          </w:tcPr>
          <w:p>
            <w:r>
              <w:rPr>
                <w:sz w:val="17"/>
              </w:rPr>
              <w:t>29</w:t>
            </w:r>
          </w:p>
        </w:tc>
        <w:tc>
          <w:tcPr>
            <w:tcW w:type="dxa" w:w="1881"/>
            <w:shd w:val="clear" w:color="auto" w:fill="EEF4FB"/>
            <w:tcW w:w="2551" w:type="dxa"/>
          </w:tcPr>
          <w:p>
            <w:r>
              <w:rPr>
                <w:sz w:val="17"/>
              </w:rPr>
              <w:t>HelmetSPI</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Added (SPI join)</w:t>
            </w:r>
          </w:p>
        </w:tc>
        <w:tc>
          <w:tcPr>
            <w:tcW w:type="dxa" w:w="1881"/>
            <w:shd w:val="clear" w:color="auto" w:fill="EEF4FB"/>
            <w:tcW w:w="5216" w:type="dxa"/>
          </w:tcPr>
          <w:p>
            <w:r>
              <w:rPr>
                <w:sz w:val="17"/>
              </w:rPr>
              <w:t>Helmet Safety Performance Indicator for ALL riders combined (multi-year aggregate). Represents the proportion of motorcycle riders observed wearing a helmet at the time of the ADB roadside survey (0.0 = nobody wearing, 1.0 = everybody wearing). Joined to each segment by its LandUse: Urban segments receive the Urban SPI, Rural segments the Rural SPI. Null where LandUse is not available.</w:t>
            </w:r>
          </w:p>
        </w:tc>
      </w:tr>
      <w:tr>
        <w:tc>
          <w:tcPr>
            <w:tcW w:type="dxa" w:w="1881"/>
            <w:shd w:val="clear" w:color="auto" w:fill="FFFFFF"/>
            <w:tcW w:w="453" w:type="dxa"/>
          </w:tcPr>
          <w:p>
            <w:r>
              <w:rPr>
                <w:sz w:val="17"/>
              </w:rPr>
              <w:t>30</w:t>
            </w:r>
          </w:p>
        </w:tc>
        <w:tc>
          <w:tcPr>
            <w:tcW w:type="dxa" w:w="1881"/>
            <w:shd w:val="clear" w:color="auto" w:fill="FFFFFF"/>
            <w:tcW w:w="2551" w:type="dxa"/>
          </w:tcPr>
          <w:p>
            <w:r>
              <w:rPr>
                <w:sz w:val="17"/>
              </w:rPr>
              <w:t>HelmetSPI_Driver</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Added (SPI join)</w:t>
            </w:r>
          </w:p>
        </w:tc>
        <w:tc>
          <w:tcPr>
            <w:tcW w:type="dxa" w:w="1881"/>
            <w:shd w:val="clear" w:color="auto" w:fill="FFFFFF"/>
            <w:tcW w:w="5216" w:type="dxa"/>
          </w:tcPr>
          <w:p>
            <w:r>
              <w:rPr>
                <w:sz w:val="17"/>
              </w:rPr>
              <w:t>Helmet SPI for motorcycle DRIVERS only (multi-year aggregate, joined by LandUse). Drivers typically show higher helmet compliance than passengers. Same join logic as HelmetSPI.</w:t>
            </w:r>
          </w:p>
        </w:tc>
      </w:tr>
      <w:tr>
        <w:tc>
          <w:tcPr>
            <w:tcW w:type="dxa" w:w="1881"/>
            <w:shd w:val="clear" w:color="auto" w:fill="EEF4FB"/>
            <w:tcW w:w="453" w:type="dxa"/>
          </w:tcPr>
          <w:p>
            <w:r>
              <w:rPr>
                <w:sz w:val="17"/>
              </w:rPr>
              <w:t>31</w:t>
            </w:r>
          </w:p>
        </w:tc>
        <w:tc>
          <w:tcPr>
            <w:tcW w:type="dxa" w:w="1881"/>
            <w:shd w:val="clear" w:color="auto" w:fill="EEF4FB"/>
            <w:tcW w:w="2551" w:type="dxa"/>
          </w:tcPr>
          <w:p>
            <w:r>
              <w:rPr>
                <w:sz w:val="17"/>
              </w:rPr>
              <w:t>HelmetSPI_Passenger</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Added (SPI join)</w:t>
            </w:r>
          </w:p>
        </w:tc>
        <w:tc>
          <w:tcPr>
            <w:tcW w:type="dxa" w:w="1881"/>
            <w:shd w:val="clear" w:color="auto" w:fill="EEF4FB"/>
            <w:tcW w:w="5216" w:type="dxa"/>
          </w:tcPr>
          <w:p>
            <w:r>
              <w:rPr>
                <w:sz w:val="17"/>
              </w:rPr>
              <w:t>Helmet SPI for motorcycle PASSENGERS only (multi-year aggregate, joined by LandUse). Passengers consistently show lower helmet compliance than drivers, making this the highest-risk variant for head injury analysis.</w:t>
            </w:r>
          </w:p>
        </w:tc>
      </w:tr>
      <w:tr>
        <w:tc>
          <w:tcPr>
            <w:tcW w:type="dxa" w:w="1881"/>
            <w:shd w:val="clear" w:color="auto" w:fill="FFFFFF"/>
            <w:tcW w:w="453" w:type="dxa"/>
          </w:tcPr>
          <w:p>
            <w:r>
              <w:rPr>
                <w:sz w:val="17"/>
              </w:rPr>
              <w:t>32</w:t>
            </w:r>
          </w:p>
        </w:tc>
        <w:tc>
          <w:tcPr>
            <w:tcW w:type="dxa" w:w="1881"/>
            <w:shd w:val="clear" w:color="auto" w:fill="FFFFFF"/>
            <w:tcW w:w="2551" w:type="dxa"/>
          </w:tcPr>
          <w:p>
            <w:r>
              <w:rPr>
                <w:sz w:val="17"/>
              </w:rPr>
              <w:t>HelmetSPI_2021</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Added (broadcast)</w:t>
            </w:r>
          </w:p>
        </w:tc>
        <w:tc>
          <w:tcPr>
            <w:tcW w:type="dxa" w:w="1881"/>
            <w:shd w:val="clear" w:color="auto" w:fill="FFFFFF"/>
            <w:tcW w:w="5216" w:type="dxa"/>
          </w:tcPr>
          <w:p>
            <w:r>
              <w:rPr>
                <w:sz w:val="17"/>
              </w:rPr>
              <w:t>National helmet wearing rate for ALL riders for survey year 2021. This is a single national 'Combined' value broadcast to every segment regardless of LandUse, because the year-specific survey data is only available at the national aggregate level, not broken down by Rural/Urban.</w:t>
            </w:r>
          </w:p>
        </w:tc>
      </w:tr>
      <w:tr>
        <w:tc>
          <w:tcPr>
            <w:tcW w:type="dxa" w:w="1881"/>
            <w:shd w:val="clear" w:color="auto" w:fill="EEF4FB"/>
            <w:tcW w:w="453" w:type="dxa"/>
          </w:tcPr>
          <w:p>
            <w:r>
              <w:rPr>
                <w:sz w:val="17"/>
              </w:rPr>
              <w:t>33</w:t>
            </w:r>
          </w:p>
        </w:tc>
        <w:tc>
          <w:tcPr>
            <w:tcW w:type="dxa" w:w="1881"/>
            <w:shd w:val="clear" w:color="auto" w:fill="EEF4FB"/>
            <w:tcW w:w="2551" w:type="dxa"/>
          </w:tcPr>
          <w:p>
            <w:r>
              <w:rPr>
                <w:sz w:val="17"/>
              </w:rPr>
              <w:t>HelmetSPI_2022</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Added (broadcast)</w:t>
            </w:r>
          </w:p>
        </w:tc>
        <w:tc>
          <w:tcPr>
            <w:tcW w:type="dxa" w:w="1881"/>
            <w:shd w:val="clear" w:color="auto" w:fill="EEF4FB"/>
            <w:tcW w:w="5216" w:type="dxa"/>
          </w:tcPr>
          <w:p>
            <w:r>
              <w:rPr>
                <w:sz w:val="17"/>
              </w:rPr>
              <w:t>National helmet wearing rate for ALL riders for survey year 2022. Single national 'Combined' value broadcast to every segment regardless of LandUse, because the year-specific survey data is only available at the national aggregate level, not broken down by Rural/Urban.</w:t>
            </w:r>
          </w:p>
        </w:tc>
      </w:tr>
      <w:tr>
        <w:tc>
          <w:tcPr>
            <w:tcW w:type="dxa" w:w="1881"/>
            <w:shd w:val="clear" w:color="auto" w:fill="FFFFFF"/>
            <w:tcW w:w="453" w:type="dxa"/>
          </w:tcPr>
          <w:p>
            <w:r>
              <w:rPr>
                <w:sz w:val="17"/>
              </w:rPr>
              <w:t>34</w:t>
            </w:r>
          </w:p>
        </w:tc>
        <w:tc>
          <w:tcPr>
            <w:tcW w:type="dxa" w:w="1881"/>
            <w:shd w:val="clear" w:color="auto" w:fill="FFFFFF"/>
            <w:tcW w:w="2551" w:type="dxa"/>
          </w:tcPr>
          <w:p>
            <w:r>
              <w:rPr>
                <w:sz w:val="17"/>
              </w:rPr>
              <w:t>HelmetSPI_2023</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Added (broadcast)</w:t>
            </w:r>
          </w:p>
        </w:tc>
        <w:tc>
          <w:tcPr>
            <w:tcW w:type="dxa" w:w="1881"/>
            <w:shd w:val="clear" w:color="auto" w:fill="FFFFFF"/>
            <w:tcW w:w="5216" w:type="dxa"/>
          </w:tcPr>
          <w:p>
            <w:r>
              <w:rPr>
                <w:sz w:val="17"/>
              </w:rPr>
              <w:t>National helmet wearing rate for ALL riders for survey year 2023. Single national value broadcast to all segments. See HelmetSPI_2022 for full explanation.</w:t>
            </w:r>
          </w:p>
        </w:tc>
      </w:tr>
      <w:tr>
        <w:tc>
          <w:tcPr>
            <w:tcW w:type="dxa" w:w="1881"/>
            <w:shd w:val="clear" w:color="auto" w:fill="EEF4FB"/>
            <w:tcW w:w="453" w:type="dxa"/>
          </w:tcPr>
          <w:p>
            <w:r>
              <w:rPr>
                <w:sz w:val="17"/>
              </w:rPr>
              <w:t>35</w:t>
            </w:r>
          </w:p>
        </w:tc>
        <w:tc>
          <w:tcPr>
            <w:tcW w:type="dxa" w:w="1881"/>
            <w:shd w:val="clear" w:color="auto" w:fill="EEF4FB"/>
            <w:tcW w:w="2551" w:type="dxa"/>
          </w:tcPr>
          <w:p>
            <w:r>
              <w:rPr>
                <w:sz w:val="17"/>
              </w:rPr>
              <w:t>HelmetSPI_2024</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Added (broadcast)</w:t>
            </w:r>
          </w:p>
        </w:tc>
        <w:tc>
          <w:tcPr>
            <w:tcW w:type="dxa" w:w="1881"/>
            <w:shd w:val="clear" w:color="auto" w:fill="EEF4FB"/>
            <w:tcW w:w="5216" w:type="dxa"/>
          </w:tcPr>
          <w:p>
            <w:r>
              <w:rPr>
                <w:sz w:val="17"/>
              </w:rPr>
              <w:t>National helmet wearing rate for ALL riders for survey year 2024. Single national value broadcast to all segments. See HelmetSPI_2022 for full explanation.</w:t>
            </w:r>
          </w:p>
        </w:tc>
      </w:tr>
      <w:tr>
        <w:tc>
          <w:tcPr>
            <w:tcW w:type="dxa" w:w="1881"/>
            <w:shd w:val="clear" w:color="auto" w:fill="FFFFFF"/>
            <w:tcW w:w="453" w:type="dxa"/>
          </w:tcPr>
          <w:p>
            <w:r>
              <w:rPr>
                <w:sz w:val="17"/>
              </w:rPr>
              <w:t>36</w:t>
            </w:r>
          </w:p>
        </w:tc>
        <w:tc>
          <w:tcPr>
            <w:tcW w:type="dxa" w:w="1881"/>
            <w:shd w:val="clear" w:color="auto" w:fill="FFFFFF"/>
            <w:tcW w:w="2551" w:type="dxa"/>
          </w:tcPr>
          <w:p>
            <w:r>
              <w:rPr>
                <w:sz w:val="17"/>
              </w:rPr>
              <w:t>CompositeRisk</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Computed</w:t>
            </w:r>
          </w:p>
        </w:tc>
        <w:tc>
          <w:tcPr>
            <w:tcW w:type="dxa" w:w="1881"/>
            <w:shd w:val="clear" w:color="auto" w:fill="FFFFFF"/>
            <w:tcW w:w="5216" w:type="dxa"/>
          </w:tcPr>
          <w:p>
            <w:r>
              <w:rPr>
                <w:sz w:val="17"/>
              </w:rPr>
              <w:t>Combined speed and helmet non-compliance risk score using the All Riders SPI. Formula: (PercentOverLimit / 100) x (1 - HelmetSPI). Dimension 1: share of vehicles speeding (0-1). Dimension 2: share of riders without a helmet (0-1). Range: 0.0 (no risk) to 1.0 (maximum risk). Null where either input is null.</w:t>
            </w:r>
          </w:p>
        </w:tc>
      </w:tr>
      <w:tr>
        <w:tc>
          <w:tcPr>
            <w:tcW w:type="dxa" w:w="1881"/>
            <w:shd w:val="clear" w:color="auto" w:fill="EEF4FB"/>
            <w:tcW w:w="453" w:type="dxa"/>
          </w:tcPr>
          <w:p>
            <w:r>
              <w:rPr>
                <w:sz w:val="17"/>
              </w:rPr>
              <w:t>37</w:t>
            </w:r>
          </w:p>
        </w:tc>
        <w:tc>
          <w:tcPr>
            <w:tcW w:type="dxa" w:w="1881"/>
            <w:shd w:val="clear" w:color="auto" w:fill="EEF4FB"/>
            <w:tcW w:w="2551" w:type="dxa"/>
          </w:tcPr>
          <w:p>
            <w:r>
              <w:rPr>
                <w:sz w:val="17"/>
              </w:rPr>
              <w:t>CompositeRisk_Driver</w:t>
            </w:r>
          </w:p>
        </w:tc>
        <w:tc>
          <w:tcPr>
            <w:tcW w:type="dxa" w:w="1881"/>
            <w:shd w:val="clear" w:color="auto" w:fill="EEF4FB"/>
            <w:tcW w:w="1417" w:type="dxa"/>
          </w:tcPr>
          <w:p>
            <w:r>
              <w:rPr>
                <w:sz w:val="17"/>
              </w:rPr>
              <w:t>Float</w:t>
            </w:r>
          </w:p>
        </w:tc>
        <w:tc>
          <w:tcPr>
            <w:tcW w:type="dxa" w:w="1881"/>
            <w:shd w:val="clear" w:color="auto" w:fill="EEF4FB"/>
            <w:tcW w:w="1984" w:type="dxa"/>
          </w:tcPr>
          <w:p>
            <w:r>
              <w:rPr>
                <w:sz w:val="17"/>
              </w:rPr>
              <w:t>Computed</w:t>
            </w:r>
          </w:p>
        </w:tc>
        <w:tc>
          <w:tcPr>
            <w:tcW w:type="dxa" w:w="1881"/>
            <w:shd w:val="clear" w:color="auto" w:fill="EEF4FB"/>
            <w:tcW w:w="5216" w:type="dxa"/>
          </w:tcPr>
          <w:p>
            <w:r>
              <w:rPr>
                <w:sz w:val="17"/>
              </w:rPr>
              <w:t>CompositeRisk computed using HelmetSPI_Driver instead of the All Riders SPI. Represents the combined risk specific to motorcycle drivers on this segment.</w:t>
            </w:r>
          </w:p>
        </w:tc>
      </w:tr>
      <w:tr>
        <w:tc>
          <w:tcPr>
            <w:tcW w:type="dxa" w:w="1881"/>
            <w:shd w:val="clear" w:color="auto" w:fill="FFFFFF"/>
            <w:tcW w:w="453" w:type="dxa"/>
          </w:tcPr>
          <w:p>
            <w:r>
              <w:rPr>
                <w:sz w:val="17"/>
              </w:rPr>
              <w:t>38</w:t>
            </w:r>
          </w:p>
        </w:tc>
        <w:tc>
          <w:tcPr>
            <w:tcW w:type="dxa" w:w="1881"/>
            <w:shd w:val="clear" w:color="auto" w:fill="FFFFFF"/>
            <w:tcW w:w="2551" w:type="dxa"/>
          </w:tcPr>
          <w:p>
            <w:r>
              <w:rPr>
                <w:sz w:val="17"/>
              </w:rPr>
              <w:t>CompositeRisk_Passenger</w:t>
            </w:r>
          </w:p>
        </w:tc>
        <w:tc>
          <w:tcPr>
            <w:tcW w:type="dxa" w:w="1881"/>
            <w:shd w:val="clear" w:color="auto" w:fill="FFFFFF"/>
            <w:tcW w:w="1417" w:type="dxa"/>
          </w:tcPr>
          <w:p>
            <w:r>
              <w:rPr>
                <w:sz w:val="17"/>
              </w:rPr>
              <w:t>Float</w:t>
            </w:r>
          </w:p>
        </w:tc>
        <w:tc>
          <w:tcPr>
            <w:tcW w:type="dxa" w:w="1881"/>
            <w:shd w:val="clear" w:color="auto" w:fill="FFFFFF"/>
            <w:tcW w:w="1984" w:type="dxa"/>
          </w:tcPr>
          <w:p>
            <w:r>
              <w:rPr>
                <w:sz w:val="17"/>
              </w:rPr>
              <w:t>Computed</w:t>
            </w:r>
          </w:p>
        </w:tc>
        <w:tc>
          <w:tcPr>
            <w:tcW w:type="dxa" w:w="1881"/>
            <w:shd w:val="clear" w:color="auto" w:fill="FFFFFF"/>
            <w:tcW w:w="5216" w:type="dxa"/>
          </w:tcPr>
          <w:p>
            <w:r>
              <w:rPr>
                <w:sz w:val="17"/>
              </w:rPr>
              <w:t>CompositeRisk computed using HelmetSPI_Passenger. Typically the highest CompositeRisk variant because passenger helmet compliance is lowest. Recommended as the primary risk metric for prioritisation.</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