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1A43D" w14:textId="47CA3EBF" w:rsidR="00B64D32" w:rsidRDefault="00482120" w:rsidP="00B64D32">
      <w:hyperlink r:id="rId4" w:history="1">
        <w:r w:rsidR="00B64D32" w:rsidRPr="00C96D6A">
          <w:rPr>
            <w:rStyle w:val="Hyperlink"/>
          </w:rPr>
          <w:t>https://dustinstansbury.github.io/theclevermachine/derivation-common-neural-network-activation-functions</w:t>
        </w:r>
      </w:hyperlink>
    </w:p>
    <w:p w14:paraId="7FB26D75" w14:textId="569058A1" w:rsidR="00B64D32" w:rsidRDefault="00B64D32" w:rsidP="00B64D32"/>
    <w:p w14:paraId="7AA50428" w14:textId="4DCFAF49" w:rsidR="00AE56A8" w:rsidRPr="00AE56A8" w:rsidRDefault="00AE56A8" w:rsidP="00AE56A8">
      <w:pPr>
        <w:pStyle w:val="Heading1"/>
        <w:shd w:val="clear" w:color="auto" w:fill="FDFDFD"/>
        <w:spacing w:before="0" w:beforeAutospacing="0" w:after="225" w:afterAutospacing="0"/>
        <w:rPr>
          <w:rFonts w:ascii="Segoe UI" w:hAnsi="Segoe UI" w:cs="Segoe UI"/>
          <w:b w:val="0"/>
          <w:bCs w:val="0"/>
          <w:color w:val="2F2424"/>
        </w:rPr>
      </w:pPr>
      <w:r>
        <w:rPr>
          <w:rFonts w:ascii="Segoe UI" w:hAnsi="Segoe UI" w:cs="Segoe UI"/>
          <w:b w:val="0"/>
          <w:bCs w:val="0"/>
          <w:color w:val="2F2424"/>
        </w:rPr>
        <w:t>The Identity Activation Function</w:t>
      </w:r>
    </w:p>
    <w:p w14:paraId="7879FE88" w14:textId="265DF222" w:rsidR="00AE56A8" w:rsidRDefault="00AE56A8" w:rsidP="00B64D32">
      <w:pPr>
        <w:rPr>
          <w:rStyle w:val="mjx-char"/>
          <w:rFonts w:ascii="MJXc-TeX-math-Iw" w:hAnsi="MJXc-TeX-math-Iw" w:cs="Segoe UI"/>
          <w:color w:val="2F2424"/>
          <w:sz w:val="27"/>
          <w:szCs w:val="27"/>
          <w:shd w:val="clear" w:color="auto" w:fill="FDFDFD"/>
        </w:rPr>
      </w:pPr>
      <w:r>
        <w:rPr>
          <w:rStyle w:val="mjx-char"/>
          <w:rFonts w:ascii="MJXc-TeX-math-Iw" w:hAnsi="MJXc-TeX-math-Iw" w:cs="Segoe UI"/>
          <w:color w:val="2F2424"/>
          <w:sz w:val="27"/>
          <w:szCs w:val="27"/>
          <w:shd w:val="clear" w:color="auto" w:fill="FDFDFD"/>
        </w:rPr>
        <w:t>g</w:t>
      </w:r>
      <w:r>
        <w:rPr>
          <w:rStyle w:val="mjx-char"/>
          <w:rFonts w:ascii="MJXc-TeX-math-Iw" w:hAnsi="MJXc-TeX-math-Iw" w:cs="Segoe UI"/>
          <w:color w:val="2F2424"/>
          <w:sz w:val="19"/>
          <w:szCs w:val="19"/>
          <w:shd w:val="clear" w:color="auto" w:fill="FDFDFD"/>
        </w:rPr>
        <w:t>linear</w:t>
      </w:r>
      <w:r>
        <w:rPr>
          <w:rStyle w:val="mjx-char"/>
          <w:rFonts w:ascii="MJXc-TeX-main-Rw" w:hAnsi="MJXc-TeX-main-Rw" w:cs="Segoe UI"/>
          <w:color w:val="2F2424"/>
          <w:sz w:val="27"/>
          <w:szCs w:val="27"/>
          <w:shd w:val="clear" w:color="auto" w:fill="FDFDFD"/>
        </w:rPr>
        <w:t>(</w:t>
      </w:r>
      <w:r>
        <w:rPr>
          <w:rStyle w:val="mjx-char"/>
          <w:rFonts w:ascii="MJXc-TeX-math-Iw" w:hAnsi="MJXc-TeX-math-Iw" w:cs="Segoe UI"/>
          <w:color w:val="2F2424"/>
          <w:sz w:val="27"/>
          <w:szCs w:val="27"/>
          <w:shd w:val="clear" w:color="auto" w:fill="FDFDFD"/>
        </w:rPr>
        <w:t>z</w:t>
      </w:r>
      <w:r>
        <w:rPr>
          <w:rStyle w:val="mjx-char"/>
          <w:rFonts w:ascii="MJXc-TeX-main-Rw" w:hAnsi="MJXc-TeX-main-Rw" w:cs="Segoe UI"/>
          <w:color w:val="2F2424"/>
          <w:sz w:val="27"/>
          <w:szCs w:val="27"/>
          <w:shd w:val="clear" w:color="auto" w:fill="FDFDFD"/>
        </w:rPr>
        <w:t>)=</w:t>
      </w:r>
      <w:r>
        <w:rPr>
          <w:rStyle w:val="mjx-char"/>
          <w:rFonts w:ascii="MJXc-TeX-math-Iw" w:hAnsi="MJXc-TeX-math-Iw" w:cs="Segoe UI"/>
          <w:color w:val="2F2424"/>
          <w:sz w:val="27"/>
          <w:szCs w:val="27"/>
          <w:shd w:val="clear" w:color="auto" w:fill="FDFDFD"/>
        </w:rPr>
        <w:t>z</w:t>
      </w:r>
    </w:p>
    <w:p w14:paraId="73FCD828" w14:textId="3779DD9D" w:rsidR="00AE56A8" w:rsidRDefault="00AE56A8" w:rsidP="00B64D32">
      <w:pPr>
        <w:rPr>
          <w:rStyle w:val="mjx-char"/>
          <w:rFonts w:ascii="MJXc-TeX-math-Iw" w:hAnsi="MJXc-TeX-math-Iw" w:cs="Segoe UI"/>
          <w:color w:val="2F2424"/>
          <w:sz w:val="27"/>
          <w:szCs w:val="27"/>
          <w:shd w:val="clear" w:color="auto" w:fill="FDFDFD"/>
        </w:rPr>
      </w:pPr>
      <w:r>
        <w:rPr>
          <w:rStyle w:val="mjx-char"/>
          <w:rFonts w:ascii="MJXc-TeX-math-Iw" w:hAnsi="MJXc-TeX-math-Iw" w:cs="Segoe UI"/>
          <w:color w:val="2F2424"/>
          <w:sz w:val="27"/>
          <w:szCs w:val="27"/>
          <w:shd w:val="clear" w:color="auto" w:fill="FDFDFD"/>
        </w:rPr>
        <w:t>g</w:t>
      </w:r>
      <w:r>
        <w:rPr>
          <w:rStyle w:val="mjx-char"/>
          <w:rFonts w:ascii="MJXc-TeX-main-Rw" w:hAnsi="MJXc-TeX-main-Rw" w:cs="Segoe UI"/>
          <w:color w:val="2F2424"/>
          <w:sz w:val="19"/>
          <w:szCs w:val="19"/>
          <w:shd w:val="clear" w:color="auto" w:fill="FDFDFD"/>
        </w:rPr>
        <w:t>′linear</w:t>
      </w:r>
      <w:r>
        <w:rPr>
          <w:rStyle w:val="mjx-char"/>
          <w:rFonts w:ascii="MJXc-TeX-main-Rw" w:hAnsi="MJXc-TeX-main-Rw" w:cs="Segoe UI"/>
          <w:color w:val="2F2424"/>
          <w:sz w:val="27"/>
          <w:szCs w:val="27"/>
          <w:shd w:val="clear" w:color="auto" w:fill="FDFDFD"/>
        </w:rPr>
        <w:t>(</w:t>
      </w:r>
      <w:r>
        <w:rPr>
          <w:rStyle w:val="mjx-char"/>
          <w:rFonts w:ascii="MJXc-TeX-math-Iw" w:hAnsi="MJXc-TeX-math-Iw" w:cs="Segoe UI"/>
          <w:color w:val="2F2424"/>
          <w:sz w:val="27"/>
          <w:szCs w:val="27"/>
          <w:shd w:val="clear" w:color="auto" w:fill="FDFDFD"/>
        </w:rPr>
        <w:t>z</w:t>
      </w:r>
      <w:r>
        <w:rPr>
          <w:rStyle w:val="mjx-char"/>
          <w:rFonts w:ascii="MJXc-TeX-main-Rw" w:hAnsi="MJXc-TeX-main-Rw" w:cs="Segoe UI"/>
          <w:color w:val="2F2424"/>
          <w:sz w:val="27"/>
          <w:szCs w:val="27"/>
          <w:shd w:val="clear" w:color="auto" w:fill="FDFDFD"/>
        </w:rPr>
        <w:t>)=</w:t>
      </w:r>
      <w:r>
        <w:rPr>
          <w:rStyle w:val="mjx-char"/>
          <w:rFonts w:ascii="MJXc-TeX-math-Iw" w:hAnsi="MJXc-TeX-math-Iw" w:cs="Segoe UI"/>
          <w:color w:val="2F2424"/>
          <w:sz w:val="27"/>
          <w:szCs w:val="27"/>
          <w:shd w:val="clear" w:color="auto" w:fill="FDFDFD"/>
        </w:rPr>
        <w:t>1</w:t>
      </w:r>
    </w:p>
    <w:p w14:paraId="59378F80" w14:textId="4388F592" w:rsidR="002672CB" w:rsidRDefault="002672CB" w:rsidP="00B64D32">
      <w:pPr>
        <w:rPr>
          <w:rStyle w:val="mjx-char"/>
          <w:rFonts w:ascii="MJXc-TeX-math-Iw" w:hAnsi="MJXc-TeX-math-Iw" w:cs="Segoe UI"/>
          <w:color w:val="2F2424"/>
          <w:sz w:val="27"/>
          <w:szCs w:val="27"/>
          <w:shd w:val="clear" w:color="auto" w:fill="FDFDFD"/>
        </w:rPr>
      </w:pPr>
    </w:p>
    <w:p w14:paraId="7841B43B" w14:textId="77777777" w:rsidR="002672CB" w:rsidRDefault="002672CB" w:rsidP="00B64D32"/>
    <w:p w14:paraId="4A4B3E2F" w14:textId="4694D3A1" w:rsidR="00B64D32" w:rsidRDefault="00B64D32" w:rsidP="00B64D32">
      <w:pPr>
        <w:shd w:val="clear" w:color="auto" w:fill="FDFDFD"/>
        <w:spacing w:after="225" w:line="240" w:lineRule="auto"/>
        <w:outlineLvl w:val="0"/>
        <w:rPr>
          <w:rFonts w:ascii="Segoe UI" w:eastAsia="Times New Roman" w:hAnsi="Segoe UI" w:cs="Segoe UI"/>
          <w:color w:val="2F2424"/>
          <w:kern w:val="36"/>
          <w:sz w:val="48"/>
          <w:szCs w:val="48"/>
        </w:rPr>
      </w:pPr>
      <w:r w:rsidRPr="00B64D32">
        <w:rPr>
          <w:rFonts w:ascii="Segoe UI" w:eastAsia="Times New Roman" w:hAnsi="Segoe UI" w:cs="Segoe UI"/>
          <w:color w:val="2F2424"/>
          <w:kern w:val="36"/>
          <w:sz w:val="48"/>
          <w:szCs w:val="48"/>
        </w:rPr>
        <w:t>The Logistic Sigmoid Activation Function</w:t>
      </w:r>
    </w:p>
    <w:p w14:paraId="5687AD2A" w14:textId="4186AD9A" w:rsidR="006D410D" w:rsidRPr="00B64D32" w:rsidRDefault="006D410D" w:rsidP="00B64D32">
      <w:pPr>
        <w:shd w:val="clear" w:color="auto" w:fill="FDFDFD"/>
        <w:spacing w:after="225" w:line="240" w:lineRule="auto"/>
        <w:outlineLvl w:val="0"/>
        <w:rPr>
          <w:rFonts w:ascii="Segoe UI" w:eastAsia="Times New Roman" w:hAnsi="Segoe UI" w:cs="Segoe UI"/>
          <w:color w:val="2F2424"/>
          <w:kern w:val="36"/>
          <w:sz w:val="48"/>
          <w:szCs w:val="48"/>
        </w:rPr>
      </w:pPr>
      <w:r w:rsidRPr="006D410D">
        <w:rPr>
          <w:rFonts w:ascii="Segoe UI" w:eastAsia="Times New Roman" w:hAnsi="Segoe UI" w:cs="Segoe UI"/>
          <w:color w:val="2F2424"/>
          <w:kern w:val="36"/>
          <w:sz w:val="48"/>
          <w:szCs w:val="48"/>
        </w:rPr>
        <w:drawing>
          <wp:inline distT="0" distB="0" distL="0" distR="0" wp14:anchorId="66BED2C5" wp14:editId="41A8CA00">
            <wp:extent cx="1684166" cy="35817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26DD" w14:textId="6D080306" w:rsidR="00371CC3" w:rsidRDefault="00B64D32" w:rsidP="00B64D32">
      <w:r w:rsidRPr="00B64D32">
        <w:rPr>
          <w:noProof/>
        </w:rPr>
        <w:drawing>
          <wp:inline distT="0" distB="0" distL="0" distR="0" wp14:anchorId="2EBEE58B" wp14:editId="6C78DD62">
            <wp:extent cx="3977985" cy="2644369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E122" w14:textId="0D3FB424" w:rsidR="00B64D32" w:rsidRDefault="00B64D32" w:rsidP="00B64D32"/>
    <w:p w14:paraId="5FEE932E" w14:textId="5E913E33" w:rsidR="006D410D" w:rsidRDefault="006D410D" w:rsidP="00B64D32"/>
    <w:p w14:paraId="050C195A" w14:textId="3C35379C" w:rsidR="006D410D" w:rsidRDefault="006D410D" w:rsidP="00B64D32"/>
    <w:p w14:paraId="60A33210" w14:textId="6FC47A35" w:rsidR="006D410D" w:rsidRDefault="006D410D" w:rsidP="00B64D32"/>
    <w:p w14:paraId="5F9140C2" w14:textId="626E35E8" w:rsidR="006D410D" w:rsidRDefault="006D410D" w:rsidP="00B64D32"/>
    <w:p w14:paraId="3916E08B" w14:textId="3DB1177A" w:rsidR="006D410D" w:rsidRDefault="006D410D" w:rsidP="00B64D32"/>
    <w:p w14:paraId="373FBF1F" w14:textId="65A597B5" w:rsidR="00B64D32" w:rsidRDefault="00B64D32" w:rsidP="00B64D32">
      <w:pPr>
        <w:pStyle w:val="Heading1"/>
        <w:shd w:val="clear" w:color="auto" w:fill="FDFDFD"/>
        <w:spacing w:before="0" w:beforeAutospacing="0" w:after="225" w:afterAutospacing="0"/>
        <w:rPr>
          <w:rFonts w:ascii="Segoe UI" w:hAnsi="Segoe UI" w:cs="Segoe UI"/>
          <w:b w:val="0"/>
          <w:bCs w:val="0"/>
          <w:color w:val="2F2424"/>
        </w:rPr>
      </w:pPr>
      <w:r>
        <w:rPr>
          <w:rFonts w:ascii="Segoe UI" w:hAnsi="Segoe UI" w:cs="Segoe UI"/>
          <w:b w:val="0"/>
          <w:bCs w:val="0"/>
          <w:color w:val="2F2424"/>
        </w:rPr>
        <w:lastRenderedPageBreak/>
        <w:t>The Hyperbolic Tangent Activation Function</w:t>
      </w:r>
    </w:p>
    <w:p w14:paraId="1CB9F231" w14:textId="02F95681" w:rsidR="006D410D" w:rsidRDefault="006D410D" w:rsidP="00B64D32">
      <w:pPr>
        <w:pStyle w:val="Heading1"/>
        <w:shd w:val="clear" w:color="auto" w:fill="FDFDFD"/>
        <w:spacing w:before="0" w:beforeAutospacing="0" w:after="225" w:afterAutospacing="0"/>
        <w:rPr>
          <w:rFonts w:ascii="Segoe UI" w:hAnsi="Segoe UI" w:cs="Segoe UI"/>
          <w:b w:val="0"/>
          <w:bCs w:val="0"/>
          <w:color w:val="2F2424"/>
        </w:rPr>
      </w:pPr>
      <w:r w:rsidRPr="006D410D">
        <w:rPr>
          <w:rFonts w:ascii="Segoe UI" w:hAnsi="Segoe UI" w:cs="Segoe UI"/>
          <w:b w:val="0"/>
          <w:bCs w:val="0"/>
          <w:color w:val="2F2424"/>
        </w:rPr>
        <w:drawing>
          <wp:inline distT="0" distB="0" distL="0" distR="0" wp14:anchorId="32784A3D" wp14:editId="4BC4C28E">
            <wp:extent cx="1798476" cy="8382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A7C8" w14:textId="02C311F4" w:rsidR="00B64D32" w:rsidRDefault="00B64D32" w:rsidP="00B64D32">
      <w:r w:rsidRPr="00B64D32">
        <w:rPr>
          <w:noProof/>
        </w:rPr>
        <w:drawing>
          <wp:inline distT="0" distB="0" distL="0" distR="0" wp14:anchorId="40C0CC8E" wp14:editId="3F743170">
            <wp:extent cx="3734124" cy="21566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764A" w14:textId="6D92C315" w:rsidR="00B64D32" w:rsidRDefault="00B64D32" w:rsidP="00B64D32"/>
    <w:p w14:paraId="3252EC93" w14:textId="77777777" w:rsidR="00B64D32" w:rsidRPr="00B64D32" w:rsidRDefault="00B64D32" w:rsidP="00B64D32"/>
    <w:sectPr w:rsidR="00B64D32" w:rsidRPr="00B64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32"/>
    <w:rsid w:val="002672CB"/>
    <w:rsid w:val="00371CC3"/>
    <w:rsid w:val="00482120"/>
    <w:rsid w:val="006D410D"/>
    <w:rsid w:val="00AE56A8"/>
    <w:rsid w:val="00B6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8E97"/>
  <w15:chartTrackingRefBased/>
  <w15:docId w15:val="{D81EEC88-0505-4B71-86F7-062191B5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4D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D3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64D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jx-char">
    <w:name w:val="mjx-char"/>
    <w:basedOn w:val="DefaultParagraphFont"/>
    <w:rsid w:val="00AE5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6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ustinstansbury.github.io/theclevermachine/derivation-common-neural-network-activation-function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Sangar</dc:creator>
  <cp:keywords/>
  <dc:description/>
  <cp:lastModifiedBy>Amol Sangar</cp:lastModifiedBy>
  <cp:revision>5</cp:revision>
  <dcterms:created xsi:type="dcterms:W3CDTF">2021-12-07T18:40:00Z</dcterms:created>
  <dcterms:modified xsi:type="dcterms:W3CDTF">2021-12-07T20:32:00Z</dcterms:modified>
</cp:coreProperties>
</file>