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A8A6E"/>
          <w:sz w:val="28"/>
        </w:rPr>
        <w:t>ELECTRA HUB</w:t>
      </w:r>
    </w:p>
    <w:p>
      <w:pPr>
        <w:jc w:val="center"/>
      </w:pPr>
      <w:r>
        <w:rPr>
          <w:rFonts w:ascii="Arial" w:hAnsi="Arial"/>
          <w:b/>
          <w:color w:val="0B5594"/>
          <w:sz w:val="56"/>
        </w:rPr>
        <w:t>High-Level Design Document</w:t>
      </w:r>
    </w:p>
    <w:p>
      <w:pPr>
        <w:jc w:val="center"/>
      </w:pPr>
      <w:r>
        <w:rPr>
          <w:rFonts w:ascii="Arial" w:hAnsi="Arial"/>
          <w:color w:val="146B56"/>
          <w:sz w:val="32"/>
        </w:rPr>
        <w:t>OCPP/OCPI Charging Station</w:t>
        <w:br/>
        <w:t>Management System (CSMS)</w:t>
      </w:r>
    </w:p>
    <w:p/>
    <w:tbl>
      <w:tblPr>
        <w:tblW w:type="auto" w:w="0"/>
        <w:jc w:val="center"/>
        <w:tblLook w:firstColumn="1" w:firstRow="1" w:lastColumn="0" w:lastRow="0" w:noHBand="0" w:noVBand="1" w:val="04A0"/>
      </w:tblPr>
      <w:tblGrid>
        <w:gridCol w:w="4680"/>
        <w:gridCol w:w="4680"/>
      </w:tblGrid>
      <w:tr>
        <w:tc>
          <w:tcPr>
            <w:tcW w:type="dxa" w:w="2880"/>
            <w:shd w:val="clear" w:fill="E8F4FD"/>
          </w:tcPr>
          <w:p>
            <w:r/>
            <w:r>
              <w:rPr>
                <w:rFonts w:ascii="Arial" w:hAnsi="Arial"/>
                <w:b/>
                <w:color w:val="0B5594"/>
                <w:sz w:val="20"/>
              </w:rPr>
              <w:t>Document Version</w:t>
            </w:r>
          </w:p>
        </w:tc>
        <w:tc>
          <w:tcPr>
            <w:tcW w:type="dxa" w:w="5760"/>
          </w:tcPr>
          <w:p>
            <w:r/>
            <w:r>
              <w:rPr>
                <w:rFonts w:ascii="Arial" w:hAnsi="Arial"/>
                <w:sz w:val="20"/>
              </w:rPr>
              <w:t>1.0</w:t>
            </w:r>
          </w:p>
        </w:tc>
      </w:tr>
      <w:tr>
        <w:tc>
          <w:tcPr>
            <w:tcW w:type="dxa" w:w="2880"/>
            <w:shd w:val="clear" w:fill="E8F4FD"/>
          </w:tcPr>
          <w:p>
            <w:r/>
            <w:r>
              <w:rPr>
                <w:rFonts w:ascii="Arial" w:hAnsi="Arial"/>
                <w:b/>
                <w:color w:val="0B5594"/>
                <w:sz w:val="20"/>
              </w:rPr>
              <w:t>Date</w:t>
            </w:r>
          </w:p>
        </w:tc>
        <w:tc>
          <w:tcPr>
            <w:tcW w:type="dxa" w:w="5760"/>
          </w:tcPr>
          <w:p>
            <w:r/>
            <w:r>
              <w:rPr>
                <w:rFonts w:ascii="Arial" w:hAnsi="Arial"/>
                <w:sz w:val="20"/>
              </w:rPr>
              <w:t>March 20, 2026</w:t>
            </w:r>
          </w:p>
        </w:tc>
      </w:tr>
      <w:tr>
        <w:tc>
          <w:tcPr>
            <w:tcW w:type="dxa" w:w="2880"/>
            <w:shd w:val="clear" w:fill="E8F4FD"/>
          </w:tcPr>
          <w:p>
            <w:r/>
            <w:r>
              <w:rPr>
                <w:rFonts w:ascii="Arial" w:hAnsi="Arial"/>
                <w:b/>
                <w:color w:val="0B5594"/>
                <w:sz w:val="20"/>
              </w:rPr>
              <w:t>Author</w:t>
            </w:r>
          </w:p>
        </w:tc>
        <w:tc>
          <w:tcPr>
            <w:tcW w:type="dxa" w:w="5760"/>
          </w:tcPr>
          <w:p>
            <w:r/>
            <w:r>
              <w:rPr>
                <w:rFonts w:ascii="Arial" w:hAnsi="Arial"/>
                <w:sz w:val="20"/>
              </w:rPr>
              <w:t>Electra Hub Engineering</w:t>
            </w:r>
          </w:p>
        </w:tc>
      </w:tr>
      <w:tr>
        <w:tc>
          <w:tcPr>
            <w:tcW w:type="dxa" w:w="2880"/>
            <w:shd w:val="clear" w:fill="E8F4FD"/>
          </w:tcPr>
          <w:p>
            <w:r/>
            <w:r>
              <w:rPr>
                <w:rFonts w:ascii="Arial" w:hAnsi="Arial"/>
                <w:b/>
                <w:color w:val="0B5594"/>
                <w:sz w:val="20"/>
              </w:rPr>
              <w:t>Status</w:t>
            </w:r>
          </w:p>
        </w:tc>
        <w:tc>
          <w:tcPr>
            <w:tcW w:type="dxa" w:w="5760"/>
          </w:tcPr>
          <w:p>
            <w:r/>
            <w:r>
              <w:rPr>
                <w:rFonts w:ascii="Arial" w:hAnsi="Arial"/>
                <w:sz w:val="20"/>
              </w:rPr>
              <w:t>Draft</w:t>
            </w:r>
          </w:p>
        </w:tc>
      </w:tr>
      <w:tr>
        <w:tc>
          <w:tcPr>
            <w:tcW w:type="dxa" w:w="2880"/>
            <w:shd w:val="clear" w:fill="E8F4FD"/>
          </w:tcPr>
          <w:p>
            <w:r/>
            <w:r>
              <w:rPr>
                <w:rFonts w:ascii="Arial" w:hAnsi="Arial"/>
                <w:b/>
                <w:color w:val="0B5594"/>
                <w:sz w:val="20"/>
              </w:rPr>
              <w:t>Classification</w:t>
            </w:r>
          </w:p>
        </w:tc>
        <w:tc>
          <w:tcPr>
            <w:tcW w:type="dxa" w:w="5760"/>
          </w:tcPr>
          <w:p>
            <w:r/>
            <w:r>
              <w:rPr>
                <w:rFonts w:ascii="Arial" w:hAnsi="Arial"/>
                <w:sz w:val="20"/>
              </w:rPr>
              <w:t>Internal</w:t>
            </w:r>
          </w:p>
        </w:tc>
      </w:tr>
    </w:tbl>
    <w:p>
      <w:r>
        <w:br w:type="page"/>
      </w:r>
    </w:p>
    <w:p>
      <w:pPr>
        <w:pStyle w:val="Heading1"/>
      </w:pPr>
      <w:r>
        <w:t>Table of Contents</w:t>
      </w:r>
    </w:p>
    <w:p>
      <w:pPr>
        <w:spacing w:after="80"/>
      </w:pPr>
      <w:r>
        <w:rPr>
          <w:rFonts w:ascii="Arial" w:hAnsi="Arial"/>
          <w:color w:val="0B5594"/>
          <w:sz w:val="22"/>
        </w:rPr>
        <w:t>1. Introduction and Scope</w:t>
      </w:r>
    </w:p>
    <w:p>
      <w:pPr>
        <w:spacing w:after="80"/>
      </w:pPr>
      <w:r>
        <w:rPr>
          <w:rFonts w:ascii="Arial" w:hAnsi="Arial"/>
          <w:color w:val="0B5594"/>
          <w:sz w:val="22"/>
        </w:rPr>
        <w:t>2. System Architecture Overview</w:t>
      </w:r>
    </w:p>
    <w:p>
      <w:pPr>
        <w:spacing w:after="80"/>
      </w:pPr>
      <w:r>
        <w:rPr>
          <w:rFonts w:ascii="Arial" w:hAnsi="Arial"/>
          <w:color w:val="0B5594"/>
          <w:sz w:val="22"/>
        </w:rPr>
        <w:t>3. Protocol Overview</w:t>
      </w:r>
    </w:p>
    <w:p>
      <w:pPr>
        <w:spacing w:after="80"/>
      </w:pPr>
      <w:r>
        <w:rPr>
          <w:rFonts w:ascii="Arial" w:hAnsi="Arial"/>
          <w:color w:val="0B5594"/>
          <w:sz w:val="22"/>
        </w:rPr>
        <w:t>4. Component Design</w:t>
      </w:r>
    </w:p>
    <w:p>
      <w:pPr>
        <w:spacing w:after="80"/>
      </w:pPr>
      <w:r>
        <w:rPr>
          <w:rFonts w:ascii="Arial" w:hAnsi="Arial"/>
          <w:color w:val="0B5594"/>
          <w:sz w:val="22"/>
        </w:rPr>
        <w:t>5. Authorization Flows</w:t>
      </w:r>
    </w:p>
    <w:p>
      <w:pPr>
        <w:spacing w:after="80"/>
      </w:pPr>
      <w:r>
        <w:rPr>
          <w:rFonts w:ascii="Arial" w:hAnsi="Arial"/>
          <w:color w:val="0B5594"/>
          <w:sz w:val="22"/>
        </w:rPr>
        <w:t>6. Session Lifecycle Management</w:t>
      </w:r>
    </w:p>
    <w:p>
      <w:pPr>
        <w:spacing w:after="80"/>
      </w:pPr>
      <w:r>
        <w:rPr>
          <w:rFonts w:ascii="Arial" w:hAnsi="Arial"/>
          <w:color w:val="0B5594"/>
          <w:sz w:val="22"/>
        </w:rPr>
        <w:t>7. Data Architecture</w:t>
      </w:r>
    </w:p>
    <w:p>
      <w:pPr>
        <w:spacing w:after="80"/>
      </w:pPr>
      <w:r>
        <w:rPr>
          <w:rFonts w:ascii="Arial" w:hAnsi="Arial"/>
          <w:color w:val="0B5594"/>
          <w:sz w:val="22"/>
        </w:rPr>
        <w:t>8. Integration Interfaces</w:t>
      </w:r>
    </w:p>
    <w:p>
      <w:pPr>
        <w:spacing w:after="80"/>
      </w:pPr>
      <w:r>
        <w:rPr>
          <w:rFonts w:ascii="Arial" w:hAnsi="Arial"/>
          <w:color w:val="0B5594"/>
          <w:sz w:val="22"/>
        </w:rPr>
        <w:t>9. Security Architecture</w:t>
      </w:r>
    </w:p>
    <w:p>
      <w:pPr>
        <w:spacing w:after="80"/>
      </w:pPr>
      <w:r>
        <w:rPr>
          <w:rFonts w:ascii="Arial" w:hAnsi="Arial"/>
          <w:color w:val="0B5594"/>
          <w:sz w:val="22"/>
        </w:rPr>
        <w:t>10. Deployment Architecture</w:t>
      </w:r>
    </w:p>
    <w:p>
      <w:pPr>
        <w:spacing w:after="80"/>
      </w:pPr>
      <w:r>
        <w:rPr>
          <w:rFonts w:ascii="Arial" w:hAnsi="Arial"/>
          <w:color w:val="0B5594"/>
          <w:sz w:val="22"/>
        </w:rPr>
        <w:t>11. Non-Functional Requirements</w:t>
      </w:r>
    </w:p>
    <w:p>
      <w:r>
        <w:br w:type="page"/>
      </w:r>
    </w:p>
    <w:p>
      <w:pPr>
        <w:pStyle w:val="Heading1"/>
      </w:pPr>
      <w:r>
        <w:t>1. Introduction and Scope</w:t>
      </w:r>
    </w:p>
    <w:p>
      <w:pPr>
        <w:pStyle w:val="Heading2"/>
      </w:pPr>
      <w:r>
        <w:t>1.1 Purpose</w:t>
      </w:r>
    </w:p>
    <w:p>
      <w:r>
        <w:t>This High-Level Design document describes the architecture and design of the Electra Hub Charging Station Management System (CSMS). The system provides a production-grade backend platform for managing EV charging infrastructure, handling real-time communication with charging stations via OCPP, and enabling interoperability with roaming partners via OCPI.</w:t>
      </w:r>
    </w:p>
    <w:p>
      <w:pPr>
        <w:pStyle w:val="Heading2"/>
      </w:pPr>
      <w:r>
        <w:t>1.2 Scope</w:t>
      </w:r>
    </w:p>
    <w:p>
      <w:r>
        <w:t>The CSMS covers the following functional areas:</w:t>
      </w:r>
    </w:p>
    <w:p>
      <w:pPr>
        <w:pStyle w:val="ListBullet"/>
      </w:pPr>
      <w:r>
        <w:rPr>
          <w:rFonts w:ascii="Arial" w:hAnsi="Arial"/>
          <w:b/>
          <w:sz w:val="20"/>
        </w:rPr>
        <w:t xml:space="preserve">OCPP Communication: </w:t>
      </w:r>
      <w:r>
        <w:rPr>
          <w:rFonts w:ascii="Arial" w:hAnsi="Arial"/>
          <w:sz w:val="20"/>
        </w:rPr>
        <w:t>Real-time bidirectional communication with charging stations using OCPP 1.6J and OCPP 2.0.1 over WebSocket.</w:t>
      </w:r>
    </w:p>
    <w:p>
      <w:pPr>
        <w:pStyle w:val="ListBullet"/>
      </w:pPr>
      <w:r>
        <w:rPr>
          <w:rFonts w:ascii="Arial" w:hAnsi="Arial"/>
          <w:b/>
          <w:sz w:val="20"/>
        </w:rPr>
        <w:t xml:space="preserve">OCPI Roaming: </w:t>
      </w:r>
      <w:r>
        <w:rPr>
          <w:rFonts w:ascii="Arial" w:hAnsi="Arial"/>
          <w:sz w:val="20"/>
        </w:rPr>
        <w:t>Interoperability with e-Mobility Service Providers (eMSPs) and roaming hubs using OCPI 2.2.1 REST APIs.</w:t>
      </w:r>
    </w:p>
    <w:p>
      <w:pPr>
        <w:pStyle w:val="ListBullet"/>
      </w:pPr>
      <w:r>
        <w:rPr>
          <w:rFonts w:ascii="Arial" w:hAnsi="Arial"/>
          <w:b/>
          <w:sz w:val="20"/>
        </w:rPr>
        <w:t xml:space="preserve">Authorization: </w:t>
      </w:r>
      <w:r>
        <w:rPr>
          <w:rFonts w:ascii="Arial" w:hAnsi="Arial"/>
          <w:sz w:val="20"/>
        </w:rPr>
        <w:t>Support for RFID, EMAID, credit card, Plug &amp; Charge (ISO 15118), QR code, and mobile app remote start authorization methods.</w:t>
      </w:r>
    </w:p>
    <w:p>
      <w:pPr>
        <w:pStyle w:val="ListBullet"/>
      </w:pPr>
      <w:r>
        <w:rPr>
          <w:rFonts w:ascii="Arial" w:hAnsi="Arial"/>
          <w:b/>
          <w:sz w:val="20"/>
        </w:rPr>
        <w:t xml:space="preserve">Session Management: </w:t>
      </w:r>
      <w:r>
        <w:rPr>
          <w:rFonts w:ascii="Arial" w:hAnsi="Arial"/>
          <w:sz w:val="20"/>
        </w:rPr>
        <w:t>Full lifecycle management of charging sessions from authorization through billing.</w:t>
      </w:r>
    </w:p>
    <w:p>
      <w:pPr>
        <w:pStyle w:val="ListBullet"/>
      </w:pPr>
      <w:r>
        <w:rPr>
          <w:rFonts w:ascii="Arial" w:hAnsi="Arial"/>
          <w:b/>
          <w:sz w:val="20"/>
        </w:rPr>
        <w:t xml:space="preserve">Metering &amp; Billing: </w:t>
      </w:r>
      <w:r>
        <w:rPr>
          <w:rFonts w:ascii="Arial" w:hAnsi="Arial"/>
          <w:sz w:val="20"/>
        </w:rPr>
        <w:t>Collection of meter values, tariff application, CDR generation, and payment processing.</w:t>
      </w:r>
    </w:p>
    <w:p>
      <w:pPr>
        <w:pStyle w:val="ListBullet"/>
      </w:pPr>
      <w:r>
        <w:rPr>
          <w:rFonts w:ascii="Arial" w:hAnsi="Arial"/>
          <w:b/>
          <w:sz w:val="20"/>
        </w:rPr>
        <w:t xml:space="preserve">Smart Charging: </w:t>
      </w:r>
      <w:r>
        <w:rPr>
          <w:rFonts w:ascii="Arial" w:hAnsi="Arial"/>
          <w:sz w:val="20"/>
        </w:rPr>
        <w:t>Dynamic power management using OCPP charging profiles for load balancing and grid optimization.</w:t>
      </w:r>
    </w:p>
    <w:p>
      <w:pPr>
        <w:pStyle w:val="ListBullet"/>
      </w:pPr>
      <w:r>
        <w:rPr>
          <w:rFonts w:ascii="Arial" w:hAnsi="Arial"/>
          <w:b/>
          <w:sz w:val="20"/>
        </w:rPr>
        <w:t xml:space="preserve">Monitoring: </w:t>
      </w:r>
      <w:r>
        <w:rPr>
          <w:rFonts w:ascii="Arial" w:hAnsi="Arial"/>
          <w:sz w:val="20"/>
        </w:rPr>
        <w:t>Real-time charger status monitoring, firmware management, and diagnostics.</w:t>
      </w:r>
    </w:p>
    <w:p>
      <w:pPr>
        <w:pStyle w:val="Heading2"/>
      </w:pPr>
      <w:r>
        <w:t>1.3 Target Audience</w:t>
      </w:r>
    </w:p>
    <w:p>
      <w:r>
        <w:t>This document is intended for solution architects, backend engineers, DevOps engineers, product managers, and technical stakeholders involved in the development and deployment of the Electra Hub CSMS platform.</w:t>
      </w:r>
    </w:p>
    <w:p>
      <w:pPr>
        <w:pStyle w:val="Heading2"/>
      </w:pPr>
      <w:r>
        <w:t>1.4 Key Stakeholders and Roles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0B5594"/>
          </w:tcPr>
          <w:p>
            <w:pPr>
              <w:jc w:val="left"/>
            </w:pPr>
            <w:r/>
            <w:r>
              <w:rPr>
                <w:rFonts w:ascii="Arial" w:hAnsi="Arial"/>
                <w:b/>
                <w:color w:val="FFFFFF"/>
                <w:sz w:val="19"/>
              </w:rPr>
              <w:t>Role</w:t>
            </w:r>
          </w:p>
        </w:tc>
        <w:tc>
          <w:tcPr>
            <w:tcW w:type="dxa" w:w="1440"/>
            <w:shd w:val="clear" w:fill="0B5594"/>
          </w:tcPr>
          <w:p>
            <w:pPr>
              <w:jc w:val="left"/>
            </w:pPr>
            <w:r/>
            <w:r>
              <w:rPr>
                <w:rFonts w:ascii="Arial" w:hAnsi="Arial"/>
                <w:b/>
                <w:color w:val="FFFFFF"/>
                <w:sz w:val="19"/>
              </w:rPr>
              <w:t>Abbreviation</w:t>
            </w:r>
          </w:p>
        </w:tc>
        <w:tc>
          <w:tcPr>
            <w:tcW w:type="dxa" w:w="5328"/>
            <w:shd w:val="clear" w:fill="0B5594"/>
          </w:tcPr>
          <w:p>
            <w:pPr>
              <w:jc w:val="left"/>
            </w:pPr>
            <w:r/>
            <w:r>
              <w:rPr>
                <w:rFonts w:ascii="Arial" w:hAnsi="Arial"/>
                <w:b/>
                <w:color w:val="FFFFFF"/>
                <w:sz w:val="19"/>
              </w:rPr>
              <w:t>Description</w:t>
            </w:r>
          </w:p>
        </w:tc>
      </w:tr>
      <w:tr>
        <w:tc>
          <w:tcPr>
            <w:tcW w:type="dxa" w:w="2592"/>
          </w:tcPr>
          <w:p>
            <w:r/>
            <w:r>
              <w:rPr>
                <w:rFonts w:ascii="Arial" w:hAnsi="Arial"/>
                <w:sz w:val="18"/>
              </w:rPr>
              <w:t>Charge Point Operator</w:t>
            </w:r>
          </w:p>
        </w:tc>
        <w:tc>
          <w:tcPr>
            <w:tcW w:type="dxa" w:w="1440"/>
          </w:tcPr>
          <w:p>
            <w:r/>
            <w:r>
              <w:rPr>
                <w:rFonts w:ascii="Arial" w:hAnsi="Arial"/>
                <w:sz w:val="18"/>
              </w:rPr>
              <w:t>CPO</w:t>
            </w:r>
          </w:p>
        </w:tc>
        <w:tc>
          <w:tcPr>
            <w:tcW w:type="dxa" w:w="5328"/>
          </w:tcPr>
          <w:p>
            <w:r/>
            <w:r>
              <w:rPr>
                <w:rFonts w:ascii="Arial" w:hAnsi="Arial"/>
                <w:sz w:val="18"/>
              </w:rPr>
              <w:t>Owns and operates the physical charging stations and CSMS backend</w:t>
            </w:r>
          </w:p>
        </w:tc>
      </w:tr>
      <w:tr>
        <w:tc>
          <w:tcPr>
            <w:tcW w:type="dxa" w:w="2592"/>
            <w:shd w:val="clear" w:fill="F0F7F4"/>
          </w:tcPr>
          <w:p>
            <w:r/>
            <w:r>
              <w:rPr>
                <w:rFonts w:ascii="Arial" w:hAnsi="Arial"/>
                <w:sz w:val="18"/>
              </w:rPr>
              <w:t>e-Mobility Service Provider</w:t>
            </w:r>
          </w:p>
        </w:tc>
        <w:tc>
          <w:tcPr>
            <w:tcW w:type="dxa" w:w="1440"/>
            <w:shd w:val="clear" w:fill="F0F7F4"/>
          </w:tcPr>
          <w:p>
            <w:r/>
            <w:r>
              <w:rPr>
                <w:rFonts w:ascii="Arial" w:hAnsi="Arial"/>
                <w:sz w:val="18"/>
              </w:rPr>
              <w:t>eMSP</w:t>
            </w:r>
          </w:p>
        </w:tc>
        <w:tc>
          <w:tcPr>
            <w:tcW w:type="dxa" w:w="5328"/>
            <w:shd w:val="clear" w:fill="F0F7F4"/>
          </w:tcPr>
          <w:p>
            <w:r/>
            <w:r>
              <w:rPr>
                <w:rFonts w:ascii="Arial" w:hAnsi="Arial"/>
                <w:sz w:val="18"/>
              </w:rPr>
              <w:t>Provides charging access to EV drivers via tokens, apps, and subscriptions</w:t>
            </w:r>
          </w:p>
        </w:tc>
      </w:tr>
      <w:tr>
        <w:tc>
          <w:tcPr>
            <w:tcW w:type="dxa" w:w="2592"/>
          </w:tcPr>
          <w:p>
            <w:r/>
            <w:r>
              <w:rPr>
                <w:rFonts w:ascii="Arial" w:hAnsi="Arial"/>
                <w:sz w:val="18"/>
              </w:rPr>
              <w:t>Roaming Hub</w:t>
            </w:r>
          </w:p>
        </w:tc>
        <w:tc>
          <w:tcPr>
            <w:tcW w:type="dxa" w:w="1440"/>
          </w:tcPr>
          <w:p>
            <w:r/>
            <w:r>
              <w:rPr>
                <w:rFonts w:ascii="Arial" w:hAnsi="Arial"/>
                <w:sz w:val="18"/>
              </w:rPr>
              <w:t>HUB</w:t>
            </w:r>
          </w:p>
        </w:tc>
        <w:tc>
          <w:tcPr>
            <w:tcW w:type="dxa" w:w="5328"/>
          </w:tcPr>
          <w:p>
            <w:r/>
            <w:r>
              <w:rPr>
                <w:rFonts w:ascii="Arial" w:hAnsi="Arial"/>
                <w:sz w:val="18"/>
              </w:rPr>
              <w:t>Intermediary connecting multiple CPOs and eMSPs for cross-network access</w:t>
            </w:r>
          </w:p>
        </w:tc>
      </w:tr>
      <w:tr>
        <w:tc>
          <w:tcPr>
            <w:tcW w:type="dxa" w:w="2592"/>
            <w:shd w:val="clear" w:fill="F0F7F4"/>
          </w:tcPr>
          <w:p>
            <w:r/>
            <w:r>
              <w:rPr>
                <w:rFonts w:ascii="Arial" w:hAnsi="Arial"/>
                <w:sz w:val="18"/>
              </w:rPr>
              <w:t>EV Driver</w:t>
            </w:r>
          </w:p>
        </w:tc>
        <w:tc>
          <w:tcPr>
            <w:tcW w:type="dxa" w:w="1440"/>
            <w:shd w:val="clear" w:fill="F0F7F4"/>
          </w:tcPr>
          <w:p>
            <w:r/>
            <w:r>
              <w:rPr>
                <w:rFonts w:ascii="Arial" w:hAnsi="Arial"/>
                <w:sz w:val="18"/>
              </w:rPr>
              <w:t>Driver</w:t>
            </w:r>
          </w:p>
        </w:tc>
        <w:tc>
          <w:tcPr>
            <w:tcW w:type="dxa" w:w="5328"/>
            <w:shd w:val="clear" w:fill="F0F7F4"/>
          </w:tcPr>
          <w:p>
            <w:r/>
            <w:r>
              <w:rPr>
                <w:rFonts w:ascii="Arial" w:hAnsi="Arial"/>
                <w:sz w:val="18"/>
              </w:rPr>
              <w:t>End user who charges their electric vehicle at a station</w:t>
            </w:r>
          </w:p>
        </w:tc>
      </w:tr>
      <w:tr>
        <w:tc>
          <w:tcPr>
            <w:tcW w:type="dxa" w:w="2592"/>
          </w:tcPr>
          <w:p>
            <w:r/>
            <w:r>
              <w:rPr>
                <w:rFonts w:ascii="Arial" w:hAnsi="Arial"/>
                <w:sz w:val="18"/>
              </w:rPr>
              <w:t>Grid Operator</w:t>
            </w:r>
          </w:p>
        </w:tc>
        <w:tc>
          <w:tcPr>
            <w:tcW w:type="dxa" w:w="1440"/>
          </w:tcPr>
          <w:p>
            <w:r/>
            <w:r>
              <w:rPr>
                <w:rFonts w:ascii="Arial" w:hAnsi="Arial"/>
                <w:sz w:val="18"/>
              </w:rPr>
              <w:t>DSO/TSO</w:t>
            </w:r>
          </w:p>
        </w:tc>
        <w:tc>
          <w:tcPr>
            <w:tcW w:type="dxa" w:w="5328"/>
          </w:tcPr>
          <w:p>
            <w:r/>
            <w:r>
              <w:rPr>
                <w:rFonts w:ascii="Arial" w:hAnsi="Arial"/>
                <w:sz w:val="18"/>
              </w:rPr>
              <w:t>Manages electricity distribution; may request smart charging profiles</w:t>
            </w:r>
          </w:p>
        </w:tc>
      </w:tr>
    </w:tbl>
    <w:p>
      <w:r>
        <w:br w:type="page"/>
      </w:r>
    </w:p>
    <w:p>
      <w:pPr>
        <w:pStyle w:val="Heading1"/>
      </w:pPr>
      <w:r>
        <w:t>2. System Architecture Overview</w:t>
      </w:r>
    </w:p>
    <w:p>
      <w:pPr>
        <w:pStyle w:val="Heading2"/>
      </w:pPr>
      <w:r>
        <w:t>2.1 Architecture Diagram</w:t>
      </w:r>
    </w:p>
    <w:p>
      <w:r>
        <w:t>The system follows a layered, event-driven microservices architecture with three communication interfaces: OCPP WebSocket for charger communication, OCPI REST for roaming partner communication, and a Driver/Admin REST API for mobile and web applications.</w:t>
      </w:r>
    </w:p>
    <w:p>
      <w:pPr>
        <w:shd w:val="clear" w:fill="F5F7F6"/>
        <w:spacing w:before="80" w:after="80"/>
        <w:ind w:left="432"/>
      </w:pPr>
      <w:r>
        <w:rPr>
          <w:rFonts w:ascii="Consolas" w:hAnsi="Consolas"/>
          <w:color w:val="1A2332"/>
          <w:sz w:val="17"/>
        </w:rPr>
        <w:br/>
        <w:t>+=====================================================================+</w:t>
        <w:br/>
        <w:t>|                    API Gateway / Load Balancer                        |</w:t>
        <w:br/>
        <w:t>+====================+==================+=============================+</w:t>
        <w:br/>
        <w:t>|  OCPP WebSocket    |  OCPI REST API   |  Driver / Admin REST API    |</w:t>
        <w:br/>
        <w:t>|  Server (wss://)   |  (https://)      |  (https://)                 |</w:t>
        <w:br/>
        <w:t>+====================+==================+=============================+</w:t>
        <w:br/>
        <w:t>|                       Application Layer                              |</w:t>
        <w:br/>
        <w:t>|  +------------+  +-------------+  +----------+  +----------------+  |</w:t>
        <w:br/>
        <w:t>|  | Auth       |  | Session     |  | Billing  |  | Smart Charging |  |</w:t>
        <w:br/>
        <w:t>|  | Service    |  | Manager     |  | Engine   |  | Manager        |  |</w:t>
        <w:br/>
        <w:t>|  +------------+  +-------------+  +----------+  +----------------+  |</w:t>
        <w:br/>
        <w:t>|  | OCPP       |  | OCPI        |  | Tariff   |  | Firmware       |  |</w:t>
        <w:br/>
        <w:t>|  | Handler    |  | Handler     |  | Engine   |  | Manager        |  |</w:t>
        <w:br/>
        <w:t>|  +------------+  +-------------+  +----------+  +----------------+  |</w:t>
        <w:br/>
        <w:t>+=====================================================================+</w:t>
        <w:br/>
        <w:t>|              Message Bus  (Redis Streams / Kafka)                     |</w:t>
        <w:br/>
        <w:t>+====================+==================+=============================+</w:t>
        <w:br/>
        <w:t>|  PostgreSQL        |  Redis           |  TimescaleDB                |</w:t>
        <w:br/>
        <w:t>|  (core data)       |  (cache/pubsub)  |  (meter time-series)        |</w:t>
        <w:br/>
        <w:t>+====================+==================+=============================+</w:t>
        <w:br/>
        <w:br/>
      </w:r>
    </w:p>
    <w:p>
      <w:pPr>
        <w:pStyle w:val="Heading2"/>
      </w:pPr>
      <w:r>
        <w:t>2.2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0B5594"/>
          </w:tcPr>
          <w:p>
            <w:pPr>
              <w:jc w:val="left"/>
            </w:pPr>
            <w:r/>
            <w:r>
              <w:rPr>
                <w:rFonts w:ascii="Arial" w:hAnsi="Arial"/>
                <w:b/>
                <w:color w:val="FFFFFF"/>
                <w:sz w:val="19"/>
              </w:rPr>
              <w:t>Layer</w:t>
            </w:r>
          </w:p>
        </w:tc>
        <w:tc>
          <w:tcPr>
            <w:tcW w:type="dxa" w:w="2880"/>
            <w:shd w:val="clear" w:fill="0B5594"/>
          </w:tcPr>
          <w:p>
            <w:pPr>
              <w:jc w:val="left"/>
            </w:pPr>
            <w:r/>
            <w:r>
              <w:rPr>
                <w:rFonts w:ascii="Arial" w:hAnsi="Arial"/>
                <w:b/>
                <w:color w:val="FFFFFF"/>
                <w:sz w:val="19"/>
              </w:rPr>
              <w:t>Technology</w:t>
            </w:r>
          </w:p>
        </w:tc>
        <w:tc>
          <w:tcPr>
            <w:tcW w:type="dxa" w:w="4608"/>
            <w:shd w:val="clear" w:fill="0B5594"/>
          </w:tcPr>
          <w:p>
            <w:pPr>
              <w:jc w:val="left"/>
            </w:pPr>
            <w:r/>
            <w:r>
              <w:rPr>
                <w:rFonts w:ascii="Arial" w:hAnsi="Arial"/>
                <w:b/>
                <w:color w:val="FFFFFF"/>
                <w:sz w:val="19"/>
              </w:rPr>
              <w:t>Purpose</w:t>
            </w:r>
          </w:p>
        </w:tc>
      </w:tr>
      <w:tr>
        <w:tc>
          <w:tcPr>
            <w:tcW w:type="dxa" w:w="1872"/>
          </w:tcPr>
          <w:p>
            <w:r/>
            <w:r>
              <w:rPr>
                <w:rFonts w:ascii="Arial" w:hAnsi="Arial"/>
                <w:sz w:val="18"/>
              </w:rPr>
              <w:t>Runtime</w:t>
            </w:r>
          </w:p>
        </w:tc>
        <w:tc>
          <w:tcPr>
            <w:tcW w:type="dxa" w:w="2880"/>
          </w:tcPr>
          <w:p>
            <w:r/>
            <w:r>
              <w:rPr>
                <w:rFonts w:ascii="Arial" w:hAnsi="Arial"/>
                <w:sz w:val="18"/>
              </w:rPr>
              <w:t>Node.js 20 LTS / NestJS</w:t>
            </w:r>
          </w:p>
        </w:tc>
        <w:tc>
          <w:tcPr>
            <w:tcW w:type="dxa" w:w="4608"/>
          </w:tcPr>
          <w:p>
            <w:r/>
            <w:r>
              <w:rPr>
                <w:rFonts w:ascii="Arial" w:hAnsi="Arial"/>
                <w:sz w:val="18"/>
              </w:rPr>
              <w:t>Application framework with WebSocket + REST support</w:t>
            </w:r>
          </w:p>
        </w:tc>
      </w:tr>
      <w:tr>
        <w:tc>
          <w:tcPr>
            <w:tcW w:type="dxa" w:w="1872"/>
            <w:shd w:val="clear" w:fill="F0F7F4"/>
          </w:tcPr>
          <w:p>
            <w:r/>
            <w:r>
              <w:rPr>
                <w:rFonts w:ascii="Arial" w:hAnsi="Arial"/>
                <w:sz w:val="18"/>
              </w:rPr>
              <w:t>OCPP Transport</w:t>
            </w:r>
          </w:p>
        </w:tc>
        <w:tc>
          <w:tcPr>
            <w:tcW w:type="dxa" w:w="2880"/>
            <w:shd w:val="clear" w:fill="F0F7F4"/>
          </w:tcPr>
          <w:p>
            <w:r/>
            <w:r>
              <w:rPr>
                <w:rFonts w:ascii="Arial" w:hAnsi="Arial"/>
                <w:sz w:val="18"/>
              </w:rPr>
              <w:t>WebSocket (ws/wss)</w:t>
            </w:r>
          </w:p>
        </w:tc>
        <w:tc>
          <w:tcPr>
            <w:tcW w:type="dxa" w:w="4608"/>
            <w:shd w:val="clear" w:fill="F0F7F4"/>
          </w:tcPr>
          <w:p>
            <w:r/>
            <w:r>
              <w:rPr>
                <w:rFonts w:ascii="Arial" w:hAnsi="Arial"/>
                <w:sz w:val="18"/>
              </w:rPr>
              <w:t>Persistent bidirectional charger connections</w:t>
            </w:r>
          </w:p>
        </w:tc>
      </w:tr>
      <w:tr>
        <w:tc>
          <w:tcPr>
            <w:tcW w:type="dxa" w:w="1872"/>
          </w:tcPr>
          <w:p>
            <w:r/>
            <w:r>
              <w:rPr>
                <w:rFonts w:ascii="Arial" w:hAnsi="Arial"/>
                <w:sz w:val="18"/>
              </w:rPr>
              <w:t>OCPI Transport</w:t>
            </w:r>
          </w:p>
        </w:tc>
        <w:tc>
          <w:tcPr>
            <w:tcW w:type="dxa" w:w="2880"/>
          </w:tcPr>
          <w:p>
            <w:r/>
            <w:r>
              <w:rPr>
                <w:rFonts w:ascii="Arial" w:hAnsi="Arial"/>
                <w:sz w:val="18"/>
              </w:rPr>
              <w:t>REST/HTTPS</w:t>
            </w:r>
          </w:p>
        </w:tc>
        <w:tc>
          <w:tcPr>
            <w:tcW w:type="dxa" w:w="4608"/>
          </w:tcPr>
          <w:p>
            <w:r/>
            <w:r>
              <w:rPr>
                <w:rFonts w:ascii="Arial" w:hAnsi="Arial"/>
                <w:sz w:val="18"/>
              </w:rPr>
              <w:t>Roaming partner API communication</w:t>
            </w:r>
          </w:p>
        </w:tc>
      </w:tr>
      <w:tr>
        <w:tc>
          <w:tcPr>
            <w:tcW w:type="dxa" w:w="1872"/>
            <w:shd w:val="clear" w:fill="F0F7F4"/>
          </w:tcPr>
          <w:p>
            <w:r/>
            <w:r>
              <w:rPr>
                <w:rFonts w:ascii="Arial" w:hAnsi="Arial"/>
                <w:sz w:val="18"/>
              </w:rPr>
              <w:t>Primary Database</w:t>
            </w:r>
          </w:p>
        </w:tc>
        <w:tc>
          <w:tcPr>
            <w:tcW w:type="dxa" w:w="2880"/>
            <w:shd w:val="clear" w:fill="F0F7F4"/>
          </w:tcPr>
          <w:p>
            <w:r/>
            <w:r>
              <w:rPr>
                <w:rFonts w:ascii="Arial" w:hAnsi="Arial"/>
                <w:sz w:val="18"/>
              </w:rPr>
              <w:t>PostgreSQL 16</w:t>
            </w:r>
          </w:p>
        </w:tc>
        <w:tc>
          <w:tcPr>
            <w:tcW w:type="dxa" w:w="4608"/>
            <w:shd w:val="clear" w:fill="F0F7F4"/>
          </w:tcPr>
          <w:p>
            <w:r/>
            <w:r>
              <w:rPr>
                <w:rFonts w:ascii="Arial" w:hAnsi="Arial"/>
                <w:sz w:val="18"/>
              </w:rPr>
              <w:t>Core relational data (sessions, tokens, CDRs)</w:t>
            </w:r>
          </w:p>
        </w:tc>
      </w:tr>
      <w:tr>
        <w:tc>
          <w:tcPr>
            <w:tcW w:type="dxa" w:w="1872"/>
          </w:tcPr>
          <w:p>
            <w:r/>
            <w:r>
              <w:rPr>
                <w:rFonts w:ascii="Arial" w:hAnsi="Arial"/>
                <w:sz w:val="18"/>
              </w:rPr>
              <w:t>Time-Series DB</w:t>
            </w:r>
          </w:p>
        </w:tc>
        <w:tc>
          <w:tcPr>
            <w:tcW w:type="dxa" w:w="2880"/>
          </w:tcPr>
          <w:p>
            <w:r/>
            <w:r>
              <w:rPr>
                <w:rFonts w:ascii="Arial" w:hAnsi="Arial"/>
                <w:sz w:val="18"/>
              </w:rPr>
              <w:t>TimescaleDB</w:t>
            </w:r>
          </w:p>
        </w:tc>
        <w:tc>
          <w:tcPr>
            <w:tcW w:type="dxa" w:w="4608"/>
          </w:tcPr>
          <w:p>
            <w:r/>
            <w:r>
              <w:rPr>
                <w:rFonts w:ascii="Arial" w:hAnsi="Arial"/>
                <w:sz w:val="18"/>
              </w:rPr>
              <w:t>Meter values storage with hypertable compression</w:t>
            </w:r>
          </w:p>
        </w:tc>
      </w:tr>
      <w:tr>
        <w:tc>
          <w:tcPr>
            <w:tcW w:type="dxa" w:w="1872"/>
            <w:shd w:val="clear" w:fill="F0F7F4"/>
          </w:tcPr>
          <w:p>
            <w:r/>
            <w:r>
              <w:rPr>
                <w:rFonts w:ascii="Arial" w:hAnsi="Arial"/>
                <w:sz w:val="18"/>
              </w:rPr>
              <w:t>Cache / PubSub</w:t>
            </w:r>
          </w:p>
        </w:tc>
        <w:tc>
          <w:tcPr>
            <w:tcW w:type="dxa" w:w="2880"/>
            <w:shd w:val="clear" w:fill="F0F7F4"/>
          </w:tcPr>
          <w:p>
            <w:r/>
            <w:r>
              <w:rPr>
                <w:rFonts w:ascii="Arial" w:hAnsi="Arial"/>
                <w:sz w:val="18"/>
              </w:rPr>
              <w:t>Redis 7</w:t>
            </w:r>
          </w:p>
        </w:tc>
        <w:tc>
          <w:tcPr>
            <w:tcW w:type="dxa" w:w="4608"/>
            <w:shd w:val="clear" w:fill="F0F7F4"/>
          </w:tcPr>
          <w:p>
            <w:r/>
            <w:r>
              <w:rPr>
                <w:rFonts w:ascii="Arial" w:hAnsi="Arial"/>
                <w:sz w:val="18"/>
              </w:rPr>
              <w:t>Connection registry, auth cache, event pub/sub</w:t>
            </w:r>
          </w:p>
        </w:tc>
      </w:tr>
      <w:tr>
        <w:tc>
          <w:tcPr>
            <w:tcW w:type="dxa" w:w="1872"/>
          </w:tcPr>
          <w:p>
            <w:r/>
            <w:r>
              <w:rPr>
                <w:rFonts w:ascii="Arial" w:hAnsi="Arial"/>
                <w:sz w:val="18"/>
              </w:rPr>
              <w:t>Message Bus</w:t>
            </w:r>
          </w:p>
        </w:tc>
        <w:tc>
          <w:tcPr>
            <w:tcW w:type="dxa" w:w="2880"/>
          </w:tcPr>
          <w:p>
            <w:r/>
            <w:r>
              <w:rPr>
                <w:rFonts w:ascii="Arial" w:hAnsi="Arial"/>
                <w:sz w:val="18"/>
              </w:rPr>
              <w:t>Redis Streams / Kafka</w:t>
            </w:r>
          </w:p>
        </w:tc>
        <w:tc>
          <w:tcPr>
            <w:tcW w:type="dxa" w:w="4608"/>
          </w:tcPr>
          <w:p>
            <w:r/>
            <w:r>
              <w:rPr>
                <w:rFonts w:ascii="Arial" w:hAnsi="Arial"/>
                <w:sz w:val="18"/>
              </w:rPr>
              <w:t>Async event processing and decoupled workflows</w:t>
            </w:r>
          </w:p>
        </w:tc>
      </w:tr>
      <w:tr>
        <w:tc>
          <w:tcPr>
            <w:tcW w:type="dxa" w:w="1872"/>
            <w:shd w:val="clear" w:fill="F0F7F4"/>
          </w:tcPr>
          <w:p>
            <w:r/>
            <w:r>
              <w:rPr>
                <w:rFonts w:ascii="Arial" w:hAnsi="Arial"/>
                <w:sz w:val="18"/>
              </w:rPr>
              <w:t>Containerization</w:t>
            </w:r>
          </w:p>
        </w:tc>
        <w:tc>
          <w:tcPr>
            <w:tcW w:type="dxa" w:w="2880"/>
            <w:shd w:val="clear" w:fill="F0F7F4"/>
          </w:tcPr>
          <w:p>
            <w:r/>
            <w:r>
              <w:rPr>
                <w:rFonts w:ascii="Arial" w:hAnsi="Arial"/>
                <w:sz w:val="18"/>
              </w:rPr>
              <w:t>Docker / Kubernetes</w:t>
            </w:r>
          </w:p>
        </w:tc>
        <w:tc>
          <w:tcPr>
            <w:tcW w:type="dxa" w:w="4608"/>
            <w:shd w:val="clear" w:fill="F0F7F4"/>
          </w:tcPr>
          <w:p>
            <w:r/>
            <w:r>
              <w:rPr>
                <w:rFonts w:ascii="Arial" w:hAnsi="Arial"/>
                <w:sz w:val="18"/>
              </w:rPr>
              <w:t>Container orchestration and scaling</w:t>
            </w:r>
          </w:p>
        </w:tc>
      </w:tr>
      <w:tr>
        <w:tc>
          <w:tcPr>
            <w:tcW w:type="dxa" w:w="1872"/>
          </w:tcPr>
          <w:p>
            <w:r/>
            <w:r>
              <w:rPr>
                <w:rFonts w:ascii="Arial" w:hAnsi="Arial"/>
                <w:sz w:val="18"/>
              </w:rPr>
              <w:t>Monitoring</w:t>
            </w:r>
          </w:p>
        </w:tc>
        <w:tc>
          <w:tcPr>
            <w:tcW w:type="dxa" w:w="2880"/>
          </w:tcPr>
          <w:p>
            <w:r/>
            <w:r>
              <w:rPr>
                <w:rFonts w:ascii="Arial" w:hAnsi="Arial"/>
                <w:sz w:val="18"/>
              </w:rPr>
              <w:t>Prometheus + Grafana</w:t>
            </w:r>
          </w:p>
        </w:tc>
        <w:tc>
          <w:tcPr>
            <w:tcW w:type="dxa" w:w="4608"/>
          </w:tcPr>
          <w:p>
            <w:r/>
            <w:r>
              <w:rPr>
                <w:rFonts w:ascii="Arial" w:hAnsi="Arial"/>
                <w:sz w:val="18"/>
              </w:rPr>
              <w:t>Metrics, alerting, and dashboards</w:t>
            </w:r>
          </w:p>
        </w:tc>
      </w:tr>
      <w:tr>
        <w:tc>
          <w:tcPr>
            <w:tcW w:type="dxa" w:w="1872"/>
            <w:shd w:val="clear" w:fill="F0F7F4"/>
          </w:tcPr>
          <w:p>
            <w:r/>
            <w:r>
              <w:rPr>
                <w:rFonts w:ascii="Arial" w:hAnsi="Arial"/>
                <w:sz w:val="18"/>
              </w:rPr>
              <w:t>Logging</w:t>
            </w:r>
          </w:p>
        </w:tc>
        <w:tc>
          <w:tcPr>
            <w:tcW w:type="dxa" w:w="2880"/>
            <w:shd w:val="clear" w:fill="F0F7F4"/>
          </w:tcPr>
          <w:p>
            <w:r/>
            <w:r>
              <w:rPr>
                <w:rFonts w:ascii="Arial" w:hAnsi="Arial"/>
                <w:sz w:val="18"/>
              </w:rPr>
              <w:t>ELK Stack / Loki</w:t>
            </w:r>
          </w:p>
        </w:tc>
        <w:tc>
          <w:tcPr>
            <w:tcW w:type="dxa" w:w="4608"/>
            <w:shd w:val="clear" w:fill="F0F7F4"/>
          </w:tcPr>
          <w:p>
            <w:r/>
            <w:r>
              <w:rPr>
                <w:rFonts w:ascii="Arial" w:hAnsi="Arial"/>
                <w:sz w:val="18"/>
              </w:rPr>
              <w:t>Centralized log aggregation and analysis</w:t>
            </w:r>
          </w:p>
        </w:tc>
      </w:tr>
      <w:tr>
        <w:tc>
          <w:tcPr>
            <w:tcW w:type="dxa" w:w="1872"/>
          </w:tcPr>
          <w:p>
            <w:r/>
            <w:r>
              <w:rPr>
                <w:rFonts w:ascii="Arial" w:hAnsi="Arial"/>
                <w:sz w:val="18"/>
              </w:rPr>
              <w:t>CI/CD</w:t>
            </w:r>
          </w:p>
        </w:tc>
        <w:tc>
          <w:tcPr>
            <w:tcW w:type="dxa" w:w="2880"/>
          </w:tcPr>
          <w:p>
            <w:r/>
            <w:r>
              <w:rPr>
                <w:rFonts w:ascii="Arial" w:hAnsi="Arial"/>
                <w:sz w:val="18"/>
              </w:rPr>
              <w:t>GitHub Actions</w:t>
            </w:r>
          </w:p>
        </w:tc>
        <w:tc>
          <w:tcPr>
            <w:tcW w:type="dxa" w:w="4608"/>
          </w:tcPr>
          <w:p>
            <w:r/>
            <w:r>
              <w:rPr>
                <w:rFonts w:ascii="Arial" w:hAnsi="Arial"/>
                <w:sz w:val="18"/>
              </w:rPr>
              <w:t>Automated testing, building, and deployment</w:t>
            </w:r>
          </w:p>
        </w:tc>
      </w:tr>
    </w:tbl>
    <w:p>
      <w:pPr>
        <w:pStyle w:val="Heading2"/>
      </w:pPr>
      <w:r>
        <w:t>2.3 Key Design Principles</w:t>
      </w:r>
    </w:p>
    <w:p>
      <w:pPr>
        <w:pStyle w:val="ListBullet"/>
      </w:pPr>
      <w:r>
        <w:rPr>
          <w:rFonts w:ascii="Arial" w:hAnsi="Arial"/>
          <w:b/>
          <w:sz w:val="20"/>
        </w:rPr>
        <w:t xml:space="preserve">Event-Driven Architecture: </w:t>
      </w:r>
      <w:r>
        <w:rPr>
          <w:rFonts w:ascii="Arial" w:hAnsi="Arial"/>
          <w:sz w:val="20"/>
        </w:rPr>
        <w:t>OCPP messages trigger events consumed by multiple services independently. A StatusNotification from a charger publishes an event that the session manager, OCPI sync service, and monitoring dashboard all process in parallel.</w:t>
      </w:r>
    </w:p>
    <w:p>
      <w:pPr>
        <w:pStyle w:val="ListBullet"/>
      </w:pPr>
      <w:r>
        <w:rPr>
          <w:rFonts w:ascii="Arial" w:hAnsi="Arial"/>
          <w:b/>
          <w:sz w:val="20"/>
        </w:rPr>
        <w:t xml:space="preserve">Dual Protocol Support: </w:t>
      </w:r>
      <w:r>
        <w:rPr>
          <w:rFonts w:ascii="Arial" w:hAnsi="Arial"/>
          <w:sz w:val="20"/>
        </w:rPr>
        <w:t>The system supports OCPP 1.6J and 2.0.1 simultaneously by detecting the WebSocket subprotocol header during connection handshake. A protocol adapter layer normalizes both versions into a common internal event format.</w:t>
      </w:r>
    </w:p>
    <w:p>
      <w:pPr>
        <w:pStyle w:val="ListBullet"/>
      </w:pPr>
      <w:r>
        <w:rPr>
          <w:rFonts w:ascii="Arial" w:hAnsi="Arial"/>
          <w:b/>
          <w:sz w:val="20"/>
        </w:rPr>
        <w:t xml:space="preserve">Idempotency: </w:t>
      </w:r>
      <w:r>
        <w:rPr>
          <w:rFonts w:ascii="Arial" w:hAnsi="Arial"/>
          <w:sz w:val="20"/>
        </w:rPr>
        <w:t>Every OCPP message carries a unique messageId used for deduplication, ensuring safe retry of lost or duplicate messages.</w:t>
      </w:r>
    </w:p>
    <w:p>
      <w:pPr>
        <w:pStyle w:val="ListBullet"/>
      </w:pPr>
      <w:r>
        <w:rPr>
          <w:rFonts w:ascii="Arial" w:hAnsi="Arial"/>
          <w:b/>
          <w:sz w:val="20"/>
        </w:rPr>
        <w:t xml:space="preserve">Offline Resilience: </w:t>
      </w:r>
      <w:r>
        <w:rPr>
          <w:rFonts w:ascii="Arial" w:hAnsi="Arial"/>
          <w:sz w:val="20"/>
        </w:rPr>
        <w:t>Authorization decisions are cached locally on chargers via the OCPP LocalAuthList and AuthorizationCache mechanisms. When the CSMS is unreachable, chargers can authorize known tokens independently.</w:t>
      </w:r>
    </w:p>
    <w:p>
      <w:pPr>
        <w:pStyle w:val="ListBullet"/>
      </w:pPr>
      <w:r>
        <w:rPr>
          <w:rFonts w:ascii="Arial" w:hAnsi="Arial"/>
          <w:b/>
          <w:sz w:val="20"/>
        </w:rPr>
        <w:t xml:space="preserve">Horizontal Scalability: </w:t>
      </w:r>
      <w:r>
        <w:rPr>
          <w:rFonts w:ascii="Arial" w:hAnsi="Arial"/>
          <w:sz w:val="20"/>
        </w:rPr>
        <w:t>WebSocket connections are distributed across multiple server instances with a shared connection registry in Redis. Any server can send commands to any charger.</w:t>
      </w:r>
    </w:p>
    <w:p>
      <w:r>
        <w:br w:type="page"/>
      </w:r>
    </w:p>
    <w:p>
      <w:pPr>
        <w:pStyle w:val="Heading1"/>
      </w:pPr>
      <w:r>
        <w:t>3. Protocol Overview</w:t>
      </w:r>
    </w:p>
    <w:p>
      <w:pPr>
        <w:pStyle w:val="Heading2"/>
      </w:pPr>
      <w:r>
        <w:t>3.1 OCPP (Open Charge Point Protocol)</w:t>
      </w:r>
    </w:p>
    <w:p>
      <w:r>
        <w:t>OCPP is the communication standard between Charging Stations (CS) and the CSMS backend. It uses JSON payloads over persistent WebSocket connections, enabling full-duplex communication where both the charger and backend can initiate messages.</w:t>
      </w:r>
    </w:p>
    <w:p>
      <w:pPr>
        <w:pStyle w:val="Heading3"/>
      </w:pPr>
      <w:r>
        <w:t>3.1.1 OCPP Version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0B5594"/>
          </w:tcPr>
          <w:p>
            <w:pPr>
              <w:jc w:val="left"/>
            </w:pPr>
            <w:r/>
            <w:r>
              <w:rPr>
                <w:rFonts w:ascii="Arial" w:hAnsi="Arial"/>
                <w:b/>
                <w:color w:val="FFFFFF"/>
                <w:sz w:val="19"/>
              </w:rPr>
              <w:t>Feature</w:t>
            </w:r>
          </w:p>
        </w:tc>
        <w:tc>
          <w:tcPr>
            <w:tcW w:type="dxa" w:w="3168"/>
            <w:shd w:val="clear" w:fill="0B5594"/>
          </w:tcPr>
          <w:p>
            <w:pPr>
              <w:jc w:val="left"/>
            </w:pPr>
            <w:r/>
            <w:r>
              <w:rPr>
                <w:rFonts w:ascii="Arial" w:hAnsi="Arial"/>
                <w:b/>
                <w:color w:val="FFFFFF"/>
                <w:sz w:val="19"/>
              </w:rPr>
              <w:t>OCPP 1.6J</w:t>
            </w:r>
          </w:p>
        </w:tc>
        <w:tc>
          <w:tcPr>
            <w:tcW w:type="dxa" w:w="3600"/>
            <w:shd w:val="clear" w:fill="0B5594"/>
          </w:tcPr>
          <w:p>
            <w:pPr>
              <w:jc w:val="left"/>
            </w:pPr>
            <w:r/>
            <w:r>
              <w:rPr>
                <w:rFonts w:ascii="Arial" w:hAnsi="Arial"/>
                <w:b/>
                <w:color w:val="FFFFFF"/>
                <w:sz w:val="19"/>
              </w:rPr>
              <w:t>OCPP 2.0.1</w:t>
            </w:r>
          </w:p>
        </w:tc>
      </w:tr>
      <w:tr>
        <w:tc>
          <w:tcPr>
            <w:tcW w:type="dxa" w:w="2592"/>
          </w:tcPr>
          <w:p>
            <w:r/>
            <w:r>
              <w:rPr>
                <w:rFonts w:ascii="Arial" w:hAnsi="Arial"/>
                <w:sz w:val="18"/>
              </w:rPr>
              <w:t>Transport</w:t>
            </w:r>
          </w:p>
        </w:tc>
        <w:tc>
          <w:tcPr>
            <w:tcW w:type="dxa" w:w="3168"/>
          </w:tcPr>
          <w:p>
            <w:r/>
            <w:r>
              <w:rPr>
                <w:rFonts w:ascii="Arial" w:hAnsi="Arial"/>
                <w:sz w:val="18"/>
              </w:rPr>
              <w:t>JSON over WebSocket</w:t>
            </w:r>
          </w:p>
        </w:tc>
        <w:tc>
          <w:tcPr>
            <w:tcW w:type="dxa" w:w="3600"/>
          </w:tcPr>
          <w:p>
            <w:r/>
            <w:r>
              <w:rPr>
                <w:rFonts w:ascii="Arial" w:hAnsi="Arial"/>
                <w:sz w:val="18"/>
              </w:rPr>
              <w:t>JSON over WebSocket</w:t>
            </w:r>
          </w:p>
        </w:tc>
      </w:tr>
      <w:tr>
        <w:tc>
          <w:tcPr>
            <w:tcW w:type="dxa" w:w="2592"/>
            <w:shd w:val="clear" w:fill="F0F7F4"/>
          </w:tcPr>
          <w:p>
            <w:r/>
            <w:r>
              <w:rPr>
                <w:rFonts w:ascii="Arial" w:hAnsi="Arial"/>
                <w:sz w:val="18"/>
              </w:rPr>
              <w:t>Device Model</w:t>
            </w:r>
          </w:p>
        </w:tc>
        <w:tc>
          <w:tcPr>
            <w:tcW w:type="dxa" w:w="3168"/>
            <w:shd w:val="clear" w:fill="F0F7F4"/>
          </w:tcPr>
          <w:p>
            <w:r/>
            <w:r>
              <w:rPr>
                <w:rFonts w:ascii="Arial" w:hAnsi="Arial"/>
                <w:sz w:val="18"/>
              </w:rPr>
              <w:t>Flat (ChargePoint + Connectors)</w:t>
            </w:r>
          </w:p>
        </w:tc>
        <w:tc>
          <w:tcPr>
            <w:tcW w:type="dxa" w:w="3600"/>
            <w:shd w:val="clear" w:fill="F0F7F4"/>
          </w:tcPr>
          <w:p>
            <w:r/>
            <w:r>
              <w:rPr>
                <w:rFonts w:ascii="Arial" w:hAnsi="Arial"/>
                <w:sz w:val="18"/>
              </w:rPr>
              <w:t>3-tier (Station &gt; EVSE &gt; Connector)</w:t>
            </w:r>
          </w:p>
        </w:tc>
      </w:tr>
      <w:tr>
        <w:tc>
          <w:tcPr>
            <w:tcW w:type="dxa" w:w="2592"/>
          </w:tcPr>
          <w:p>
            <w:r/>
            <w:r>
              <w:rPr>
                <w:rFonts w:ascii="Arial" w:hAnsi="Arial"/>
                <w:sz w:val="18"/>
              </w:rPr>
              <w:t>Authorization Token</w:t>
            </w:r>
          </w:p>
        </w:tc>
        <w:tc>
          <w:tcPr>
            <w:tcW w:type="dxa" w:w="3168"/>
          </w:tcPr>
          <w:p>
            <w:r/>
            <w:r>
              <w:rPr>
                <w:rFonts w:ascii="Arial" w:hAnsi="Arial"/>
                <w:sz w:val="18"/>
              </w:rPr>
              <w:t>Simple idTag string (max 20 chars)</w:t>
            </w:r>
          </w:p>
        </w:tc>
        <w:tc>
          <w:tcPr>
            <w:tcW w:type="dxa" w:w="3600"/>
          </w:tcPr>
          <w:p>
            <w:r/>
            <w:r>
              <w:rPr>
                <w:rFonts w:ascii="Arial" w:hAnsi="Arial"/>
                <w:sz w:val="18"/>
              </w:rPr>
              <w:t>Rich IdToken with type enum</w:t>
            </w:r>
          </w:p>
        </w:tc>
      </w:tr>
      <w:tr>
        <w:tc>
          <w:tcPr>
            <w:tcW w:type="dxa" w:w="2592"/>
            <w:shd w:val="clear" w:fill="F0F7F4"/>
          </w:tcPr>
          <w:p>
            <w:r/>
            <w:r>
              <w:rPr>
                <w:rFonts w:ascii="Arial" w:hAnsi="Arial"/>
                <w:sz w:val="18"/>
              </w:rPr>
              <w:t>Transaction Messages</w:t>
            </w:r>
          </w:p>
        </w:tc>
        <w:tc>
          <w:tcPr>
            <w:tcW w:type="dxa" w:w="3168"/>
            <w:shd w:val="clear" w:fill="F0F7F4"/>
          </w:tcPr>
          <w:p>
            <w:r/>
            <w:r>
              <w:rPr>
                <w:rFonts w:ascii="Arial" w:hAnsi="Arial"/>
                <w:sz w:val="18"/>
              </w:rPr>
              <w:t>StartTransaction + StopTransaction</w:t>
            </w:r>
          </w:p>
        </w:tc>
        <w:tc>
          <w:tcPr>
            <w:tcW w:type="dxa" w:w="3600"/>
            <w:shd w:val="clear" w:fill="F0F7F4"/>
          </w:tcPr>
          <w:p>
            <w:r/>
            <w:r>
              <w:rPr>
                <w:rFonts w:ascii="Arial" w:hAnsi="Arial"/>
                <w:sz w:val="18"/>
              </w:rPr>
              <w:t>Unified TransactionEvent</w:t>
            </w:r>
          </w:p>
        </w:tc>
      </w:tr>
      <w:tr>
        <w:tc>
          <w:tcPr>
            <w:tcW w:type="dxa" w:w="2592"/>
          </w:tcPr>
          <w:p>
            <w:r/>
            <w:r>
              <w:rPr>
                <w:rFonts w:ascii="Arial" w:hAnsi="Arial"/>
                <w:sz w:val="18"/>
              </w:rPr>
              <w:t>ISO 15118 Support</w:t>
            </w:r>
          </w:p>
        </w:tc>
        <w:tc>
          <w:tcPr>
            <w:tcW w:type="dxa" w:w="3168"/>
          </w:tcPr>
          <w:p>
            <w:r/>
            <w:r>
              <w:rPr>
                <w:rFonts w:ascii="Arial" w:hAnsi="Arial"/>
                <w:sz w:val="18"/>
              </w:rPr>
              <w:t>Limited (via DataTransfer)</w:t>
            </w:r>
          </w:p>
        </w:tc>
        <w:tc>
          <w:tcPr>
            <w:tcW w:type="dxa" w:w="3600"/>
          </w:tcPr>
          <w:p>
            <w:r/>
            <w:r>
              <w:rPr>
                <w:rFonts w:ascii="Arial" w:hAnsi="Arial"/>
                <w:sz w:val="18"/>
              </w:rPr>
              <w:t>Native Plug &amp; Charge support</w:t>
            </w:r>
          </w:p>
        </w:tc>
      </w:tr>
      <w:tr>
        <w:tc>
          <w:tcPr>
            <w:tcW w:type="dxa" w:w="2592"/>
            <w:shd w:val="clear" w:fill="F0F7F4"/>
          </w:tcPr>
          <w:p>
            <w:r/>
            <w:r>
              <w:rPr>
                <w:rFonts w:ascii="Arial" w:hAnsi="Arial"/>
                <w:sz w:val="18"/>
              </w:rPr>
              <w:t>Security</w:t>
            </w:r>
          </w:p>
        </w:tc>
        <w:tc>
          <w:tcPr>
            <w:tcW w:type="dxa" w:w="3168"/>
            <w:shd w:val="clear" w:fill="F0F7F4"/>
          </w:tcPr>
          <w:p>
            <w:r/>
            <w:r>
              <w:rPr>
                <w:rFonts w:ascii="Arial" w:hAnsi="Arial"/>
                <w:sz w:val="18"/>
              </w:rPr>
              <w:t>Basic Auth or TLS</w:t>
            </w:r>
          </w:p>
        </w:tc>
        <w:tc>
          <w:tcPr>
            <w:tcW w:type="dxa" w:w="3600"/>
            <w:shd w:val="clear" w:fill="F0F7F4"/>
          </w:tcPr>
          <w:p>
            <w:r/>
            <w:r>
              <w:rPr>
                <w:rFonts w:ascii="Arial" w:hAnsi="Arial"/>
                <w:sz w:val="18"/>
              </w:rPr>
              <w:t>Security Profiles 0-3 with mTLS</w:t>
            </w:r>
          </w:p>
        </w:tc>
      </w:tr>
      <w:tr>
        <w:tc>
          <w:tcPr>
            <w:tcW w:type="dxa" w:w="2592"/>
          </w:tcPr>
          <w:p>
            <w:r/>
            <w:r>
              <w:rPr>
                <w:rFonts w:ascii="Arial" w:hAnsi="Arial"/>
                <w:sz w:val="18"/>
              </w:rPr>
              <w:t>Smart Charging</w:t>
            </w:r>
          </w:p>
        </w:tc>
        <w:tc>
          <w:tcPr>
            <w:tcW w:type="dxa" w:w="3168"/>
          </w:tcPr>
          <w:p>
            <w:r/>
            <w:r>
              <w:rPr>
                <w:rFonts w:ascii="Arial" w:hAnsi="Arial"/>
                <w:sz w:val="18"/>
              </w:rPr>
              <w:t>Basic profiles</w:t>
            </w:r>
          </w:p>
        </w:tc>
        <w:tc>
          <w:tcPr>
            <w:tcW w:type="dxa" w:w="3600"/>
          </w:tcPr>
          <w:p>
            <w:r/>
            <w:r>
              <w:rPr>
                <w:rFonts w:ascii="Arial" w:hAnsi="Arial"/>
                <w:sz w:val="18"/>
              </w:rPr>
              <w:t>EV needs/schedule communication</w:t>
            </w:r>
          </w:p>
        </w:tc>
      </w:tr>
      <w:tr>
        <w:tc>
          <w:tcPr>
            <w:tcW w:type="dxa" w:w="2592"/>
            <w:shd w:val="clear" w:fill="F0F7F4"/>
          </w:tcPr>
          <w:p>
            <w:r/>
            <w:r>
              <w:rPr>
                <w:rFonts w:ascii="Arial" w:hAnsi="Arial"/>
                <w:sz w:val="18"/>
              </w:rPr>
              <w:t>Meter Values</w:t>
            </w:r>
          </w:p>
        </w:tc>
        <w:tc>
          <w:tcPr>
            <w:tcW w:type="dxa" w:w="3168"/>
            <w:shd w:val="clear" w:fill="F0F7F4"/>
          </w:tcPr>
          <w:p>
            <w:r/>
            <w:r>
              <w:rPr>
                <w:rFonts w:ascii="Arial" w:hAnsi="Arial"/>
                <w:sz w:val="18"/>
              </w:rPr>
              <w:t>Separate MeterValues message</w:t>
            </w:r>
          </w:p>
        </w:tc>
        <w:tc>
          <w:tcPr>
            <w:tcW w:type="dxa" w:w="3600"/>
            <w:shd w:val="clear" w:fill="F0F7F4"/>
          </w:tcPr>
          <w:p>
            <w:r/>
            <w:r>
              <w:rPr>
                <w:rFonts w:ascii="Arial" w:hAnsi="Arial"/>
                <w:sz w:val="18"/>
              </w:rPr>
              <w:t>Embedded in TransactionEvent</w:t>
            </w:r>
          </w:p>
        </w:tc>
      </w:tr>
      <w:tr>
        <w:tc>
          <w:tcPr>
            <w:tcW w:type="dxa" w:w="2592"/>
          </w:tcPr>
          <w:p>
            <w:r/>
            <w:r>
              <w:rPr>
                <w:rFonts w:ascii="Arial" w:hAnsi="Arial"/>
                <w:sz w:val="18"/>
              </w:rPr>
              <w:t>Configuration</w:t>
            </w:r>
          </w:p>
        </w:tc>
        <w:tc>
          <w:tcPr>
            <w:tcW w:type="dxa" w:w="3168"/>
          </w:tcPr>
          <w:p>
            <w:r/>
            <w:r>
              <w:rPr>
                <w:rFonts w:ascii="Arial" w:hAnsi="Arial"/>
                <w:sz w:val="18"/>
              </w:rPr>
              <w:t>Flat key-value pairs</w:t>
            </w:r>
          </w:p>
        </w:tc>
        <w:tc>
          <w:tcPr>
            <w:tcW w:type="dxa" w:w="3600"/>
          </w:tcPr>
          <w:p>
            <w:r/>
            <w:r>
              <w:rPr>
                <w:rFonts w:ascii="Arial" w:hAnsi="Arial"/>
                <w:sz w:val="18"/>
              </w:rPr>
              <w:t>Structured Component/Variable model</w:t>
            </w:r>
          </w:p>
        </w:tc>
      </w:tr>
      <w:tr>
        <w:tc>
          <w:tcPr>
            <w:tcW w:type="dxa" w:w="2592"/>
            <w:shd w:val="clear" w:fill="F0F7F4"/>
          </w:tcPr>
          <w:p>
            <w:r/>
            <w:r>
              <w:rPr>
                <w:rFonts w:ascii="Arial" w:hAnsi="Arial"/>
                <w:sz w:val="18"/>
              </w:rPr>
              <w:t>Industry Adoption</w:t>
            </w:r>
          </w:p>
        </w:tc>
        <w:tc>
          <w:tcPr>
            <w:tcW w:type="dxa" w:w="3168"/>
            <w:shd w:val="clear" w:fill="F0F7F4"/>
          </w:tcPr>
          <w:p>
            <w:r/>
            <w:r>
              <w:rPr>
                <w:rFonts w:ascii="Arial" w:hAnsi="Arial"/>
                <w:sz w:val="18"/>
              </w:rPr>
              <w:t>Most widely deployed globally</w:t>
            </w:r>
          </w:p>
        </w:tc>
        <w:tc>
          <w:tcPr>
            <w:tcW w:type="dxa" w:w="3600"/>
            <w:shd w:val="clear" w:fill="F0F7F4"/>
          </w:tcPr>
          <w:p>
            <w:r/>
            <w:r>
              <w:rPr>
                <w:rFonts w:ascii="Arial" w:hAnsi="Arial"/>
                <w:sz w:val="18"/>
              </w:rPr>
              <w:t>Required for US NEVI funding</w:t>
            </w:r>
          </w:p>
        </w:tc>
      </w:tr>
    </w:tbl>
    <w:p>
      <w:pPr>
        <w:pStyle w:val="Heading3"/>
      </w:pPr>
      <w:r>
        <w:t>3.1.2 OCPP Message Envelope</w:t>
      </w:r>
    </w:p>
    <w:p>
      <w:r>
        <w:t>All OCPP JSON messages use a simple array-based envelope format:</w:t>
      </w:r>
    </w:p>
    <w:p>
      <w:pPr>
        <w:shd w:val="clear" w:fill="F5F7F6"/>
        <w:spacing w:before="80" w:after="80"/>
        <w:ind w:left="432"/>
      </w:pPr>
      <w:r>
        <w:rPr>
          <w:rFonts w:ascii="Consolas" w:hAnsi="Consolas"/>
          <w:color w:val="1A2332"/>
          <w:sz w:val="17"/>
        </w:rPr>
        <w:t>Request (Call):        [2, "messageId", "Action", {payload}]</w:t>
        <w:br/>
        <w:t>Response (CallResult): [3, "messageId", {payload}]</w:t>
        <w:br/>
        <w:t>Error (CallError):     [4, "messageId", "errorCode", "errorDescription", {details}]</w:t>
        <w:br/>
      </w:r>
    </w:p>
    <w:p>
      <w:pPr>
        <w:pStyle w:val="Heading2"/>
      </w:pPr>
      <w:r>
        <w:t>3.2 OCPI (Open Charge Point Interface)</w:t>
      </w:r>
    </w:p>
    <w:p>
      <w:r>
        <w:t>OCPI 2.2.1 is the REST-based protocol for communication between CPOs and eMSPs, enabling EV roaming. It uses both pull (periodic polling) and push (real-time updates) mechanisms for data synchronization.</w:t>
      </w:r>
    </w:p>
    <w:p>
      <w:pPr>
        <w:pStyle w:val="Heading3"/>
      </w:pPr>
      <w:r>
        <w:t>3.2.1 OCPI Modules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0B5594"/>
          </w:tcPr>
          <w:p>
            <w:pPr>
              <w:jc w:val="left"/>
            </w:pPr>
            <w:r/>
            <w:r>
              <w:rPr>
                <w:rFonts w:ascii="Arial" w:hAnsi="Arial"/>
                <w:b/>
                <w:color w:val="FFFFFF"/>
                <w:sz w:val="19"/>
              </w:rPr>
              <w:t>Module</w:t>
            </w:r>
          </w:p>
        </w:tc>
        <w:tc>
          <w:tcPr>
            <w:tcW w:type="dxa" w:w="1152"/>
            <w:shd w:val="clear" w:fill="0B5594"/>
          </w:tcPr>
          <w:p>
            <w:pPr>
              <w:jc w:val="left"/>
            </w:pPr>
            <w:r/>
            <w:r>
              <w:rPr>
                <w:rFonts w:ascii="Arial" w:hAnsi="Arial"/>
                <w:b/>
                <w:color w:val="FFFFFF"/>
                <w:sz w:val="19"/>
              </w:rPr>
              <w:t>Owner</w:t>
            </w:r>
          </w:p>
        </w:tc>
        <w:tc>
          <w:tcPr>
            <w:tcW w:type="dxa" w:w="6048"/>
            <w:shd w:val="clear" w:fill="0B5594"/>
          </w:tcPr>
          <w:p>
            <w:pPr>
              <w:jc w:val="left"/>
            </w:pPr>
            <w:r/>
            <w:r>
              <w:rPr>
                <w:rFonts w:ascii="Arial" w:hAnsi="Arial"/>
                <w:b/>
                <w:color w:val="FFFFFF"/>
                <w:sz w:val="19"/>
              </w:rPr>
              <w:t>Description</w:t>
            </w:r>
          </w:p>
        </w:tc>
      </w:tr>
      <w:tr>
        <w:tc>
          <w:tcPr>
            <w:tcW w:type="dxa" w:w="2160"/>
          </w:tcPr>
          <w:p>
            <w:r/>
            <w:r>
              <w:rPr>
                <w:rFonts w:ascii="Arial" w:hAnsi="Arial"/>
                <w:sz w:val="18"/>
              </w:rPr>
              <w:t>Credentials</w:t>
            </w:r>
          </w:p>
        </w:tc>
        <w:tc>
          <w:tcPr>
            <w:tcW w:type="dxa" w:w="1152"/>
          </w:tcPr>
          <w:p>
            <w:r/>
            <w:r>
              <w:rPr>
                <w:rFonts w:ascii="Arial" w:hAnsi="Arial"/>
                <w:sz w:val="18"/>
              </w:rPr>
              <w:t>Both</w:t>
            </w:r>
          </w:p>
        </w:tc>
        <w:tc>
          <w:tcPr>
            <w:tcW w:type="dxa" w:w="6048"/>
          </w:tcPr>
          <w:p>
            <w:r/>
            <w:r>
              <w:rPr>
                <w:rFonts w:ascii="Arial" w:hAnsi="Arial"/>
                <w:sz w:val="18"/>
              </w:rPr>
              <w:t>Registration and mutual authentication between parties</w:t>
            </w:r>
          </w:p>
        </w:tc>
      </w:tr>
      <w:tr>
        <w:tc>
          <w:tcPr>
            <w:tcW w:type="dxa" w:w="2160"/>
            <w:shd w:val="clear" w:fill="F0F7F4"/>
          </w:tcPr>
          <w:p>
            <w:r/>
            <w:r>
              <w:rPr>
                <w:rFonts w:ascii="Arial" w:hAnsi="Arial"/>
                <w:sz w:val="18"/>
              </w:rPr>
              <w:t>Locations</w:t>
            </w:r>
          </w:p>
        </w:tc>
        <w:tc>
          <w:tcPr>
            <w:tcW w:type="dxa" w:w="1152"/>
            <w:shd w:val="clear" w:fill="F0F7F4"/>
          </w:tcPr>
          <w:p>
            <w:r/>
            <w:r>
              <w:rPr>
                <w:rFonts w:ascii="Arial" w:hAnsi="Arial"/>
                <w:sz w:val="18"/>
              </w:rPr>
              <w:t>CPO</w:t>
            </w:r>
          </w:p>
        </w:tc>
        <w:tc>
          <w:tcPr>
            <w:tcW w:type="dxa" w:w="6048"/>
            <w:shd w:val="clear" w:fill="F0F7F4"/>
          </w:tcPr>
          <w:p>
            <w:r/>
            <w:r>
              <w:rPr>
                <w:rFonts w:ascii="Arial" w:hAnsi="Arial"/>
                <w:sz w:val="18"/>
              </w:rPr>
              <w:t>Charge point locations, EVSEs, connectors, and real-time status</w:t>
            </w:r>
          </w:p>
        </w:tc>
      </w:tr>
      <w:tr>
        <w:tc>
          <w:tcPr>
            <w:tcW w:type="dxa" w:w="2160"/>
          </w:tcPr>
          <w:p>
            <w:r/>
            <w:r>
              <w:rPr>
                <w:rFonts w:ascii="Arial" w:hAnsi="Arial"/>
                <w:sz w:val="18"/>
              </w:rPr>
              <w:t>Sessions</w:t>
            </w:r>
          </w:p>
        </w:tc>
        <w:tc>
          <w:tcPr>
            <w:tcW w:type="dxa" w:w="1152"/>
          </w:tcPr>
          <w:p>
            <w:r/>
            <w:r>
              <w:rPr>
                <w:rFonts w:ascii="Arial" w:hAnsi="Arial"/>
                <w:sz w:val="18"/>
              </w:rPr>
              <w:t>CPO</w:t>
            </w:r>
          </w:p>
        </w:tc>
        <w:tc>
          <w:tcPr>
            <w:tcW w:type="dxa" w:w="6048"/>
          </w:tcPr>
          <w:p>
            <w:r/>
            <w:r>
              <w:rPr>
                <w:rFonts w:ascii="Arial" w:hAnsi="Arial"/>
                <w:sz w:val="18"/>
              </w:rPr>
              <w:t>Real-time charging session data pushed to eMSP during charging</w:t>
            </w:r>
          </w:p>
        </w:tc>
      </w:tr>
      <w:tr>
        <w:tc>
          <w:tcPr>
            <w:tcW w:type="dxa" w:w="2160"/>
            <w:shd w:val="clear" w:fill="F0F7F4"/>
          </w:tcPr>
          <w:p>
            <w:r/>
            <w:r>
              <w:rPr>
                <w:rFonts w:ascii="Arial" w:hAnsi="Arial"/>
                <w:sz w:val="18"/>
              </w:rPr>
              <w:t>CDRs</w:t>
            </w:r>
          </w:p>
        </w:tc>
        <w:tc>
          <w:tcPr>
            <w:tcW w:type="dxa" w:w="1152"/>
            <w:shd w:val="clear" w:fill="F0F7F4"/>
          </w:tcPr>
          <w:p>
            <w:r/>
            <w:r>
              <w:rPr>
                <w:rFonts w:ascii="Arial" w:hAnsi="Arial"/>
                <w:sz w:val="18"/>
              </w:rPr>
              <w:t>CPO</w:t>
            </w:r>
          </w:p>
        </w:tc>
        <w:tc>
          <w:tcPr>
            <w:tcW w:type="dxa" w:w="6048"/>
            <w:shd w:val="clear" w:fill="F0F7F4"/>
          </w:tcPr>
          <w:p>
            <w:r/>
            <w:r>
              <w:rPr>
                <w:rFonts w:ascii="Arial" w:hAnsi="Arial"/>
                <w:sz w:val="18"/>
              </w:rPr>
              <w:t>Charge Detail Records for billing after session completion</w:t>
            </w:r>
          </w:p>
        </w:tc>
      </w:tr>
      <w:tr>
        <w:tc>
          <w:tcPr>
            <w:tcW w:type="dxa" w:w="2160"/>
          </w:tcPr>
          <w:p>
            <w:r/>
            <w:r>
              <w:rPr>
                <w:rFonts w:ascii="Arial" w:hAnsi="Arial"/>
                <w:sz w:val="18"/>
              </w:rPr>
              <w:t>Tariffs</w:t>
            </w:r>
          </w:p>
        </w:tc>
        <w:tc>
          <w:tcPr>
            <w:tcW w:type="dxa" w:w="1152"/>
          </w:tcPr>
          <w:p>
            <w:r/>
            <w:r>
              <w:rPr>
                <w:rFonts w:ascii="Arial" w:hAnsi="Arial"/>
                <w:sz w:val="18"/>
              </w:rPr>
              <w:t>CPO</w:t>
            </w:r>
          </w:p>
        </w:tc>
        <w:tc>
          <w:tcPr>
            <w:tcW w:type="dxa" w:w="6048"/>
          </w:tcPr>
          <w:p>
            <w:r/>
            <w:r>
              <w:rPr>
                <w:rFonts w:ascii="Arial" w:hAnsi="Arial"/>
                <w:sz w:val="18"/>
              </w:rPr>
              <w:t>Pricing structures including energy, time, parking, and flat rates</w:t>
            </w:r>
          </w:p>
        </w:tc>
      </w:tr>
      <w:tr>
        <w:tc>
          <w:tcPr>
            <w:tcW w:type="dxa" w:w="2160"/>
            <w:shd w:val="clear" w:fill="F0F7F4"/>
          </w:tcPr>
          <w:p>
            <w:r/>
            <w:r>
              <w:rPr>
                <w:rFonts w:ascii="Arial" w:hAnsi="Arial"/>
                <w:sz w:val="18"/>
              </w:rPr>
              <w:t>Tokens</w:t>
            </w:r>
          </w:p>
        </w:tc>
        <w:tc>
          <w:tcPr>
            <w:tcW w:type="dxa" w:w="1152"/>
            <w:shd w:val="clear" w:fill="F0F7F4"/>
          </w:tcPr>
          <w:p>
            <w:r/>
            <w:r>
              <w:rPr>
                <w:rFonts w:ascii="Arial" w:hAnsi="Arial"/>
                <w:sz w:val="18"/>
              </w:rPr>
              <w:t>eMSP</w:t>
            </w:r>
          </w:p>
        </w:tc>
        <w:tc>
          <w:tcPr>
            <w:tcW w:type="dxa" w:w="6048"/>
            <w:shd w:val="clear" w:fill="F0F7F4"/>
          </w:tcPr>
          <w:p>
            <w:r/>
            <w:r>
              <w:rPr>
                <w:rFonts w:ascii="Arial" w:hAnsi="Arial"/>
                <w:sz w:val="18"/>
              </w:rPr>
              <w:t>Authorization tokens synced from eMSP to CPO for offline validation</w:t>
            </w:r>
          </w:p>
        </w:tc>
      </w:tr>
      <w:tr>
        <w:tc>
          <w:tcPr>
            <w:tcW w:type="dxa" w:w="2160"/>
          </w:tcPr>
          <w:p>
            <w:r/>
            <w:r>
              <w:rPr>
                <w:rFonts w:ascii="Arial" w:hAnsi="Arial"/>
                <w:sz w:val="18"/>
              </w:rPr>
              <w:t>Commands</w:t>
            </w:r>
          </w:p>
        </w:tc>
        <w:tc>
          <w:tcPr>
            <w:tcW w:type="dxa" w:w="1152"/>
          </w:tcPr>
          <w:p>
            <w:r/>
            <w:r>
              <w:rPr>
                <w:rFonts w:ascii="Arial" w:hAnsi="Arial"/>
                <w:sz w:val="18"/>
              </w:rPr>
              <w:t>eMSP</w:t>
            </w:r>
          </w:p>
        </w:tc>
        <w:tc>
          <w:tcPr>
            <w:tcW w:type="dxa" w:w="6048"/>
          </w:tcPr>
          <w:p>
            <w:r/>
            <w:r>
              <w:rPr>
                <w:rFonts w:ascii="Arial" w:hAnsi="Arial"/>
                <w:sz w:val="18"/>
              </w:rPr>
              <w:t>Remote operations: StartSession, StopSession, ReserveNow, UnlockConnector</w:t>
            </w:r>
          </w:p>
        </w:tc>
      </w:tr>
      <w:tr>
        <w:tc>
          <w:tcPr>
            <w:tcW w:type="dxa" w:w="2160"/>
            <w:shd w:val="clear" w:fill="F0F7F4"/>
          </w:tcPr>
          <w:p>
            <w:r/>
            <w:r>
              <w:rPr>
                <w:rFonts w:ascii="Arial" w:hAnsi="Arial"/>
                <w:sz w:val="18"/>
              </w:rPr>
              <w:t>ChargingProfiles</w:t>
            </w:r>
          </w:p>
        </w:tc>
        <w:tc>
          <w:tcPr>
            <w:tcW w:type="dxa" w:w="1152"/>
            <w:shd w:val="clear" w:fill="F0F7F4"/>
          </w:tcPr>
          <w:p>
            <w:r/>
            <w:r>
              <w:rPr>
                <w:rFonts w:ascii="Arial" w:hAnsi="Arial"/>
                <w:sz w:val="18"/>
              </w:rPr>
              <w:t>Both</w:t>
            </w:r>
          </w:p>
        </w:tc>
        <w:tc>
          <w:tcPr>
            <w:tcW w:type="dxa" w:w="6048"/>
            <w:shd w:val="clear" w:fill="F0F7F4"/>
          </w:tcPr>
          <w:p>
            <w:r/>
            <w:r>
              <w:rPr>
                <w:rFonts w:ascii="Arial" w:hAnsi="Arial"/>
                <w:sz w:val="18"/>
              </w:rPr>
              <w:t>Smart charging profile exchange between parties</w:t>
            </w:r>
          </w:p>
        </w:tc>
      </w:tr>
      <w:tr>
        <w:tc>
          <w:tcPr>
            <w:tcW w:type="dxa" w:w="2160"/>
          </w:tcPr>
          <w:p>
            <w:r/>
            <w:r>
              <w:rPr>
                <w:rFonts w:ascii="Arial" w:hAnsi="Arial"/>
                <w:sz w:val="18"/>
              </w:rPr>
              <w:t>HubClientInfo</w:t>
            </w:r>
          </w:p>
        </w:tc>
        <w:tc>
          <w:tcPr>
            <w:tcW w:type="dxa" w:w="1152"/>
          </w:tcPr>
          <w:p>
            <w:r/>
            <w:r>
              <w:rPr>
                <w:rFonts w:ascii="Arial" w:hAnsi="Arial"/>
                <w:sz w:val="18"/>
              </w:rPr>
              <w:t>HUB</w:t>
            </w:r>
          </w:p>
        </w:tc>
        <w:tc>
          <w:tcPr>
            <w:tcW w:type="dxa" w:w="6048"/>
          </w:tcPr>
          <w:p>
            <w:r/>
            <w:r>
              <w:rPr>
                <w:rFonts w:ascii="Arial" w:hAnsi="Arial"/>
                <w:sz w:val="18"/>
              </w:rPr>
              <w:t>Information about connected parties in a roaming hub</w:t>
            </w:r>
          </w:p>
        </w:tc>
      </w:tr>
    </w:tbl>
    <w:p>
      <w:r>
        <w:br w:type="page"/>
      </w:r>
    </w:p>
    <w:p>
      <w:pPr>
        <w:pStyle w:val="Heading1"/>
      </w:pPr>
      <w:r>
        <w:t>4. Component Design</w:t>
      </w:r>
    </w:p>
    <w:p>
      <w:pPr>
        <w:pStyle w:val="Heading2"/>
      </w:pPr>
      <w:r>
        <w:t>4.1 OCPP WebSocket Server</w:t>
      </w:r>
    </w:p>
    <w:p>
      <w:r>
        <w:t>The WebSocket server manages persistent connections from all charging stations. Each charger connects to a unique URL path containing its identity, and the server detects the OCPP version from the WebSocket subprotocol negotiation header.</w:t>
      </w:r>
    </w:p>
    <w:p>
      <w:pPr>
        <w:shd w:val="clear" w:fill="F5F7F6"/>
        <w:spacing w:before="80" w:after="80"/>
        <w:ind w:left="432"/>
      </w:pPr>
      <w:r>
        <w:rPr>
          <w:rFonts w:ascii="Consolas" w:hAnsi="Consolas"/>
          <w:color w:val="1A2332"/>
          <w:sz w:val="17"/>
        </w:rPr>
        <w:t>Connection URL:  wss://csms.electrahub.com/ocpp/{chargePointId}</w:t>
        <w:br/>
        <w:t>Subprotocol:     Sec-WebSocket-Protocol: ocpp1.6 | ocpp2.0.1</w:t>
        <w:br/>
      </w:r>
    </w:p>
    <w:p>
      <w:r>
        <w:t>A connection registry backed by Redis maps each chargePointId to its server instance and WebSocket connection. This enables any server in the cluster to route commands to any charger, supporting horizontal scaling of WebSocket connections across multiple pods.</w:t>
      </w:r>
    </w:p>
    <w:p>
      <w:pPr>
        <w:pStyle w:val="Heading2"/>
      </w:pPr>
      <w:r>
        <w:t>4.2 OCPP Message Handler</w:t>
      </w:r>
    </w:p>
    <w:p>
      <w:r>
        <w:t>Incoming OCPP messages are parsed, validated against JSON schema, and routed to the appropriate action handler. The handler executes business logic and returns a response via the same WebSocket. All messages are logged to the audit trail.</w:t>
      </w:r>
    </w:p>
    <w:p>
      <w:pPr>
        <w:pStyle w:val="Heading2"/>
      </w:pPr>
      <w:r>
        <w:t>4.3 Authorization Service</w:t>
      </w:r>
    </w:p>
    <w:p>
      <w:r>
        <w:t>The Authorization Service validates tokens using a cascading lookup strategy. When a charger sends an Authorize request, the service checks sources in priority order until a match is found or all sources are exhausted. This supports six distinct authorization methods: RFID, EMAID, credit card, Plug &amp; Charge, mobile app remote start, and QR code.</w:t>
      </w:r>
    </w:p>
    <w:p>
      <w:pPr>
        <w:pStyle w:val="Heading2"/>
      </w:pPr>
      <w:r>
        <w:t>4.4 Session Manager</w:t>
      </w:r>
    </w:p>
    <w:p>
      <w:r>
        <w:t>The Session Manager maintains the lifecycle of every charging session from authorization through billing. It implements a state machine (PENDING, ACTIVE, SUSPENDED, COMPLETED, BILLED, INVALID) and handles edge cases including offline charging, orphaned sessions, and concurrent transaction enforcement.</w:t>
      </w:r>
    </w:p>
    <w:p>
      <w:pPr>
        <w:pStyle w:val="Heading2"/>
      </w:pPr>
      <w:r>
        <w:t>4.5 Billing Engine</w:t>
      </w:r>
    </w:p>
    <w:p>
      <w:r>
        <w:t>The Billing Engine calculates session costs by applying tariff rules to meter data. It supports per-kWh rates, per-minute time rates, parking fees (for idle time while connected), flat session fees, time-of-use multipliers, and minimum/maximum price constraints. After calculation, it generates Charge Detail Records (CDRs) and triggers payment settlement.</w:t>
      </w:r>
    </w:p>
    <w:p>
      <w:pPr>
        <w:pStyle w:val="Heading2"/>
      </w:pPr>
      <w:r>
        <w:t>4.6 OCPI Handler</w:t>
      </w:r>
    </w:p>
    <w:p>
      <w:r>
        <w:t>The OCPI Handler acts as the bridge between internal CSMS events and external roaming partners. It translates OCPP events into OCPI API calls and vice versa. Key mappings include StatusNotification to Location updates, StartTransaction to Session creation, StopTransaction to CDR generation, and eMSP Commands to OCPP RemoteStart/Stop.</w:t>
      </w:r>
    </w:p>
    <w:p>
      <w:pPr>
        <w:pStyle w:val="Heading2"/>
      </w:pPr>
      <w:r>
        <w:t>4.7 Smart Charging Manager</w:t>
      </w:r>
    </w:p>
    <w:p>
      <w:r>
        <w:t>The Smart Charging Manager controls power distribution across charging stations using OCPP ChargingProfiles. It supports station-level power caps (ChargePointMaxProfile), default profiles for new transactions (TxDefaultProfile), and per-session profiles (TxProfile). In OCPP 2.0.1, it additionally processes EV charging needs and departure time information for optimized scheduling.</w:t>
      </w:r>
    </w:p>
    <w:p>
      <w:r>
        <w:br w:type="page"/>
      </w:r>
    </w:p>
    <w:p>
      <w:pPr>
        <w:pStyle w:val="Heading1"/>
      </w:pPr>
      <w:r>
        <w:t>5. Authorization Flows</w:t>
      </w:r>
    </w:p>
    <w:p>
      <w:pPr>
        <w:pStyle w:val="Heading2"/>
      </w:pPr>
      <w:r>
        <w:t>5.1 Authorization Methods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fill="0B5594"/>
          </w:tcPr>
          <w:p>
            <w:pPr>
              <w:jc w:val="left"/>
            </w:pPr>
            <w:r/>
            <w:r>
              <w:rPr>
                <w:rFonts w:ascii="Arial" w:hAnsi="Arial"/>
                <w:b/>
                <w:color w:val="FFFFFF"/>
                <w:sz w:val="19"/>
              </w:rPr>
              <w:t>Method</w:t>
            </w:r>
          </w:p>
        </w:tc>
        <w:tc>
          <w:tcPr>
            <w:tcW w:type="dxa" w:w="2304"/>
            <w:shd w:val="clear" w:fill="0B5594"/>
          </w:tcPr>
          <w:p>
            <w:pPr>
              <w:jc w:val="left"/>
            </w:pPr>
            <w:r/>
            <w:r>
              <w:rPr>
                <w:rFonts w:ascii="Arial" w:hAnsi="Arial"/>
                <w:b/>
                <w:color w:val="FFFFFF"/>
                <w:sz w:val="19"/>
              </w:rPr>
              <w:t>Token Type</w:t>
            </w:r>
          </w:p>
        </w:tc>
        <w:tc>
          <w:tcPr>
            <w:tcW w:type="dxa" w:w="1584"/>
            <w:shd w:val="clear" w:fill="0B5594"/>
          </w:tcPr>
          <w:p>
            <w:pPr>
              <w:jc w:val="left"/>
            </w:pPr>
            <w:r/>
            <w:r>
              <w:rPr>
                <w:rFonts w:ascii="Arial" w:hAnsi="Arial"/>
                <w:b/>
                <w:color w:val="FFFFFF"/>
                <w:sz w:val="19"/>
              </w:rPr>
              <w:t>OCPP Version</w:t>
            </w:r>
          </w:p>
        </w:tc>
        <w:tc>
          <w:tcPr>
            <w:tcW w:type="dxa" w:w="3744"/>
            <w:shd w:val="clear" w:fill="0B5594"/>
          </w:tcPr>
          <w:p>
            <w:pPr>
              <w:jc w:val="left"/>
            </w:pPr>
            <w:r/>
            <w:r>
              <w:rPr>
                <w:rFonts w:ascii="Arial" w:hAnsi="Arial"/>
                <w:b/>
                <w:color w:val="FFFFFF"/>
                <w:sz w:val="19"/>
              </w:rPr>
              <w:t>Description</w:t>
            </w:r>
          </w:p>
        </w:tc>
      </w:tr>
      <w:tr>
        <w:tc>
          <w:tcPr>
            <w:tcW w:type="dxa" w:w="1728"/>
          </w:tcPr>
          <w:p>
            <w:r/>
            <w:r>
              <w:rPr>
                <w:rFonts w:ascii="Arial" w:hAnsi="Arial"/>
                <w:sz w:val="18"/>
              </w:rPr>
              <w:t>RFID</w:t>
            </w:r>
          </w:p>
        </w:tc>
        <w:tc>
          <w:tcPr>
            <w:tcW w:type="dxa" w:w="2304"/>
          </w:tcPr>
          <w:p>
            <w:r/>
            <w:r>
              <w:rPr>
                <w:rFonts w:ascii="Arial" w:hAnsi="Arial"/>
                <w:sz w:val="18"/>
              </w:rPr>
              <w:t>ISO14443 / ISO15693</w:t>
            </w:r>
          </w:p>
        </w:tc>
        <w:tc>
          <w:tcPr>
            <w:tcW w:type="dxa" w:w="1584"/>
          </w:tcPr>
          <w:p>
            <w:r/>
            <w:r>
              <w:rPr>
                <w:rFonts w:ascii="Arial" w:hAnsi="Arial"/>
                <w:sz w:val="18"/>
              </w:rPr>
              <w:t>1.6 + 2.0.1</w:t>
            </w:r>
          </w:p>
        </w:tc>
        <w:tc>
          <w:tcPr>
            <w:tcW w:type="dxa" w:w="3744"/>
          </w:tcPr>
          <w:p>
            <w:r/>
            <w:r>
              <w:rPr>
                <w:rFonts w:ascii="Arial" w:hAnsi="Arial"/>
                <w:sz w:val="18"/>
              </w:rPr>
              <w:t>Physical card tap at charger reader</w:t>
            </w:r>
          </w:p>
        </w:tc>
      </w:tr>
      <w:tr>
        <w:tc>
          <w:tcPr>
            <w:tcW w:type="dxa" w:w="1728"/>
            <w:shd w:val="clear" w:fill="F0F7F4"/>
          </w:tcPr>
          <w:p>
            <w:r/>
            <w:r>
              <w:rPr>
                <w:rFonts w:ascii="Arial" w:hAnsi="Arial"/>
                <w:sz w:val="18"/>
              </w:rPr>
              <w:t>EMAID</w:t>
            </w:r>
          </w:p>
        </w:tc>
        <w:tc>
          <w:tcPr>
            <w:tcW w:type="dxa" w:w="2304"/>
            <w:shd w:val="clear" w:fill="F0F7F4"/>
          </w:tcPr>
          <w:p>
            <w:r/>
            <w:r>
              <w:rPr>
                <w:rFonts w:ascii="Arial" w:hAnsi="Arial"/>
                <w:sz w:val="18"/>
              </w:rPr>
              <w:t>eMAID</w:t>
            </w:r>
          </w:p>
        </w:tc>
        <w:tc>
          <w:tcPr>
            <w:tcW w:type="dxa" w:w="1584"/>
            <w:shd w:val="clear" w:fill="F0F7F4"/>
          </w:tcPr>
          <w:p>
            <w:r/>
            <w:r>
              <w:rPr>
                <w:rFonts w:ascii="Arial" w:hAnsi="Arial"/>
                <w:sz w:val="18"/>
              </w:rPr>
              <w:t>2.0.1</w:t>
            </w:r>
          </w:p>
        </w:tc>
        <w:tc>
          <w:tcPr>
            <w:tcW w:type="dxa" w:w="3744"/>
            <w:shd w:val="clear" w:fill="F0F7F4"/>
          </w:tcPr>
          <w:p>
            <w:r/>
            <w:r>
              <w:rPr>
                <w:rFonts w:ascii="Arial" w:hAnsi="Arial"/>
                <w:sz w:val="18"/>
              </w:rPr>
              <w:t>e-Mobility Account Identifier via ISO 15118 or OCPI</w:t>
            </w:r>
          </w:p>
        </w:tc>
      </w:tr>
      <w:tr>
        <w:tc>
          <w:tcPr>
            <w:tcW w:type="dxa" w:w="1728"/>
          </w:tcPr>
          <w:p>
            <w:r/>
            <w:r>
              <w:rPr>
                <w:rFonts w:ascii="Arial" w:hAnsi="Arial"/>
                <w:sz w:val="18"/>
              </w:rPr>
              <w:t>Credit Card</w:t>
            </w:r>
          </w:p>
        </w:tc>
        <w:tc>
          <w:tcPr>
            <w:tcW w:type="dxa" w:w="2304"/>
          </w:tcPr>
          <w:p>
            <w:r/>
            <w:r>
              <w:rPr>
                <w:rFonts w:ascii="Arial" w:hAnsi="Arial"/>
                <w:sz w:val="18"/>
              </w:rPr>
              <w:t>Central / Custom</w:t>
            </w:r>
          </w:p>
        </w:tc>
        <w:tc>
          <w:tcPr>
            <w:tcW w:type="dxa" w:w="1584"/>
          </w:tcPr>
          <w:p>
            <w:r/>
            <w:r>
              <w:rPr>
                <w:rFonts w:ascii="Arial" w:hAnsi="Arial"/>
                <w:sz w:val="18"/>
              </w:rPr>
              <w:t>1.6 + 2.0.1</w:t>
            </w:r>
          </w:p>
        </w:tc>
        <w:tc>
          <w:tcPr>
            <w:tcW w:type="dxa" w:w="3744"/>
          </w:tcPr>
          <w:p>
            <w:r/>
            <w:r>
              <w:rPr>
                <w:rFonts w:ascii="Arial" w:hAnsi="Arial"/>
                <w:sz w:val="18"/>
              </w:rPr>
              <w:t>Direct payment via on-charger terminal</w:t>
            </w:r>
          </w:p>
        </w:tc>
      </w:tr>
      <w:tr>
        <w:tc>
          <w:tcPr>
            <w:tcW w:type="dxa" w:w="1728"/>
            <w:shd w:val="clear" w:fill="F0F7F4"/>
          </w:tcPr>
          <w:p>
            <w:r/>
            <w:r>
              <w:rPr>
                <w:rFonts w:ascii="Arial" w:hAnsi="Arial"/>
                <w:sz w:val="18"/>
              </w:rPr>
              <w:t>Plug &amp; Charge</w:t>
            </w:r>
          </w:p>
        </w:tc>
        <w:tc>
          <w:tcPr>
            <w:tcW w:type="dxa" w:w="2304"/>
            <w:shd w:val="clear" w:fill="F0F7F4"/>
          </w:tcPr>
          <w:p>
            <w:r/>
            <w:r>
              <w:rPr>
                <w:rFonts w:ascii="Arial" w:hAnsi="Arial"/>
                <w:sz w:val="18"/>
              </w:rPr>
              <w:t>eMAID + Certificate</w:t>
            </w:r>
          </w:p>
        </w:tc>
        <w:tc>
          <w:tcPr>
            <w:tcW w:type="dxa" w:w="1584"/>
            <w:shd w:val="clear" w:fill="F0F7F4"/>
          </w:tcPr>
          <w:p>
            <w:r/>
            <w:r>
              <w:rPr>
                <w:rFonts w:ascii="Arial" w:hAnsi="Arial"/>
                <w:sz w:val="18"/>
              </w:rPr>
              <w:t>2.0.1</w:t>
            </w:r>
          </w:p>
        </w:tc>
        <w:tc>
          <w:tcPr>
            <w:tcW w:type="dxa" w:w="3744"/>
            <w:shd w:val="clear" w:fill="F0F7F4"/>
          </w:tcPr>
          <w:p>
            <w:r/>
            <w:r>
              <w:rPr>
                <w:rFonts w:ascii="Arial" w:hAnsi="Arial"/>
                <w:sz w:val="18"/>
              </w:rPr>
              <w:t>Automatic TLS-based EV authentication (ISO 15118)</w:t>
            </w:r>
          </w:p>
        </w:tc>
      </w:tr>
      <w:tr>
        <w:tc>
          <w:tcPr>
            <w:tcW w:type="dxa" w:w="1728"/>
          </w:tcPr>
          <w:p>
            <w:r/>
            <w:r>
              <w:rPr>
                <w:rFonts w:ascii="Arial" w:hAnsi="Arial"/>
                <w:sz w:val="18"/>
              </w:rPr>
              <w:t>Remote Start</w:t>
            </w:r>
          </w:p>
        </w:tc>
        <w:tc>
          <w:tcPr>
            <w:tcW w:type="dxa" w:w="2304"/>
          </w:tcPr>
          <w:p>
            <w:r/>
            <w:r>
              <w:rPr>
                <w:rFonts w:ascii="Arial" w:hAnsi="Arial"/>
                <w:sz w:val="18"/>
              </w:rPr>
              <w:t>Central</w:t>
            </w:r>
          </w:p>
        </w:tc>
        <w:tc>
          <w:tcPr>
            <w:tcW w:type="dxa" w:w="1584"/>
          </w:tcPr>
          <w:p>
            <w:r/>
            <w:r>
              <w:rPr>
                <w:rFonts w:ascii="Arial" w:hAnsi="Arial"/>
                <w:sz w:val="18"/>
              </w:rPr>
              <w:t>1.6 + 2.0.1</w:t>
            </w:r>
          </w:p>
        </w:tc>
        <w:tc>
          <w:tcPr>
            <w:tcW w:type="dxa" w:w="3744"/>
          </w:tcPr>
          <w:p>
            <w:r/>
            <w:r>
              <w:rPr>
                <w:rFonts w:ascii="Arial" w:hAnsi="Arial"/>
                <w:sz w:val="18"/>
              </w:rPr>
              <w:t>App-initiated start via REST API to OCPP</w:t>
            </w:r>
          </w:p>
        </w:tc>
      </w:tr>
      <w:tr>
        <w:tc>
          <w:tcPr>
            <w:tcW w:type="dxa" w:w="1728"/>
            <w:shd w:val="clear" w:fill="F0F7F4"/>
          </w:tcPr>
          <w:p>
            <w:r/>
            <w:r>
              <w:rPr>
                <w:rFonts w:ascii="Arial" w:hAnsi="Arial"/>
                <w:sz w:val="18"/>
              </w:rPr>
              <w:t>QR Code</w:t>
            </w:r>
          </w:p>
        </w:tc>
        <w:tc>
          <w:tcPr>
            <w:tcW w:type="dxa" w:w="2304"/>
            <w:shd w:val="clear" w:fill="F0F7F4"/>
          </w:tcPr>
          <w:p>
            <w:r/>
            <w:r>
              <w:rPr>
                <w:rFonts w:ascii="Arial" w:hAnsi="Arial"/>
                <w:sz w:val="18"/>
              </w:rPr>
              <w:t>Central</w:t>
            </w:r>
          </w:p>
        </w:tc>
        <w:tc>
          <w:tcPr>
            <w:tcW w:type="dxa" w:w="1584"/>
            <w:shd w:val="clear" w:fill="F0F7F4"/>
          </w:tcPr>
          <w:p>
            <w:r/>
            <w:r>
              <w:rPr>
                <w:rFonts w:ascii="Arial" w:hAnsi="Arial"/>
                <w:sz w:val="18"/>
              </w:rPr>
              <w:t>1.6 + 2.0.1</w:t>
            </w:r>
          </w:p>
        </w:tc>
        <w:tc>
          <w:tcPr>
            <w:tcW w:type="dxa" w:w="3744"/>
            <w:shd w:val="clear" w:fill="F0F7F4"/>
          </w:tcPr>
          <w:p>
            <w:r/>
            <w:r>
              <w:rPr>
                <w:rFonts w:ascii="Arial" w:hAnsi="Arial"/>
                <w:sz w:val="18"/>
              </w:rPr>
              <w:t>Scan QR on charger, authenticate in browser/app</w:t>
            </w:r>
          </w:p>
        </w:tc>
      </w:tr>
    </w:tbl>
    <w:p>
      <w:pPr>
        <w:pStyle w:val="Heading2"/>
      </w:pPr>
      <w:r>
        <w:t>5.2 Authorization Priority Chain</w:t>
      </w:r>
    </w:p>
    <w:p>
      <w:r>
        <w:t>When a charger sends an Authorize request, the CSMS evaluates token validity through a cascading chain of authorization sources, stopping at the first definitive result:</w:t>
      </w:r>
    </w:p>
    <w:p>
      <w:pPr>
        <w:pStyle w:val="ListBullet"/>
      </w:pPr>
      <w:r>
        <w:rPr>
          <w:rFonts w:ascii="Arial" w:hAnsi="Arial"/>
          <w:b/>
          <w:sz w:val="20"/>
        </w:rPr>
        <w:t xml:space="preserve">1. Charger Local Cache: </w:t>
      </w:r>
      <w:r>
        <w:rPr>
          <w:rFonts w:ascii="Arial" w:hAnsi="Arial"/>
          <w:sz w:val="20"/>
        </w:rPr>
        <w:t>Checked on the charger before contacting the CSMS. Contains recently authorized tokens with cached expiry times.</w:t>
      </w:r>
    </w:p>
    <w:p>
      <w:pPr>
        <w:pStyle w:val="ListBullet"/>
      </w:pPr>
      <w:r>
        <w:rPr>
          <w:rFonts w:ascii="Arial" w:hAnsi="Arial"/>
          <w:b/>
          <w:sz w:val="20"/>
        </w:rPr>
        <w:t xml:space="preserve">2. Local Authorization List: </w:t>
      </w:r>
      <w:r>
        <w:rPr>
          <w:rFonts w:ascii="Arial" w:hAnsi="Arial"/>
          <w:sz w:val="20"/>
        </w:rPr>
        <w:t>A pre-synced list of valid tokens pushed to the charger via OCPP SendLocalList. Enables offline authorization.</w:t>
      </w:r>
    </w:p>
    <w:p>
      <w:pPr>
        <w:pStyle w:val="ListBullet"/>
      </w:pPr>
      <w:r>
        <w:rPr>
          <w:rFonts w:ascii="Arial" w:hAnsi="Arial"/>
          <w:b/>
          <w:sz w:val="20"/>
        </w:rPr>
        <w:t xml:space="preserve">3. CSMS Token Database: </w:t>
      </w:r>
      <w:r>
        <w:rPr>
          <w:rFonts w:ascii="Arial" w:hAnsi="Arial"/>
          <w:sz w:val="20"/>
        </w:rPr>
        <w:t>The primary id_tokens table containing all CPO-owned tokens (RFID cards, app tokens, subscriptions).</w:t>
      </w:r>
    </w:p>
    <w:p>
      <w:pPr>
        <w:pStyle w:val="ListBullet"/>
      </w:pPr>
      <w:r>
        <w:rPr>
          <w:rFonts w:ascii="Arial" w:hAnsi="Arial"/>
          <w:b/>
          <w:sz w:val="20"/>
        </w:rPr>
        <w:t xml:space="preserve">4. OCPI Partner Token Cache: </w:t>
      </w:r>
      <w:r>
        <w:rPr>
          <w:rFonts w:ascii="Arial" w:hAnsi="Arial"/>
          <w:sz w:val="20"/>
        </w:rPr>
        <w:t>Cached tokens received from roaming partners via the OCPI Tokens module sync.</w:t>
      </w:r>
    </w:p>
    <w:p>
      <w:pPr>
        <w:pStyle w:val="ListBullet"/>
      </w:pPr>
      <w:r>
        <w:rPr>
          <w:rFonts w:ascii="Arial" w:hAnsi="Arial"/>
          <w:b/>
          <w:sz w:val="20"/>
        </w:rPr>
        <w:t xml:space="preserve">5. Real-Time OCPI Authorization: </w:t>
      </w:r>
      <w:r>
        <w:rPr>
          <w:rFonts w:ascii="Arial" w:hAnsi="Arial"/>
          <w:sz w:val="20"/>
        </w:rPr>
        <w:t>If the token is not cached, a real-time POST to the partner eMSP's authorize endpoint. Response is cached for future use.</w:t>
      </w:r>
    </w:p>
    <w:p>
      <w:pPr>
        <w:pStyle w:val="ListBullet"/>
      </w:pPr>
      <w:r>
        <w:rPr>
          <w:rFonts w:ascii="Arial" w:hAnsi="Arial"/>
          <w:b/>
          <w:sz w:val="20"/>
        </w:rPr>
        <w:t xml:space="preserve">6. Fallback Rejection: </w:t>
      </w:r>
      <w:r>
        <w:rPr>
          <w:rFonts w:ascii="Arial" w:hAnsi="Arial"/>
          <w:sz w:val="20"/>
        </w:rPr>
        <w:t>If all sources fail to recognize the token, the request is rejected with status "Invalid".</w:t>
      </w:r>
    </w:p>
    <w:p>
      <w:pPr>
        <w:pStyle w:val="Heading2"/>
      </w:pPr>
      <w:r>
        <w:t>5.3 Remote Start Flow (Mobile App)</w:t>
      </w:r>
    </w:p>
    <w:p>
      <w:r>
        <w:t>The remote start flow enables drivers to initiate charging from the mobile application:</w:t>
      </w:r>
    </w:p>
    <w:p>
      <w:pPr>
        <w:shd w:val="clear" w:fill="F5F7F6"/>
        <w:spacing w:before="80" w:after="80"/>
        <w:ind w:left="432"/>
      </w:pPr>
      <w:r>
        <w:rPr>
          <w:rFonts w:ascii="Consolas" w:hAnsi="Consolas"/>
          <w:color w:val="1A2332"/>
          <w:sz w:val="17"/>
        </w:rPr>
        <w:t>1. Driver selects charger/EVSE in mobile app, taps "Start Charging"</w:t>
        <w:br/>
        <w:t>2. App  --&gt;  Backend REST API:  POST /api/sessions/start {evse_id, driver_id}</w:t>
        <w:br/>
        <w:t>3. Backend validates driver account, checks wallet balance/subscription</w:t>
        <w:br/>
        <w:t>4. Backend --&gt;  Charger via OCPP:</w:t>
        <w:br/>
        <w:t xml:space="preserve">     OCPP 1.6:   RemoteStartTransaction {connectorId, idTag: "APP-&lt;driverId&gt;"}</w:t>
        <w:br/>
        <w:t xml:space="preserve">     OCPP 2.0.1: RequestStartTransaction {evseId, idToken: {type: "Central"}}</w:t>
        <w:br/>
        <w:t>5. Charger responds: Accepted / Rejected</w:t>
        <w:br/>
        <w:t>6. If Accepted, charger initiates normal StartTransaction / TransactionEvent flow</w:t>
        <w:br/>
        <w:t>7. CSMS links the OCPP transaction to the driver's account</w:t>
        <w:br/>
      </w:r>
    </w:p>
    <w:p>
      <w:pPr>
        <w:pStyle w:val="Heading2"/>
      </w:pPr>
      <w:r>
        <w:t>5.4 Plug &amp; Charge Flow (ISO 15118)</w:t>
      </w:r>
    </w:p>
    <w:p>
      <w:r>
        <w:t>Plug &amp; Charge provides zero-interaction charging using TLS certificate-based authentication:</w:t>
      </w:r>
    </w:p>
    <w:p>
      <w:pPr>
        <w:shd w:val="clear" w:fill="F5F7F6"/>
        <w:spacing w:before="80" w:after="80"/>
        <w:ind w:left="432"/>
      </w:pPr>
      <w:r>
        <w:rPr>
          <w:rFonts w:ascii="Consolas" w:hAnsi="Consolas"/>
          <w:color w:val="1A2332"/>
          <w:sz w:val="17"/>
        </w:rPr>
        <w:t>1. Driver plugs in cable (no RFID tap, no app interaction)</w:t>
        <w:br/>
        <w:t>2. EV and charger establish ISO 15118 TLS session</w:t>
        <w:br/>
        <w:t>3. EV presents contract certificate containing eMAID</w:t>
        <w:br/>
        <w:t>4. Charger validates certificate chain:</w:t>
        <w:br/>
        <w:t xml:space="preserve">     V2G Root CA  --&gt;  MO Sub-CA  --&gt;  Contract Certificate</w:t>
        <w:br/>
        <w:t>5. CS --&gt; CSMS: Authorize {idToken: eMAID, certificate: PEM, hashData: [...]}</w:t>
        <w:br/>
        <w:t>6. CSMS validates certificate via PKI / OCSP</w:t>
        <w:br/>
        <w:t>7. CSMS resolves eMAID to eMSP partner, performs authorization</w:t>
        <w:br/>
        <w:t>8. TransactionEvent (Started) sent automatically on success</w:t>
        <w:br/>
      </w:r>
    </w:p>
    <w:p>
      <w:r>
        <w:br w:type="page"/>
      </w:r>
    </w:p>
    <w:p>
      <w:pPr>
        <w:pStyle w:val="Heading1"/>
      </w:pPr>
      <w:r>
        <w:t>6. Session Lifecycle Management</w:t>
      </w:r>
    </w:p>
    <w:p>
      <w:pPr>
        <w:pStyle w:val="Heading2"/>
      </w:pPr>
      <w:r>
        <w:t>6.1 Session State Machine</w:t>
      </w:r>
    </w:p>
    <w:p>
      <w:pPr>
        <w:shd w:val="clear" w:fill="F5F7F6"/>
        <w:spacing w:before="80" w:after="80"/>
        <w:ind w:left="432"/>
      </w:pPr>
      <w:r>
        <w:rPr>
          <w:rFonts w:ascii="Consolas" w:hAnsi="Consolas"/>
          <w:color w:val="1A2332"/>
          <w:sz w:val="17"/>
        </w:rPr>
        <w:br/>
        <w:t xml:space="preserve">  Authorize OK         +----------+</w:t>
        <w:br/>
        <w:t xml:space="preserve">  -------------------&gt; | PENDING  |  Awaiting cable / energy flow</w:t>
        <w:br/>
        <w:t xml:space="preserve">                       +----+-----+</w:t>
        <w:br/>
        <w:t xml:space="preserve">                            |  StartTransaction / TransactionEvent(Started)</w:t>
        <w:br/>
        <w:t xml:space="preserve">                            v</w:t>
        <w:br/>
        <w:t xml:space="preserve">                       +----------+</w:t>
        <w:br/>
        <w:t xml:space="preserve">                       |  ACTIVE  |  Energy is flowing</w:t>
        <w:br/>
        <w:t xml:space="preserve">                       +--+---+---+</w:t>
        <w:br/>
        <w:t xml:space="preserve">                          |   |</w:t>
        <w:br/>
        <w:t xml:space="preserve">               Suspend    |   |  Resume</w:t>
        <w:br/>
        <w:t xml:space="preserve">                          v   |</w:t>
        <w:br/>
        <w:t xml:space="preserve">                       +----------+</w:t>
        <w:br/>
        <w:t xml:space="preserve">                       |SUSPENDED |  Paused by EV or EVSE</w:t>
        <w:br/>
        <w:t xml:space="preserve">                       +----+-----+</w:t>
        <w:br/>
        <w:t xml:space="preserve">                            |  StopTransaction / TransactionEvent(Ended)</w:t>
        <w:br/>
        <w:t xml:space="preserve">                            v</w:t>
        <w:br/>
        <w:t xml:space="preserve">                       +----------+</w:t>
        <w:br/>
        <w:t xml:space="preserve">                       |COMPLETED |  Final meter reading captured</w:t>
        <w:br/>
        <w:t xml:space="preserve">                       +----+-----+</w:t>
        <w:br/>
        <w:t xml:space="preserve">                            |  CDR generated, payment processed</w:t>
        <w:br/>
        <w:t xml:space="preserve">                            v</w:t>
        <w:br/>
        <w:t xml:space="preserve">                       +----------+</w:t>
        <w:br/>
        <w:t xml:space="preserve">                       | BILLED   |  Payment settled</w:t>
        <w:br/>
        <w:t xml:space="preserve">                       +----------+</w:t>
        <w:br/>
        <w:br/>
        <w:t xml:space="preserve">                       +----------+</w:t>
        <w:br/>
        <w:t xml:space="preserve">                       | INVALID  |  Auth failure / timeout / error</w:t>
        <w:br/>
        <w:t xml:space="preserve">                       +----------+</w:t>
        <w:br/>
        <w:br/>
      </w:r>
    </w:p>
    <w:p>
      <w:pPr>
        <w:pStyle w:val="Heading2"/>
      </w:pPr>
      <w:r>
        <w:t>6.2 OCPP 1.6J Session Flow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fill="0B5594"/>
          </w:tcPr>
          <w:p>
            <w:pPr>
              <w:jc w:val="left"/>
            </w:pPr>
            <w:r/>
            <w:r>
              <w:rPr>
                <w:rFonts w:ascii="Arial" w:hAnsi="Arial"/>
                <w:b/>
                <w:color w:val="FFFFFF"/>
                <w:sz w:val="19"/>
              </w:rPr>
              <w:t>Step</w:t>
            </w:r>
          </w:p>
        </w:tc>
        <w:tc>
          <w:tcPr>
            <w:tcW w:type="dxa" w:w="1440"/>
            <w:shd w:val="clear" w:fill="0B5594"/>
          </w:tcPr>
          <w:p>
            <w:pPr>
              <w:jc w:val="left"/>
            </w:pPr>
            <w:r/>
            <w:r>
              <w:rPr>
                <w:rFonts w:ascii="Arial" w:hAnsi="Arial"/>
                <w:b/>
                <w:color w:val="FFFFFF"/>
                <w:sz w:val="19"/>
              </w:rPr>
              <w:t>Direction</w:t>
            </w:r>
          </w:p>
        </w:tc>
        <w:tc>
          <w:tcPr>
            <w:tcW w:type="dxa" w:w="3312"/>
            <w:shd w:val="clear" w:fill="0B5594"/>
          </w:tcPr>
          <w:p>
            <w:pPr>
              <w:jc w:val="left"/>
            </w:pPr>
            <w:r/>
            <w:r>
              <w:rPr>
                <w:rFonts w:ascii="Arial" w:hAnsi="Arial"/>
                <w:b/>
                <w:color w:val="FFFFFF"/>
                <w:sz w:val="19"/>
              </w:rPr>
              <w:t>OCPP Message</w:t>
            </w:r>
          </w:p>
        </w:tc>
        <w:tc>
          <w:tcPr>
            <w:tcW w:type="dxa" w:w="3456"/>
            <w:shd w:val="clear" w:fill="0B5594"/>
          </w:tcPr>
          <w:p>
            <w:pPr>
              <w:jc w:val="left"/>
            </w:pPr>
            <w:r/>
            <w:r>
              <w:rPr>
                <w:rFonts w:ascii="Arial" w:hAnsi="Arial"/>
                <w:b/>
                <w:color w:val="FFFFFF"/>
                <w:sz w:val="19"/>
              </w:rPr>
              <w:t>CSMS Action</w:t>
            </w:r>
          </w:p>
        </w:tc>
      </w:tr>
      <w:tr>
        <w:tc>
          <w:tcPr>
            <w:tcW w:type="dxa" w:w="1152"/>
          </w:tcPr>
          <w:p>
            <w:r/>
            <w:r>
              <w:rPr>
                <w:rFonts w:ascii="Arial" w:hAnsi="Arial"/>
                <w:sz w:val="18"/>
              </w:rPr>
              <w:t>1. RFID Tap</w:t>
            </w:r>
          </w:p>
        </w:tc>
        <w:tc>
          <w:tcPr>
            <w:tcW w:type="dxa" w:w="1440"/>
          </w:tcPr>
          <w:p>
            <w:r/>
            <w:r>
              <w:rPr>
                <w:rFonts w:ascii="Arial" w:hAnsi="Arial"/>
                <w:sz w:val="18"/>
              </w:rPr>
              <w:t>CS -&gt; CSMS</w:t>
            </w:r>
          </w:p>
        </w:tc>
        <w:tc>
          <w:tcPr>
            <w:tcW w:type="dxa" w:w="3312"/>
          </w:tcPr>
          <w:p>
            <w:r/>
            <w:r>
              <w:rPr>
                <w:rFonts w:ascii="Arial" w:hAnsi="Arial"/>
                <w:sz w:val="18"/>
              </w:rPr>
              <w:t>Authorize {idTag}</w:t>
            </w:r>
          </w:p>
        </w:tc>
        <w:tc>
          <w:tcPr>
            <w:tcW w:type="dxa" w:w="3456"/>
          </w:tcPr>
          <w:p>
            <w:r/>
            <w:r>
              <w:rPr>
                <w:rFonts w:ascii="Arial" w:hAnsi="Arial"/>
                <w:sz w:val="18"/>
              </w:rPr>
              <w:t>Validate token, return Accepted/Invalid</w:t>
            </w:r>
          </w:p>
        </w:tc>
      </w:tr>
      <w:tr>
        <w:tc>
          <w:tcPr>
            <w:tcW w:type="dxa" w:w="1152"/>
            <w:shd w:val="clear" w:fill="F0F7F4"/>
          </w:tcPr>
          <w:p>
            <w:r/>
            <w:r>
              <w:rPr>
                <w:rFonts w:ascii="Arial" w:hAnsi="Arial"/>
                <w:sz w:val="18"/>
              </w:rPr>
              <w:t>2. Cable In</w:t>
            </w:r>
          </w:p>
        </w:tc>
        <w:tc>
          <w:tcPr>
            <w:tcW w:type="dxa" w:w="1440"/>
            <w:shd w:val="clear" w:fill="F0F7F4"/>
          </w:tcPr>
          <w:p>
            <w:r/>
            <w:r>
              <w:rPr>
                <w:rFonts w:ascii="Arial" w:hAnsi="Arial"/>
                <w:sz w:val="18"/>
              </w:rPr>
              <w:t>CS -&gt; CSMS</w:t>
            </w:r>
          </w:p>
        </w:tc>
        <w:tc>
          <w:tcPr>
            <w:tcW w:type="dxa" w:w="3312"/>
            <w:shd w:val="clear" w:fill="F0F7F4"/>
          </w:tcPr>
          <w:p>
            <w:r/>
            <w:r>
              <w:rPr>
                <w:rFonts w:ascii="Arial" w:hAnsi="Arial"/>
                <w:sz w:val="18"/>
              </w:rPr>
              <w:t>StatusNotification {Preparing}</w:t>
            </w:r>
          </w:p>
        </w:tc>
        <w:tc>
          <w:tcPr>
            <w:tcW w:type="dxa" w:w="3456"/>
            <w:shd w:val="clear" w:fill="F0F7F4"/>
          </w:tcPr>
          <w:p>
            <w:r/>
            <w:r>
              <w:rPr>
                <w:rFonts w:ascii="Arial" w:hAnsi="Arial"/>
                <w:sz w:val="18"/>
              </w:rPr>
              <w:t>Update connector status</w:t>
            </w:r>
          </w:p>
        </w:tc>
      </w:tr>
      <w:tr>
        <w:tc>
          <w:tcPr>
            <w:tcW w:type="dxa" w:w="1152"/>
          </w:tcPr>
          <w:p>
            <w:r/>
            <w:r>
              <w:rPr>
                <w:rFonts w:ascii="Arial" w:hAnsi="Arial"/>
                <w:sz w:val="18"/>
              </w:rPr>
              <w:t>3. Start</w:t>
            </w:r>
          </w:p>
        </w:tc>
        <w:tc>
          <w:tcPr>
            <w:tcW w:type="dxa" w:w="1440"/>
          </w:tcPr>
          <w:p>
            <w:r/>
            <w:r>
              <w:rPr>
                <w:rFonts w:ascii="Arial" w:hAnsi="Arial"/>
                <w:sz w:val="18"/>
              </w:rPr>
              <w:t>CS -&gt; CSMS</w:t>
            </w:r>
          </w:p>
        </w:tc>
        <w:tc>
          <w:tcPr>
            <w:tcW w:type="dxa" w:w="3312"/>
          </w:tcPr>
          <w:p>
            <w:r/>
            <w:r>
              <w:rPr>
                <w:rFonts w:ascii="Arial" w:hAnsi="Arial"/>
                <w:sz w:val="18"/>
              </w:rPr>
              <w:t>StartTransaction {meterStart}</w:t>
            </w:r>
          </w:p>
        </w:tc>
        <w:tc>
          <w:tcPr>
            <w:tcW w:type="dxa" w:w="3456"/>
          </w:tcPr>
          <w:p>
            <w:r/>
            <w:r>
              <w:rPr>
                <w:rFonts w:ascii="Arial" w:hAnsi="Arial"/>
                <w:sz w:val="18"/>
              </w:rPr>
              <w:t>Create session (ACTIVE), assign txnId</w:t>
            </w:r>
          </w:p>
        </w:tc>
      </w:tr>
      <w:tr>
        <w:tc>
          <w:tcPr>
            <w:tcW w:type="dxa" w:w="1152"/>
            <w:shd w:val="clear" w:fill="F0F7F4"/>
          </w:tcPr>
          <w:p>
            <w:r/>
            <w:r>
              <w:rPr>
                <w:rFonts w:ascii="Arial" w:hAnsi="Arial"/>
                <w:sz w:val="18"/>
              </w:rPr>
              <w:t>4. Charging</w:t>
            </w:r>
          </w:p>
        </w:tc>
        <w:tc>
          <w:tcPr>
            <w:tcW w:type="dxa" w:w="1440"/>
            <w:shd w:val="clear" w:fill="F0F7F4"/>
          </w:tcPr>
          <w:p>
            <w:r/>
            <w:r>
              <w:rPr>
                <w:rFonts w:ascii="Arial" w:hAnsi="Arial"/>
                <w:sz w:val="18"/>
              </w:rPr>
              <w:t>CS -&gt; CSMS</w:t>
            </w:r>
          </w:p>
        </w:tc>
        <w:tc>
          <w:tcPr>
            <w:tcW w:type="dxa" w:w="3312"/>
            <w:shd w:val="clear" w:fill="F0F7F4"/>
          </w:tcPr>
          <w:p>
            <w:r/>
            <w:r>
              <w:rPr>
                <w:rFonts w:ascii="Arial" w:hAnsi="Arial"/>
                <w:sz w:val="18"/>
              </w:rPr>
              <w:t>StatusNotification {Charging}</w:t>
            </w:r>
          </w:p>
        </w:tc>
        <w:tc>
          <w:tcPr>
            <w:tcW w:type="dxa" w:w="3456"/>
            <w:shd w:val="clear" w:fill="F0F7F4"/>
          </w:tcPr>
          <w:p>
            <w:r/>
            <w:r>
              <w:rPr>
                <w:rFonts w:ascii="Arial" w:hAnsi="Arial"/>
                <w:sz w:val="18"/>
              </w:rPr>
              <w:t>Update connector status</w:t>
            </w:r>
          </w:p>
        </w:tc>
      </w:tr>
      <w:tr>
        <w:tc>
          <w:tcPr>
            <w:tcW w:type="dxa" w:w="1152"/>
          </w:tcPr>
          <w:p>
            <w:r/>
            <w:r>
              <w:rPr>
                <w:rFonts w:ascii="Arial" w:hAnsi="Arial"/>
                <w:sz w:val="18"/>
              </w:rPr>
              <w:t>5. Metering</w:t>
            </w:r>
          </w:p>
        </w:tc>
        <w:tc>
          <w:tcPr>
            <w:tcW w:type="dxa" w:w="1440"/>
          </w:tcPr>
          <w:p>
            <w:r/>
            <w:r>
              <w:rPr>
                <w:rFonts w:ascii="Arial" w:hAnsi="Arial"/>
                <w:sz w:val="18"/>
              </w:rPr>
              <w:t>CS -&gt; CSMS</w:t>
            </w:r>
          </w:p>
        </w:tc>
        <w:tc>
          <w:tcPr>
            <w:tcW w:type="dxa" w:w="3312"/>
          </w:tcPr>
          <w:p>
            <w:r/>
            <w:r>
              <w:rPr>
                <w:rFonts w:ascii="Arial" w:hAnsi="Arial"/>
                <w:sz w:val="18"/>
              </w:rPr>
              <w:t>MeterValues {sampledValues}</w:t>
            </w:r>
          </w:p>
        </w:tc>
        <w:tc>
          <w:tcPr>
            <w:tcW w:type="dxa" w:w="3456"/>
          </w:tcPr>
          <w:p>
            <w:r/>
            <w:r>
              <w:rPr>
                <w:rFonts w:ascii="Arial" w:hAnsi="Arial"/>
                <w:sz w:val="18"/>
              </w:rPr>
              <w:t>Store readings, update totals</w:t>
            </w:r>
          </w:p>
        </w:tc>
      </w:tr>
      <w:tr>
        <w:tc>
          <w:tcPr>
            <w:tcW w:type="dxa" w:w="1152"/>
            <w:shd w:val="clear" w:fill="F0F7F4"/>
          </w:tcPr>
          <w:p>
            <w:r/>
            <w:r>
              <w:rPr>
                <w:rFonts w:ascii="Arial" w:hAnsi="Arial"/>
                <w:sz w:val="18"/>
              </w:rPr>
              <w:t>6. Stop</w:t>
            </w:r>
          </w:p>
        </w:tc>
        <w:tc>
          <w:tcPr>
            <w:tcW w:type="dxa" w:w="1440"/>
            <w:shd w:val="clear" w:fill="F0F7F4"/>
          </w:tcPr>
          <w:p>
            <w:r/>
            <w:r>
              <w:rPr>
                <w:rFonts w:ascii="Arial" w:hAnsi="Arial"/>
                <w:sz w:val="18"/>
              </w:rPr>
              <w:t>CS -&gt; CSMS</w:t>
            </w:r>
          </w:p>
        </w:tc>
        <w:tc>
          <w:tcPr>
            <w:tcW w:type="dxa" w:w="3312"/>
            <w:shd w:val="clear" w:fill="F0F7F4"/>
          </w:tcPr>
          <w:p>
            <w:r/>
            <w:r>
              <w:rPr>
                <w:rFonts w:ascii="Arial" w:hAnsi="Arial"/>
                <w:sz w:val="18"/>
              </w:rPr>
              <w:t>StopTransaction {meterStop}</w:t>
            </w:r>
          </w:p>
        </w:tc>
        <w:tc>
          <w:tcPr>
            <w:tcW w:type="dxa" w:w="3456"/>
            <w:shd w:val="clear" w:fill="F0F7F4"/>
          </w:tcPr>
          <w:p>
            <w:r/>
            <w:r>
              <w:rPr>
                <w:rFonts w:ascii="Arial" w:hAnsi="Arial"/>
                <w:sz w:val="18"/>
              </w:rPr>
              <w:t>Close session, calculate cost, generate CDR</w:t>
            </w:r>
          </w:p>
        </w:tc>
      </w:tr>
      <w:tr>
        <w:tc>
          <w:tcPr>
            <w:tcW w:type="dxa" w:w="1152"/>
          </w:tcPr>
          <w:p>
            <w:r/>
            <w:r>
              <w:rPr>
                <w:rFonts w:ascii="Arial" w:hAnsi="Arial"/>
                <w:sz w:val="18"/>
              </w:rPr>
              <w:t>7. Unplug</w:t>
            </w:r>
          </w:p>
        </w:tc>
        <w:tc>
          <w:tcPr>
            <w:tcW w:type="dxa" w:w="1440"/>
          </w:tcPr>
          <w:p>
            <w:r/>
            <w:r>
              <w:rPr>
                <w:rFonts w:ascii="Arial" w:hAnsi="Arial"/>
                <w:sz w:val="18"/>
              </w:rPr>
              <w:t>CS -&gt; CSMS</w:t>
            </w:r>
          </w:p>
        </w:tc>
        <w:tc>
          <w:tcPr>
            <w:tcW w:type="dxa" w:w="3312"/>
          </w:tcPr>
          <w:p>
            <w:r/>
            <w:r>
              <w:rPr>
                <w:rFonts w:ascii="Arial" w:hAnsi="Arial"/>
                <w:sz w:val="18"/>
              </w:rPr>
              <w:t>StatusNotification {Available}</w:t>
            </w:r>
          </w:p>
        </w:tc>
        <w:tc>
          <w:tcPr>
            <w:tcW w:type="dxa" w:w="3456"/>
          </w:tcPr>
          <w:p>
            <w:r/>
            <w:r>
              <w:rPr>
                <w:rFonts w:ascii="Arial" w:hAnsi="Arial"/>
                <w:sz w:val="18"/>
              </w:rPr>
              <w:t>Update connector to Available</w:t>
            </w:r>
          </w:p>
        </w:tc>
      </w:tr>
    </w:tbl>
    <w:p>
      <w:pPr>
        <w:pStyle w:val="Heading2"/>
      </w:pPr>
      <w:r>
        <w:t>6.3 OCPP 2.0.1 Session Flow</w:t>
      </w:r>
    </w:p>
    <w:p>
      <w:r>
        <w:t>In OCPP 2.0.1, the separate StartTransaction, StopTransaction, MeterValues, and StatusNotification messages are consolidated into a single TransactionEvent message. Each event carries an eventType (Started, Updated, Ended), a triggerReason, the current chargingState, and embedded meter values.</w:t>
      </w:r>
    </w:p>
    <w:p>
      <w:pPr>
        <w:pStyle w:val="Heading2"/>
      </w:pPr>
      <w:r>
        <w:t>6.4 Edge Cases</w:t>
      </w:r>
    </w:p>
    <w:p>
      <w:pPr>
        <w:pStyle w:val="ListBullet"/>
      </w:pPr>
      <w:r>
        <w:rPr>
          <w:rFonts w:ascii="Arial" w:hAnsi="Arial"/>
          <w:b/>
          <w:sz w:val="20"/>
        </w:rPr>
        <w:t xml:space="preserve">Offline Charging: </w:t>
      </w:r>
      <w:r>
        <w:rPr>
          <w:rFonts w:ascii="Arial" w:hAnsi="Arial"/>
          <w:sz w:val="20"/>
        </w:rPr>
        <w:t>When the CSMS is unreachable, chargers use local auth lists to authorize sessions. Queued messages are sent upon reconnection, and the CSMS reconciles out-of-order events.</w:t>
      </w:r>
    </w:p>
    <w:p>
      <w:pPr>
        <w:pStyle w:val="ListBullet"/>
      </w:pPr>
      <w:r>
        <w:rPr>
          <w:rFonts w:ascii="Arial" w:hAnsi="Arial"/>
          <w:b/>
          <w:sz w:val="20"/>
        </w:rPr>
        <w:t xml:space="preserve">Orphaned Sessions: </w:t>
      </w:r>
      <w:r>
        <w:rPr>
          <w:rFonts w:ascii="Arial" w:hAnsi="Arial"/>
          <w:sz w:val="20"/>
        </w:rPr>
        <w:t>If a charger reboots mid-session, it sends BootNotification on reconnect. The CSMS detects orphaned ACTIVE sessions and closes them using the last known meter value.</w:t>
      </w:r>
    </w:p>
    <w:p>
      <w:pPr>
        <w:pStyle w:val="ListBullet"/>
      </w:pPr>
      <w:r>
        <w:rPr>
          <w:rFonts w:ascii="Arial" w:hAnsi="Arial"/>
          <w:b/>
          <w:sz w:val="20"/>
        </w:rPr>
        <w:t xml:space="preserve">Concurrent Transactions: </w:t>
      </w:r>
      <w:r>
        <w:rPr>
          <w:rFonts w:ascii="Arial" w:hAnsi="Arial"/>
          <w:sz w:val="20"/>
        </w:rPr>
        <w:t>OCPP 1.6 allows one transaction per connector. OCPP 2.0.1 is configurable per EVSE. The CSMS enforces these constraints.</w:t>
      </w:r>
    </w:p>
    <w:p>
      <w:pPr>
        <w:pStyle w:val="ListBullet"/>
      </w:pPr>
      <w:r>
        <w:rPr>
          <w:rFonts w:ascii="Arial" w:hAnsi="Arial"/>
          <w:b/>
          <w:sz w:val="20"/>
        </w:rPr>
        <w:t xml:space="preserve">Clock Drift: </w:t>
      </w:r>
      <w:r>
        <w:rPr>
          <w:rFonts w:ascii="Arial" w:hAnsi="Arial"/>
          <w:sz w:val="20"/>
        </w:rPr>
        <w:t>Charger timestamps may drift. The CSMS synchronizes clocks via BootNotification.conf.currentTime and gracefully handles slightly out-of-order meter readings.</w:t>
      </w:r>
    </w:p>
    <w:p>
      <w:r>
        <w:br w:type="page"/>
      </w:r>
    </w:p>
    <w:p>
      <w:pPr>
        <w:pStyle w:val="Heading1"/>
      </w:pPr>
      <w:r>
        <w:t>7. Data Architecture</w:t>
      </w:r>
    </w:p>
    <w:p>
      <w:pPr>
        <w:pStyle w:val="Heading2"/>
      </w:pPr>
      <w:r>
        <w:t>7.1 Entity Relationship Overview</w:t>
      </w:r>
    </w:p>
    <w:p>
      <w:pPr>
        <w:shd w:val="clear" w:fill="F5F7F6"/>
        <w:spacing w:before="80" w:after="80"/>
        <w:ind w:left="432"/>
      </w:pPr>
      <w:r>
        <w:rPr>
          <w:rFonts w:ascii="Consolas" w:hAnsi="Consolas"/>
          <w:color w:val="1A2332"/>
          <w:sz w:val="17"/>
        </w:rPr>
        <w:t>organizations         -- CPO or eMSP entities</w:t>
        <w:br/>
        <w:t>+-- locations          -- Physical charging sites</w:t>
        <w:br/>
        <w:t>|   +-- evses          -- Individual EVSE units</w:t>
        <w:br/>
        <w:t>|       +-- connectors -- Physical plugs (Type2, CCS, CHAdeMO, NACS)</w:t>
        <w:br/>
        <w:t>+-- charging_stations  -- OCPP-registered devices</w:t>
        <w:br/>
        <w:t>+-- id_tokens          -- RFID cards, eMAIDs, app tokens</w:t>
        <w:br/>
        <w:t>+-- drivers            -- End users / EV drivers</w:t>
        <w:br/>
        <w:t>+-- vehicles           -- Registered electric vehicles</w:t>
        <w:br/>
        <w:t>+-- tariffs            -- Pricing plans and rate structures</w:t>
        <w:br/>
        <w:br/>
        <w:t>charging_sessions      -- Central entity linking everything</w:t>
        <w:br/>
        <w:t>+-- meter_values       -- Time-series energy/power readings</w:t>
        <w:br/>
        <w:t>+-- transaction_events -- OCPP 2.0.1 event log</w:t>
        <w:br/>
        <w:t>+-- cdrs               -- Charge Detail Records for billing</w:t>
        <w:br/>
        <w:br/>
        <w:t>ocpi_tokens            -- Roaming partner tokens</w:t>
        <w:br/>
        <w:t>ocpi_credentials       -- Registered OCPI peer connections</w:t>
        <w:br/>
        <w:t>ocpp_messages_log      -- Raw OCPP audit trail</w:t>
        <w:br/>
      </w:r>
    </w:p>
    <w:p>
      <w:pPr>
        <w:pStyle w:val="Heading2"/>
      </w:pPr>
      <w:r>
        <w:t>7.2 Core Tables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fill="0B5594"/>
          </w:tcPr>
          <w:p>
            <w:pPr>
              <w:jc w:val="left"/>
            </w:pPr>
            <w:r/>
            <w:r>
              <w:rPr>
                <w:rFonts w:ascii="Arial" w:hAnsi="Arial"/>
                <w:b/>
                <w:color w:val="FFFFFF"/>
                <w:sz w:val="19"/>
              </w:rPr>
              <w:t>Table</w:t>
            </w:r>
          </w:p>
        </w:tc>
        <w:tc>
          <w:tcPr>
            <w:tcW w:type="dxa" w:w="2592"/>
            <w:shd w:val="clear" w:fill="0B5594"/>
          </w:tcPr>
          <w:p>
            <w:pPr>
              <w:jc w:val="left"/>
            </w:pPr>
            <w:r/>
            <w:r>
              <w:rPr>
                <w:rFonts w:ascii="Arial" w:hAnsi="Arial"/>
                <w:b/>
                <w:color w:val="FFFFFF"/>
                <w:sz w:val="19"/>
              </w:rPr>
              <w:t>Est. Rows/Month (1K chargers)</w:t>
            </w:r>
          </w:p>
        </w:tc>
        <w:tc>
          <w:tcPr>
            <w:tcW w:type="dxa" w:w="2016"/>
            <w:shd w:val="clear" w:fill="0B5594"/>
          </w:tcPr>
          <w:p>
            <w:pPr>
              <w:jc w:val="left"/>
            </w:pPr>
            <w:r/>
            <w:r>
              <w:rPr>
                <w:rFonts w:ascii="Arial" w:hAnsi="Arial"/>
                <w:b/>
                <w:color w:val="FFFFFF"/>
                <w:sz w:val="19"/>
              </w:rPr>
              <w:t>Partitioning</w:t>
            </w:r>
          </w:p>
        </w:tc>
        <w:tc>
          <w:tcPr>
            <w:tcW w:type="dxa" w:w="2160"/>
            <w:shd w:val="clear" w:fill="0B5594"/>
          </w:tcPr>
          <w:p>
            <w:pPr>
              <w:jc w:val="left"/>
            </w:pPr>
            <w:r/>
            <w:r>
              <w:rPr>
                <w:rFonts w:ascii="Arial" w:hAnsi="Arial"/>
                <w:b/>
                <w:color w:val="FFFFFF"/>
                <w:sz w:val="19"/>
              </w:rPr>
              <w:t>Storage Strategy</w:t>
            </w:r>
          </w:p>
        </w:tc>
      </w:tr>
      <w:tr>
        <w:tc>
          <w:tcPr>
            <w:tcW w:type="dxa" w:w="2592"/>
          </w:tcPr>
          <w:p>
            <w:r/>
            <w:r>
              <w:rPr>
                <w:rFonts w:ascii="Arial" w:hAnsi="Arial"/>
                <w:sz w:val="18"/>
              </w:rPr>
              <w:t>meter_values</w:t>
            </w:r>
          </w:p>
        </w:tc>
        <w:tc>
          <w:tcPr>
            <w:tcW w:type="dxa" w:w="2592"/>
          </w:tcPr>
          <w:p>
            <w:r/>
            <w:r>
              <w:rPr>
                <w:rFonts w:ascii="Arial" w:hAnsi="Arial"/>
                <w:sz w:val="18"/>
              </w:rPr>
              <w:t>~43 million</w:t>
            </w:r>
          </w:p>
        </w:tc>
        <w:tc>
          <w:tcPr>
            <w:tcW w:type="dxa" w:w="2016"/>
          </w:tcPr>
          <w:p>
            <w:r/>
            <w:r>
              <w:rPr>
                <w:rFonts w:ascii="Arial" w:hAnsi="Arial"/>
                <w:sz w:val="18"/>
              </w:rPr>
              <w:t>By month (hypertable)</w:t>
            </w:r>
          </w:p>
        </w:tc>
        <w:tc>
          <w:tcPr>
            <w:tcW w:type="dxa" w:w="2160"/>
          </w:tcPr>
          <w:p>
            <w:r/>
            <w:r>
              <w:rPr>
                <w:rFonts w:ascii="Arial" w:hAnsi="Arial"/>
                <w:sz w:val="18"/>
              </w:rPr>
              <w:t>TimescaleDB with compression</w:t>
            </w:r>
          </w:p>
        </w:tc>
      </w:tr>
      <w:tr>
        <w:tc>
          <w:tcPr>
            <w:tcW w:type="dxa" w:w="2592"/>
            <w:shd w:val="clear" w:fill="F0F7F4"/>
          </w:tcPr>
          <w:p>
            <w:r/>
            <w:r>
              <w:rPr>
                <w:rFonts w:ascii="Arial" w:hAnsi="Arial"/>
                <w:sz w:val="18"/>
              </w:rPr>
              <w:t>ocpp_messages_log</w:t>
            </w:r>
          </w:p>
        </w:tc>
        <w:tc>
          <w:tcPr>
            <w:tcW w:type="dxa" w:w="2592"/>
            <w:shd w:val="clear" w:fill="F0F7F4"/>
          </w:tcPr>
          <w:p>
            <w:r/>
            <w:r>
              <w:rPr>
                <w:rFonts w:ascii="Arial" w:hAnsi="Arial"/>
                <w:sz w:val="18"/>
              </w:rPr>
              <w:t>~15 million</w:t>
            </w:r>
          </w:p>
        </w:tc>
        <w:tc>
          <w:tcPr>
            <w:tcW w:type="dxa" w:w="2016"/>
            <w:shd w:val="clear" w:fill="F0F7F4"/>
          </w:tcPr>
          <w:p>
            <w:r/>
            <w:r>
              <w:rPr>
                <w:rFonts w:ascii="Arial" w:hAnsi="Arial"/>
                <w:sz w:val="18"/>
              </w:rPr>
              <w:t>By month</w:t>
            </w:r>
          </w:p>
        </w:tc>
        <w:tc>
          <w:tcPr>
            <w:tcW w:type="dxa" w:w="2160"/>
            <w:shd w:val="clear" w:fill="F0F7F4"/>
          </w:tcPr>
          <w:p>
            <w:r/>
            <w:r>
              <w:rPr>
                <w:rFonts w:ascii="Arial" w:hAnsi="Arial"/>
                <w:sz w:val="18"/>
              </w:rPr>
              <w:t>PostgreSQL partitioned table</w:t>
            </w:r>
          </w:p>
        </w:tc>
      </w:tr>
      <w:tr>
        <w:tc>
          <w:tcPr>
            <w:tcW w:type="dxa" w:w="2592"/>
          </w:tcPr>
          <w:p>
            <w:r/>
            <w:r>
              <w:rPr>
                <w:rFonts w:ascii="Arial" w:hAnsi="Arial"/>
                <w:sz w:val="18"/>
              </w:rPr>
              <w:t>connector_status_history</w:t>
            </w:r>
          </w:p>
        </w:tc>
        <w:tc>
          <w:tcPr>
            <w:tcW w:type="dxa" w:w="2592"/>
          </w:tcPr>
          <w:p>
            <w:r/>
            <w:r>
              <w:rPr>
                <w:rFonts w:ascii="Arial" w:hAnsi="Arial"/>
                <w:sz w:val="18"/>
              </w:rPr>
              <w:t>~1.5 million</w:t>
            </w:r>
          </w:p>
        </w:tc>
        <w:tc>
          <w:tcPr>
            <w:tcW w:type="dxa" w:w="2016"/>
          </w:tcPr>
          <w:p>
            <w:r/>
            <w:r>
              <w:rPr>
                <w:rFonts w:ascii="Arial" w:hAnsi="Arial"/>
                <w:sz w:val="18"/>
              </w:rPr>
              <w:t>By month</w:t>
            </w:r>
          </w:p>
        </w:tc>
        <w:tc>
          <w:tcPr>
            <w:tcW w:type="dxa" w:w="2160"/>
          </w:tcPr>
          <w:p>
            <w:r/>
            <w:r>
              <w:rPr>
                <w:rFonts w:ascii="Arial" w:hAnsi="Arial"/>
                <w:sz w:val="18"/>
              </w:rPr>
              <w:t>PostgreSQL partitioned table</w:t>
            </w:r>
          </w:p>
        </w:tc>
      </w:tr>
      <w:tr>
        <w:tc>
          <w:tcPr>
            <w:tcW w:type="dxa" w:w="2592"/>
            <w:shd w:val="clear" w:fill="F0F7F4"/>
          </w:tcPr>
          <w:p>
            <w:r/>
            <w:r>
              <w:rPr>
                <w:rFonts w:ascii="Arial" w:hAnsi="Arial"/>
                <w:sz w:val="18"/>
              </w:rPr>
              <w:t>charging_sessions</w:t>
            </w:r>
          </w:p>
        </w:tc>
        <w:tc>
          <w:tcPr>
            <w:tcW w:type="dxa" w:w="2592"/>
            <w:shd w:val="clear" w:fill="F0F7F4"/>
          </w:tcPr>
          <w:p>
            <w:r/>
            <w:r>
              <w:rPr>
                <w:rFonts w:ascii="Arial" w:hAnsi="Arial"/>
                <w:sz w:val="18"/>
              </w:rPr>
              <w:t>~150,000</w:t>
            </w:r>
          </w:p>
        </w:tc>
        <w:tc>
          <w:tcPr>
            <w:tcW w:type="dxa" w:w="2016"/>
            <w:shd w:val="clear" w:fill="F0F7F4"/>
          </w:tcPr>
          <w:p>
            <w:r/>
            <w:r>
              <w:rPr>
                <w:rFonts w:ascii="Arial" w:hAnsi="Arial"/>
                <w:sz w:val="18"/>
              </w:rPr>
              <w:t>None (indexed)</w:t>
            </w:r>
          </w:p>
        </w:tc>
        <w:tc>
          <w:tcPr>
            <w:tcW w:type="dxa" w:w="2160"/>
            <w:shd w:val="clear" w:fill="F0F7F4"/>
          </w:tcPr>
          <w:p>
            <w:r/>
            <w:r>
              <w:rPr>
                <w:rFonts w:ascii="Arial" w:hAnsi="Arial"/>
                <w:sz w:val="18"/>
              </w:rPr>
              <w:t>PostgreSQL with partial indexes</w:t>
            </w:r>
          </w:p>
        </w:tc>
      </w:tr>
      <w:tr>
        <w:tc>
          <w:tcPr>
            <w:tcW w:type="dxa" w:w="2592"/>
          </w:tcPr>
          <w:p>
            <w:r/>
            <w:r>
              <w:rPr>
                <w:rFonts w:ascii="Arial" w:hAnsi="Arial"/>
                <w:sz w:val="18"/>
              </w:rPr>
              <w:t>transaction_events</w:t>
            </w:r>
          </w:p>
        </w:tc>
        <w:tc>
          <w:tcPr>
            <w:tcW w:type="dxa" w:w="2592"/>
          </w:tcPr>
          <w:p>
            <w:r/>
            <w:r>
              <w:rPr>
                <w:rFonts w:ascii="Arial" w:hAnsi="Arial"/>
                <w:sz w:val="18"/>
              </w:rPr>
              <w:t>~900,000</w:t>
            </w:r>
          </w:p>
        </w:tc>
        <w:tc>
          <w:tcPr>
            <w:tcW w:type="dxa" w:w="2016"/>
          </w:tcPr>
          <w:p>
            <w:r/>
            <w:r>
              <w:rPr>
                <w:rFonts w:ascii="Arial" w:hAnsi="Arial"/>
                <w:sz w:val="18"/>
              </w:rPr>
              <w:t>None (indexed)</w:t>
            </w:r>
          </w:p>
        </w:tc>
        <w:tc>
          <w:tcPr>
            <w:tcW w:type="dxa" w:w="2160"/>
          </w:tcPr>
          <w:p>
            <w:r/>
            <w:r>
              <w:rPr>
                <w:rFonts w:ascii="Arial" w:hAnsi="Arial"/>
                <w:sz w:val="18"/>
              </w:rPr>
              <w:t>PostgreSQL indexed by session</w:t>
            </w:r>
          </w:p>
        </w:tc>
      </w:tr>
      <w:tr>
        <w:tc>
          <w:tcPr>
            <w:tcW w:type="dxa" w:w="2592"/>
            <w:shd w:val="clear" w:fill="F0F7F4"/>
          </w:tcPr>
          <w:p>
            <w:r/>
            <w:r>
              <w:rPr>
                <w:rFonts w:ascii="Arial" w:hAnsi="Arial"/>
                <w:sz w:val="18"/>
              </w:rPr>
              <w:t>cdrs</w:t>
            </w:r>
          </w:p>
        </w:tc>
        <w:tc>
          <w:tcPr>
            <w:tcW w:type="dxa" w:w="2592"/>
            <w:shd w:val="clear" w:fill="F0F7F4"/>
          </w:tcPr>
          <w:p>
            <w:r/>
            <w:r>
              <w:rPr>
                <w:rFonts w:ascii="Arial" w:hAnsi="Arial"/>
                <w:sz w:val="18"/>
              </w:rPr>
              <w:t>~150,000</w:t>
            </w:r>
          </w:p>
        </w:tc>
        <w:tc>
          <w:tcPr>
            <w:tcW w:type="dxa" w:w="2016"/>
            <w:shd w:val="clear" w:fill="F0F7F4"/>
          </w:tcPr>
          <w:p>
            <w:r/>
            <w:r>
              <w:rPr>
                <w:rFonts w:ascii="Arial" w:hAnsi="Arial"/>
                <w:sz w:val="18"/>
              </w:rPr>
              <w:t>None (indexed)</w:t>
            </w:r>
          </w:p>
        </w:tc>
        <w:tc>
          <w:tcPr>
            <w:tcW w:type="dxa" w:w="2160"/>
            <w:shd w:val="clear" w:fill="F0F7F4"/>
          </w:tcPr>
          <w:p>
            <w:r/>
            <w:r>
              <w:rPr>
                <w:rFonts w:ascii="Arial" w:hAnsi="Arial"/>
                <w:sz w:val="18"/>
              </w:rPr>
              <w:t>PostgreSQL with JSONB fields</w:t>
            </w:r>
          </w:p>
        </w:tc>
      </w:tr>
      <w:tr>
        <w:tc>
          <w:tcPr>
            <w:tcW w:type="dxa" w:w="2592"/>
          </w:tcPr>
          <w:p>
            <w:r/>
            <w:r>
              <w:rPr>
                <w:rFonts w:ascii="Arial" w:hAnsi="Arial"/>
                <w:sz w:val="18"/>
              </w:rPr>
              <w:t>id_tokens</w:t>
            </w:r>
          </w:p>
        </w:tc>
        <w:tc>
          <w:tcPr>
            <w:tcW w:type="dxa" w:w="2592"/>
          </w:tcPr>
          <w:p>
            <w:r/>
            <w:r>
              <w:rPr>
                <w:rFonts w:ascii="Arial" w:hAnsi="Arial"/>
                <w:sz w:val="18"/>
              </w:rPr>
              <w:t>~50,000 total</w:t>
            </w:r>
          </w:p>
        </w:tc>
        <w:tc>
          <w:tcPr>
            <w:tcW w:type="dxa" w:w="2016"/>
          </w:tcPr>
          <w:p>
            <w:r/>
            <w:r>
              <w:rPr>
                <w:rFonts w:ascii="Arial" w:hAnsi="Arial"/>
                <w:sz w:val="18"/>
              </w:rPr>
              <w:t>None</w:t>
            </w:r>
          </w:p>
        </w:tc>
        <w:tc>
          <w:tcPr>
            <w:tcW w:type="dxa" w:w="2160"/>
          </w:tcPr>
          <w:p>
            <w:r/>
            <w:r>
              <w:rPr>
                <w:rFonts w:ascii="Arial" w:hAnsi="Arial"/>
                <w:sz w:val="18"/>
              </w:rPr>
              <w:t>PostgreSQL with unique constraints</w:t>
            </w:r>
          </w:p>
        </w:tc>
      </w:tr>
    </w:tbl>
    <w:p>
      <w:pPr>
        <w:pStyle w:val="Heading2"/>
      </w:pPr>
      <w:r>
        <w:t>7.3 Data Flows</w:t>
      </w:r>
    </w:p>
    <w:p>
      <w:r>
        <w:t>Meter values flow from charger to CSMS via OCPP MeterValues/TransactionEvent messages, are stored in TimescaleDB hypertables for efficient time-series queries, and are aggregated into session totals and CDR charging periods for billing. The CDRs are then synced to roaming partners via OCPI. An async sync queue with retry logic ensures reliable delivery.</w:t>
      </w:r>
    </w:p>
    <w:p>
      <w:r>
        <w:br w:type="page"/>
      </w:r>
    </w:p>
    <w:p>
      <w:pPr>
        <w:pStyle w:val="Heading1"/>
      </w:pPr>
      <w:r>
        <w:t>8. Integration Interfaces</w:t>
      </w:r>
    </w:p>
    <w:p>
      <w:pPr>
        <w:pStyle w:val="Heading2"/>
      </w:pPr>
      <w:r>
        <w:t>8.1 OCPP Interface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fill="0B5594"/>
          </w:tcPr>
          <w:p>
            <w:pPr>
              <w:jc w:val="left"/>
            </w:pPr>
            <w:r/>
            <w:r>
              <w:rPr>
                <w:rFonts w:ascii="Arial" w:hAnsi="Arial"/>
                <w:b/>
                <w:color w:val="FFFFFF"/>
                <w:sz w:val="19"/>
              </w:rPr>
              <w:t>Interface</w:t>
            </w:r>
          </w:p>
        </w:tc>
        <w:tc>
          <w:tcPr>
            <w:tcW w:type="dxa" w:w="2304"/>
            <w:shd w:val="clear" w:fill="0B5594"/>
          </w:tcPr>
          <w:p>
            <w:pPr>
              <w:jc w:val="left"/>
            </w:pPr>
            <w:r/>
            <w:r>
              <w:rPr>
                <w:rFonts w:ascii="Arial" w:hAnsi="Arial"/>
                <w:b/>
                <w:color w:val="FFFFFF"/>
                <w:sz w:val="19"/>
              </w:rPr>
              <w:t>Protocol</w:t>
            </w:r>
          </w:p>
        </w:tc>
        <w:tc>
          <w:tcPr>
            <w:tcW w:type="dxa" w:w="1728"/>
            <w:shd w:val="clear" w:fill="0B5594"/>
          </w:tcPr>
          <w:p>
            <w:pPr>
              <w:jc w:val="left"/>
            </w:pPr>
            <w:r/>
            <w:r>
              <w:rPr>
                <w:rFonts w:ascii="Arial" w:hAnsi="Arial"/>
                <w:b/>
                <w:color w:val="FFFFFF"/>
                <w:sz w:val="19"/>
              </w:rPr>
              <w:t>Direction</w:t>
            </w:r>
          </w:p>
        </w:tc>
        <w:tc>
          <w:tcPr>
            <w:tcW w:type="dxa" w:w="864"/>
            <w:shd w:val="clear" w:fill="0B5594"/>
          </w:tcPr>
          <w:p>
            <w:pPr>
              <w:jc w:val="left"/>
            </w:pPr>
            <w:r/>
            <w:r>
              <w:rPr>
                <w:rFonts w:ascii="Arial" w:hAnsi="Arial"/>
                <w:b/>
                <w:color w:val="FFFFFF"/>
                <w:sz w:val="19"/>
              </w:rPr>
              <w:t>Port</w:t>
            </w:r>
          </w:p>
        </w:tc>
        <w:tc>
          <w:tcPr>
            <w:tcW w:type="dxa" w:w="2736"/>
            <w:shd w:val="clear" w:fill="0B5594"/>
          </w:tcPr>
          <w:p>
            <w:pPr>
              <w:jc w:val="left"/>
            </w:pPr>
            <w:r/>
            <w:r>
              <w:rPr>
                <w:rFonts w:ascii="Arial" w:hAnsi="Arial"/>
                <w:b/>
                <w:color w:val="FFFFFF"/>
                <w:sz w:val="19"/>
              </w:rPr>
              <w:t>Authentication</w:t>
            </w:r>
          </w:p>
        </w:tc>
      </w:tr>
      <w:tr>
        <w:tc>
          <w:tcPr>
            <w:tcW w:type="dxa" w:w="1728"/>
          </w:tcPr>
          <w:p>
            <w:r/>
            <w:r>
              <w:rPr>
                <w:rFonts w:ascii="Arial" w:hAnsi="Arial"/>
                <w:sz w:val="18"/>
              </w:rPr>
              <w:t>OCPP 1.6J</w:t>
            </w:r>
          </w:p>
        </w:tc>
        <w:tc>
          <w:tcPr>
            <w:tcW w:type="dxa" w:w="2304"/>
          </w:tcPr>
          <w:p>
            <w:r/>
            <w:r>
              <w:rPr>
                <w:rFonts w:ascii="Arial" w:hAnsi="Arial"/>
                <w:sz w:val="18"/>
              </w:rPr>
              <w:t>WebSocket (wss://)</w:t>
            </w:r>
          </w:p>
        </w:tc>
        <w:tc>
          <w:tcPr>
            <w:tcW w:type="dxa" w:w="1728"/>
          </w:tcPr>
          <w:p>
            <w:r/>
            <w:r>
              <w:rPr>
                <w:rFonts w:ascii="Arial" w:hAnsi="Arial"/>
                <w:sz w:val="18"/>
              </w:rPr>
              <w:t>Bidirectional</w:t>
            </w:r>
          </w:p>
        </w:tc>
        <w:tc>
          <w:tcPr>
            <w:tcW w:type="dxa" w:w="864"/>
          </w:tcPr>
          <w:p>
            <w:r/>
            <w:r>
              <w:rPr>
                <w:rFonts w:ascii="Arial" w:hAnsi="Arial"/>
                <w:sz w:val="18"/>
              </w:rPr>
              <w:t>443</w:t>
            </w:r>
          </w:p>
        </w:tc>
        <w:tc>
          <w:tcPr>
            <w:tcW w:type="dxa" w:w="2736"/>
          </w:tcPr>
          <w:p>
            <w:r/>
            <w:r>
              <w:rPr>
                <w:rFonts w:ascii="Arial" w:hAnsi="Arial"/>
                <w:sz w:val="18"/>
              </w:rPr>
              <w:t>Basic Auth or TLS cert</w:t>
            </w:r>
          </w:p>
        </w:tc>
      </w:tr>
      <w:tr>
        <w:tc>
          <w:tcPr>
            <w:tcW w:type="dxa" w:w="1728"/>
            <w:shd w:val="clear" w:fill="F0F7F4"/>
          </w:tcPr>
          <w:p>
            <w:r/>
            <w:r>
              <w:rPr>
                <w:rFonts w:ascii="Arial" w:hAnsi="Arial"/>
                <w:sz w:val="18"/>
              </w:rPr>
              <w:t>OCPP 2.0.1</w:t>
            </w:r>
          </w:p>
        </w:tc>
        <w:tc>
          <w:tcPr>
            <w:tcW w:type="dxa" w:w="2304"/>
            <w:shd w:val="clear" w:fill="F0F7F4"/>
          </w:tcPr>
          <w:p>
            <w:r/>
            <w:r>
              <w:rPr>
                <w:rFonts w:ascii="Arial" w:hAnsi="Arial"/>
                <w:sz w:val="18"/>
              </w:rPr>
              <w:t>WebSocket (wss://)</w:t>
            </w:r>
          </w:p>
        </w:tc>
        <w:tc>
          <w:tcPr>
            <w:tcW w:type="dxa" w:w="1728"/>
            <w:shd w:val="clear" w:fill="F0F7F4"/>
          </w:tcPr>
          <w:p>
            <w:r/>
            <w:r>
              <w:rPr>
                <w:rFonts w:ascii="Arial" w:hAnsi="Arial"/>
                <w:sz w:val="18"/>
              </w:rPr>
              <w:t>Bidirectional</w:t>
            </w:r>
          </w:p>
        </w:tc>
        <w:tc>
          <w:tcPr>
            <w:tcW w:type="dxa" w:w="864"/>
            <w:shd w:val="clear" w:fill="F0F7F4"/>
          </w:tcPr>
          <w:p>
            <w:r/>
            <w:r>
              <w:rPr>
                <w:rFonts w:ascii="Arial" w:hAnsi="Arial"/>
                <w:sz w:val="18"/>
              </w:rPr>
              <w:t>443</w:t>
            </w:r>
          </w:p>
        </w:tc>
        <w:tc>
          <w:tcPr>
            <w:tcW w:type="dxa" w:w="2736"/>
            <w:shd w:val="clear" w:fill="F0F7F4"/>
          </w:tcPr>
          <w:p>
            <w:r/>
            <w:r>
              <w:rPr>
                <w:rFonts w:ascii="Arial" w:hAnsi="Arial"/>
                <w:sz w:val="18"/>
              </w:rPr>
              <w:t>Security Profiles 1-3</w:t>
            </w:r>
          </w:p>
        </w:tc>
      </w:tr>
    </w:tbl>
    <w:p>
      <w:pPr>
        <w:pStyle w:val="Heading2"/>
      </w:pPr>
      <w:r>
        <w:t>8.2 OCPI Interface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fill="0B5594"/>
          </w:tcPr>
          <w:p>
            <w:pPr>
              <w:jc w:val="left"/>
            </w:pPr>
            <w:r/>
            <w:r>
              <w:rPr>
                <w:rFonts w:ascii="Arial" w:hAnsi="Arial"/>
                <w:b/>
                <w:color w:val="FFFFFF"/>
                <w:sz w:val="19"/>
              </w:rPr>
              <w:t>Interface</w:t>
            </w:r>
          </w:p>
        </w:tc>
        <w:tc>
          <w:tcPr>
            <w:tcW w:type="dxa" w:w="1728"/>
            <w:shd w:val="clear" w:fill="0B5594"/>
          </w:tcPr>
          <w:p>
            <w:pPr>
              <w:jc w:val="left"/>
            </w:pPr>
            <w:r/>
            <w:r>
              <w:rPr>
                <w:rFonts w:ascii="Arial" w:hAnsi="Arial"/>
                <w:b/>
                <w:color w:val="FFFFFF"/>
                <w:sz w:val="19"/>
              </w:rPr>
              <w:t>Protocol</w:t>
            </w:r>
          </w:p>
        </w:tc>
        <w:tc>
          <w:tcPr>
            <w:tcW w:type="dxa" w:w="2592"/>
            <w:shd w:val="clear" w:fill="0B5594"/>
          </w:tcPr>
          <w:p>
            <w:pPr>
              <w:jc w:val="left"/>
            </w:pPr>
            <w:r/>
            <w:r>
              <w:rPr>
                <w:rFonts w:ascii="Arial" w:hAnsi="Arial"/>
                <w:b/>
                <w:color w:val="FFFFFF"/>
                <w:sz w:val="19"/>
              </w:rPr>
              <w:t>Direction</w:t>
            </w:r>
          </w:p>
        </w:tc>
        <w:tc>
          <w:tcPr>
            <w:tcW w:type="dxa" w:w="2448"/>
            <w:shd w:val="clear" w:fill="0B5594"/>
          </w:tcPr>
          <w:p>
            <w:pPr>
              <w:jc w:val="left"/>
            </w:pPr>
            <w:r/>
            <w:r>
              <w:rPr>
                <w:rFonts w:ascii="Arial" w:hAnsi="Arial"/>
                <w:b/>
                <w:color w:val="FFFFFF"/>
                <w:sz w:val="19"/>
              </w:rPr>
              <w:t>Authentication</w:t>
            </w:r>
          </w:p>
        </w:tc>
      </w:tr>
      <w:tr>
        <w:tc>
          <w:tcPr>
            <w:tcW w:type="dxa" w:w="2592"/>
          </w:tcPr>
          <w:p>
            <w:r/>
            <w:r>
              <w:rPr>
                <w:rFonts w:ascii="Arial" w:hAnsi="Arial"/>
                <w:sz w:val="18"/>
              </w:rPr>
              <w:t>OCPI 2.2.1 CPO API</w:t>
            </w:r>
          </w:p>
        </w:tc>
        <w:tc>
          <w:tcPr>
            <w:tcW w:type="dxa" w:w="1728"/>
          </w:tcPr>
          <w:p>
            <w:r/>
            <w:r>
              <w:rPr>
                <w:rFonts w:ascii="Arial" w:hAnsi="Arial"/>
                <w:sz w:val="18"/>
              </w:rPr>
              <w:t>REST/HTTPS</w:t>
            </w:r>
          </w:p>
        </w:tc>
        <w:tc>
          <w:tcPr>
            <w:tcW w:type="dxa" w:w="2592"/>
          </w:tcPr>
          <w:p>
            <w:r/>
            <w:r>
              <w:rPr>
                <w:rFonts w:ascii="Arial" w:hAnsi="Arial"/>
                <w:sz w:val="18"/>
              </w:rPr>
              <w:t>eMSP pulls from CPO</w:t>
            </w:r>
          </w:p>
        </w:tc>
        <w:tc>
          <w:tcPr>
            <w:tcW w:type="dxa" w:w="2448"/>
          </w:tcPr>
          <w:p>
            <w:r/>
            <w:r>
              <w:rPr>
                <w:rFonts w:ascii="Arial" w:hAnsi="Arial"/>
                <w:sz w:val="18"/>
              </w:rPr>
              <w:t>Token-based (Authorization header)</w:t>
            </w:r>
          </w:p>
        </w:tc>
      </w:tr>
      <w:tr>
        <w:tc>
          <w:tcPr>
            <w:tcW w:type="dxa" w:w="2592"/>
            <w:shd w:val="clear" w:fill="F0F7F4"/>
          </w:tcPr>
          <w:p>
            <w:r/>
            <w:r>
              <w:rPr>
                <w:rFonts w:ascii="Arial" w:hAnsi="Arial"/>
                <w:sz w:val="18"/>
              </w:rPr>
              <w:t>OCPI 2.2.1 eMSP API</w:t>
            </w:r>
          </w:p>
        </w:tc>
        <w:tc>
          <w:tcPr>
            <w:tcW w:type="dxa" w:w="1728"/>
            <w:shd w:val="clear" w:fill="F0F7F4"/>
          </w:tcPr>
          <w:p>
            <w:r/>
            <w:r>
              <w:rPr>
                <w:rFonts w:ascii="Arial" w:hAnsi="Arial"/>
                <w:sz w:val="18"/>
              </w:rPr>
              <w:t>REST/HTTPS</w:t>
            </w:r>
          </w:p>
        </w:tc>
        <w:tc>
          <w:tcPr>
            <w:tcW w:type="dxa" w:w="2592"/>
            <w:shd w:val="clear" w:fill="F0F7F4"/>
          </w:tcPr>
          <w:p>
            <w:r/>
            <w:r>
              <w:rPr>
                <w:rFonts w:ascii="Arial" w:hAnsi="Arial"/>
                <w:sz w:val="18"/>
              </w:rPr>
              <w:t>CPO pushes to eMSP</w:t>
            </w:r>
          </w:p>
        </w:tc>
        <w:tc>
          <w:tcPr>
            <w:tcW w:type="dxa" w:w="2448"/>
            <w:shd w:val="clear" w:fill="F0F7F4"/>
          </w:tcPr>
          <w:p>
            <w:r/>
            <w:r>
              <w:rPr>
                <w:rFonts w:ascii="Arial" w:hAnsi="Arial"/>
                <w:sz w:val="18"/>
              </w:rPr>
              <w:t>Token-based (Authorization header)</w:t>
            </w:r>
          </w:p>
        </w:tc>
      </w:tr>
    </w:tbl>
    <w:p>
      <w:pPr>
        <w:pStyle w:val="Heading2"/>
      </w:pPr>
      <w:r>
        <w:t>8.3 Driver / Admin REST API</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0B5594"/>
          </w:tcPr>
          <w:p>
            <w:pPr>
              <w:jc w:val="left"/>
            </w:pPr>
            <w:r/>
            <w:r>
              <w:rPr>
                <w:rFonts w:ascii="Arial" w:hAnsi="Arial"/>
                <w:b/>
                <w:color w:val="FFFFFF"/>
                <w:sz w:val="19"/>
              </w:rPr>
              <w:t>Endpoint Group</w:t>
            </w:r>
          </w:p>
        </w:tc>
        <w:tc>
          <w:tcPr>
            <w:tcW w:type="dxa" w:w="1440"/>
            <w:shd w:val="clear" w:fill="0B5594"/>
          </w:tcPr>
          <w:p>
            <w:pPr>
              <w:jc w:val="left"/>
            </w:pPr>
            <w:r/>
            <w:r>
              <w:rPr>
                <w:rFonts w:ascii="Arial" w:hAnsi="Arial"/>
                <w:b/>
                <w:color w:val="FFFFFF"/>
                <w:sz w:val="19"/>
              </w:rPr>
              <w:t>Methods</w:t>
            </w:r>
          </w:p>
        </w:tc>
        <w:tc>
          <w:tcPr>
            <w:tcW w:type="dxa" w:w="5328"/>
            <w:shd w:val="clear" w:fill="0B5594"/>
          </w:tcPr>
          <w:p>
            <w:pPr>
              <w:jc w:val="left"/>
            </w:pPr>
            <w:r/>
            <w:r>
              <w:rPr>
                <w:rFonts w:ascii="Arial" w:hAnsi="Arial"/>
                <w:b/>
                <w:color w:val="FFFFFF"/>
                <w:sz w:val="19"/>
              </w:rPr>
              <w:t>Description</w:t>
            </w:r>
          </w:p>
        </w:tc>
      </w:tr>
      <w:tr>
        <w:tc>
          <w:tcPr>
            <w:tcW w:type="dxa" w:w="2592"/>
          </w:tcPr>
          <w:p>
            <w:r/>
            <w:r>
              <w:rPr>
                <w:rFonts w:ascii="Arial" w:hAnsi="Arial"/>
                <w:sz w:val="18"/>
              </w:rPr>
              <w:t>/api/auth</w:t>
            </w:r>
          </w:p>
        </w:tc>
        <w:tc>
          <w:tcPr>
            <w:tcW w:type="dxa" w:w="1440"/>
          </w:tcPr>
          <w:p>
            <w:r/>
            <w:r>
              <w:rPr>
                <w:rFonts w:ascii="Arial" w:hAnsi="Arial"/>
                <w:sz w:val="18"/>
              </w:rPr>
              <w:t>POST</w:t>
            </w:r>
          </w:p>
        </w:tc>
        <w:tc>
          <w:tcPr>
            <w:tcW w:type="dxa" w:w="5328"/>
          </w:tcPr>
          <w:p>
            <w:r/>
            <w:r>
              <w:rPr>
                <w:rFonts w:ascii="Arial" w:hAnsi="Arial"/>
                <w:sz w:val="18"/>
              </w:rPr>
              <w:t>Login, register, refresh JWT tokens</w:t>
            </w:r>
          </w:p>
        </w:tc>
      </w:tr>
      <w:tr>
        <w:tc>
          <w:tcPr>
            <w:tcW w:type="dxa" w:w="2592"/>
            <w:shd w:val="clear" w:fill="F0F7F4"/>
          </w:tcPr>
          <w:p>
            <w:r/>
            <w:r>
              <w:rPr>
                <w:rFonts w:ascii="Arial" w:hAnsi="Arial"/>
                <w:sz w:val="18"/>
              </w:rPr>
              <w:t>/api/sessions</w:t>
            </w:r>
          </w:p>
        </w:tc>
        <w:tc>
          <w:tcPr>
            <w:tcW w:type="dxa" w:w="1440"/>
            <w:shd w:val="clear" w:fill="F0F7F4"/>
          </w:tcPr>
          <w:p>
            <w:r/>
            <w:r>
              <w:rPr>
                <w:rFonts w:ascii="Arial" w:hAnsi="Arial"/>
                <w:sz w:val="18"/>
              </w:rPr>
              <w:t>GET, POST</w:t>
            </w:r>
          </w:p>
        </w:tc>
        <w:tc>
          <w:tcPr>
            <w:tcW w:type="dxa" w:w="5328"/>
            <w:shd w:val="clear" w:fill="F0F7F4"/>
          </w:tcPr>
          <w:p>
            <w:r/>
            <w:r>
              <w:rPr>
                <w:rFonts w:ascii="Arial" w:hAnsi="Arial"/>
                <w:sz w:val="18"/>
              </w:rPr>
              <w:t>List sessions, remote start/stop charging</w:t>
            </w:r>
          </w:p>
        </w:tc>
      </w:tr>
      <w:tr>
        <w:tc>
          <w:tcPr>
            <w:tcW w:type="dxa" w:w="2592"/>
          </w:tcPr>
          <w:p>
            <w:r/>
            <w:r>
              <w:rPr>
                <w:rFonts w:ascii="Arial" w:hAnsi="Arial"/>
                <w:sz w:val="18"/>
              </w:rPr>
              <w:t>/api/chargers</w:t>
            </w:r>
          </w:p>
        </w:tc>
        <w:tc>
          <w:tcPr>
            <w:tcW w:type="dxa" w:w="1440"/>
          </w:tcPr>
          <w:p>
            <w:r/>
            <w:r>
              <w:rPr>
                <w:rFonts w:ascii="Arial" w:hAnsi="Arial"/>
                <w:sz w:val="18"/>
              </w:rPr>
              <w:t>GET</w:t>
            </w:r>
          </w:p>
        </w:tc>
        <w:tc>
          <w:tcPr>
            <w:tcW w:type="dxa" w:w="5328"/>
          </w:tcPr>
          <w:p>
            <w:r/>
            <w:r>
              <w:rPr>
                <w:rFonts w:ascii="Arial" w:hAnsi="Arial"/>
                <w:sz w:val="18"/>
              </w:rPr>
              <w:t>Browse available chargers, real-time status</w:t>
            </w:r>
          </w:p>
        </w:tc>
      </w:tr>
      <w:tr>
        <w:tc>
          <w:tcPr>
            <w:tcW w:type="dxa" w:w="2592"/>
            <w:shd w:val="clear" w:fill="F0F7F4"/>
          </w:tcPr>
          <w:p>
            <w:r/>
            <w:r>
              <w:rPr>
                <w:rFonts w:ascii="Arial" w:hAnsi="Arial"/>
                <w:sz w:val="18"/>
              </w:rPr>
              <w:t>/api/payments</w:t>
            </w:r>
          </w:p>
        </w:tc>
        <w:tc>
          <w:tcPr>
            <w:tcW w:type="dxa" w:w="1440"/>
            <w:shd w:val="clear" w:fill="F0F7F4"/>
          </w:tcPr>
          <w:p>
            <w:r/>
            <w:r>
              <w:rPr>
                <w:rFonts w:ascii="Arial" w:hAnsi="Arial"/>
                <w:sz w:val="18"/>
              </w:rPr>
              <w:t>GET, POST</w:t>
            </w:r>
          </w:p>
        </w:tc>
        <w:tc>
          <w:tcPr>
            <w:tcW w:type="dxa" w:w="5328"/>
            <w:shd w:val="clear" w:fill="F0F7F4"/>
          </w:tcPr>
          <w:p>
            <w:r/>
            <w:r>
              <w:rPr>
                <w:rFonts w:ascii="Arial" w:hAnsi="Arial"/>
                <w:sz w:val="18"/>
              </w:rPr>
              <w:t>Wallet top-up, payment methods, transaction history</w:t>
            </w:r>
          </w:p>
        </w:tc>
      </w:tr>
      <w:tr>
        <w:tc>
          <w:tcPr>
            <w:tcW w:type="dxa" w:w="2592"/>
          </w:tcPr>
          <w:p>
            <w:r/>
            <w:r>
              <w:rPr>
                <w:rFonts w:ascii="Arial" w:hAnsi="Arial"/>
                <w:sz w:val="18"/>
              </w:rPr>
              <w:t>/api/profile</w:t>
            </w:r>
          </w:p>
        </w:tc>
        <w:tc>
          <w:tcPr>
            <w:tcW w:type="dxa" w:w="1440"/>
          </w:tcPr>
          <w:p>
            <w:r/>
            <w:r>
              <w:rPr>
                <w:rFonts w:ascii="Arial" w:hAnsi="Arial"/>
                <w:sz w:val="18"/>
              </w:rPr>
              <w:t>GET, PUT</w:t>
            </w:r>
          </w:p>
        </w:tc>
        <w:tc>
          <w:tcPr>
            <w:tcW w:type="dxa" w:w="5328"/>
          </w:tcPr>
          <w:p>
            <w:r/>
            <w:r>
              <w:rPr>
                <w:rFonts w:ascii="Arial" w:hAnsi="Arial"/>
                <w:sz w:val="18"/>
              </w:rPr>
              <w:t>Driver profile, vehicles, RFID cards</w:t>
            </w:r>
          </w:p>
        </w:tc>
      </w:tr>
      <w:tr>
        <w:tc>
          <w:tcPr>
            <w:tcW w:type="dxa" w:w="2592"/>
            <w:shd w:val="clear" w:fill="F0F7F4"/>
          </w:tcPr>
          <w:p>
            <w:r/>
            <w:r>
              <w:rPr>
                <w:rFonts w:ascii="Arial" w:hAnsi="Arial"/>
                <w:sz w:val="18"/>
              </w:rPr>
              <w:t>/api/admin/stations</w:t>
            </w:r>
          </w:p>
        </w:tc>
        <w:tc>
          <w:tcPr>
            <w:tcW w:type="dxa" w:w="1440"/>
            <w:shd w:val="clear" w:fill="F0F7F4"/>
          </w:tcPr>
          <w:p>
            <w:r/>
            <w:r>
              <w:rPr>
                <w:rFonts w:ascii="Arial" w:hAnsi="Arial"/>
                <w:sz w:val="18"/>
              </w:rPr>
              <w:t>CRUD</w:t>
            </w:r>
          </w:p>
        </w:tc>
        <w:tc>
          <w:tcPr>
            <w:tcW w:type="dxa" w:w="5328"/>
            <w:shd w:val="clear" w:fill="F0F7F4"/>
          </w:tcPr>
          <w:p>
            <w:r/>
            <w:r>
              <w:rPr>
                <w:rFonts w:ascii="Arial" w:hAnsi="Arial"/>
                <w:sz w:val="18"/>
              </w:rPr>
              <w:t>Manage charging stations, EVSEs, connectors</w:t>
            </w:r>
          </w:p>
        </w:tc>
      </w:tr>
      <w:tr>
        <w:tc>
          <w:tcPr>
            <w:tcW w:type="dxa" w:w="2592"/>
          </w:tcPr>
          <w:p>
            <w:r/>
            <w:r>
              <w:rPr>
                <w:rFonts w:ascii="Arial" w:hAnsi="Arial"/>
                <w:sz w:val="18"/>
              </w:rPr>
              <w:t>/api/admin/tariffs</w:t>
            </w:r>
          </w:p>
        </w:tc>
        <w:tc>
          <w:tcPr>
            <w:tcW w:type="dxa" w:w="1440"/>
          </w:tcPr>
          <w:p>
            <w:r/>
            <w:r>
              <w:rPr>
                <w:rFonts w:ascii="Arial" w:hAnsi="Arial"/>
                <w:sz w:val="18"/>
              </w:rPr>
              <w:t>CRUD</w:t>
            </w:r>
          </w:p>
        </w:tc>
        <w:tc>
          <w:tcPr>
            <w:tcW w:type="dxa" w:w="5328"/>
          </w:tcPr>
          <w:p>
            <w:r/>
            <w:r>
              <w:rPr>
                <w:rFonts w:ascii="Arial" w:hAnsi="Arial"/>
                <w:sz w:val="18"/>
              </w:rPr>
              <w:t>Manage pricing tariffs</w:t>
            </w:r>
          </w:p>
        </w:tc>
      </w:tr>
      <w:tr>
        <w:tc>
          <w:tcPr>
            <w:tcW w:type="dxa" w:w="2592"/>
            <w:shd w:val="clear" w:fill="F0F7F4"/>
          </w:tcPr>
          <w:p>
            <w:r/>
            <w:r>
              <w:rPr>
                <w:rFonts w:ascii="Arial" w:hAnsi="Arial"/>
                <w:sz w:val="18"/>
              </w:rPr>
              <w:t>/api/admin/reports</w:t>
            </w:r>
          </w:p>
        </w:tc>
        <w:tc>
          <w:tcPr>
            <w:tcW w:type="dxa" w:w="1440"/>
            <w:shd w:val="clear" w:fill="F0F7F4"/>
          </w:tcPr>
          <w:p>
            <w:r/>
            <w:r>
              <w:rPr>
                <w:rFonts w:ascii="Arial" w:hAnsi="Arial"/>
                <w:sz w:val="18"/>
              </w:rPr>
              <w:t>GET</w:t>
            </w:r>
          </w:p>
        </w:tc>
        <w:tc>
          <w:tcPr>
            <w:tcW w:type="dxa" w:w="5328"/>
            <w:shd w:val="clear" w:fill="F0F7F4"/>
          </w:tcPr>
          <w:p>
            <w:r/>
            <w:r>
              <w:rPr>
                <w:rFonts w:ascii="Arial" w:hAnsi="Arial"/>
                <w:sz w:val="18"/>
              </w:rPr>
              <w:t>Revenue reports, usage analytics, CDR export</w:t>
            </w:r>
          </w:p>
        </w:tc>
      </w:tr>
    </w:tbl>
    <w:p>
      <w:r>
        <w:br w:type="page"/>
      </w:r>
    </w:p>
    <w:p>
      <w:pPr>
        <w:pStyle w:val="Heading1"/>
      </w:pPr>
      <w:r>
        <w:t>9. Security Architecture</w:t>
      </w:r>
    </w:p>
    <w:p>
      <w:pPr>
        <w:pStyle w:val="Heading2"/>
      </w:pPr>
      <w:r>
        <w:t>9.1 OCPP Security Profiles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fill="0B5594"/>
          </w:tcPr>
          <w:p>
            <w:pPr>
              <w:jc w:val="left"/>
            </w:pPr>
            <w:r/>
            <w:r>
              <w:rPr>
                <w:rFonts w:ascii="Arial" w:hAnsi="Arial"/>
                <w:b/>
                <w:color w:val="FFFFFF"/>
                <w:sz w:val="19"/>
              </w:rPr>
              <w:t>Profile</w:t>
            </w:r>
          </w:p>
        </w:tc>
        <w:tc>
          <w:tcPr>
            <w:tcW w:type="dxa" w:w="2592"/>
            <w:shd w:val="clear" w:fill="0B5594"/>
          </w:tcPr>
          <w:p>
            <w:pPr>
              <w:jc w:val="left"/>
            </w:pPr>
            <w:r/>
            <w:r>
              <w:rPr>
                <w:rFonts w:ascii="Arial" w:hAnsi="Arial"/>
                <w:b/>
                <w:color w:val="FFFFFF"/>
                <w:sz w:val="19"/>
              </w:rPr>
              <w:t>Authentication</w:t>
            </w:r>
          </w:p>
        </w:tc>
        <w:tc>
          <w:tcPr>
            <w:tcW w:type="dxa" w:w="1872"/>
            <w:shd w:val="clear" w:fill="0B5594"/>
          </w:tcPr>
          <w:p>
            <w:pPr>
              <w:jc w:val="left"/>
            </w:pPr>
            <w:r/>
            <w:r>
              <w:rPr>
                <w:rFonts w:ascii="Arial" w:hAnsi="Arial"/>
                <w:b/>
                <w:color w:val="FFFFFF"/>
                <w:sz w:val="19"/>
              </w:rPr>
              <w:t>Encryption</w:t>
            </w:r>
          </w:p>
        </w:tc>
        <w:tc>
          <w:tcPr>
            <w:tcW w:type="dxa" w:w="3456"/>
            <w:shd w:val="clear" w:fill="0B5594"/>
          </w:tcPr>
          <w:p>
            <w:pPr>
              <w:jc w:val="left"/>
            </w:pPr>
            <w:r/>
            <w:r>
              <w:rPr>
                <w:rFonts w:ascii="Arial" w:hAnsi="Arial"/>
                <w:b/>
                <w:color w:val="FFFFFF"/>
                <w:sz w:val="19"/>
              </w:rPr>
              <w:t>Use Case</w:t>
            </w:r>
          </w:p>
        </w:tc>
      </w:tr>
      <w:tr>
        <w:tc>
          <w:tcPr>
            <w:tcW w:type="dxa" w:w="1440"/>
          </w:tcPr>
          <w:p>
            <w:r/>
            <w:r>
              <w:rPr>
                <w:rFonts w:ascii="Arial" w:hAnsi="Arial"/>
                <w:sz w:val="18"/>
              </w:rPr>
              <w:t>Profile 0</w:t>
            </w:r>
          </w:p>
        </w:tc>
        <w:tc>
          <w:tcPr>
            <w:tcW w:type="dxa" w:w="2592"/>
          </w:tcPr>
          <w:p>
            <w:r/>
            <w:r>
              <w:rPr>
                <w:rFonts w:ascii="Arial" w:hAnsi="Arial"/>
                <w:sz w:val="18"/>
              </w:rPr>
              <w:t>None</w:t>
            </w:r>
          </w:p>
        </w:tc>
        <w:tc>
          <w:tcPr>
            <w:tcW w:type="dxa" w:w="1872"/>
          </w:tcPr>
          <w:p>
            <w:r/>
            <w:r>
              <w:rPr>
                <w:rFonts w:ascii="Arial" w:hAnsi="Arial"/>
                <w:sz w:val="18"/>
              </w:rPr>
              <w:t>None (ws://)</w:t>
            </w:r>
          </w:p>
        </w:tc>
        <w:tc>
          <w:tcPr>
            <w:tcW w:type="dxa" w:w="3456"/>
          </w:tcPr>
          <w:p>
            <w:r/>
            <w:r>
              <w:rPr>
                <w:rFonts w:ascii="Arial" w:hAnsi="Arial"/>
                <w:sz w:val="18"/>
              </w:rPr>
              <w:t>Development / testing only</w:t>
            </w:r>
          </w:p>
        </w:tc>
      </w:tr>
      <w:tr>
        <w:tc>
          <w:tcPr>
            <w:tcW w:type="dxa" w:w="1440"/>
            <w:shd w:val="clear" w:fill="F0F7F4"/>
          </w:tcPr>
          <w:p>
            <w:r/>
            <w:r>
              <w:rPr>
                <w:rFonts w:ascii="Arial" w:hAnsi="Arial"/>
                <w:sz w:val="18"/>
              </w:rPr>
              <w:t>Profile 1</w:t>
            </w:r>
          </w:p>
        </w:tc>
        <w:tc>
          <w:tcPr>
            <w:tcW w:type="dxa" w:w="2592"/>
            <w:shd w:val="clear" w:fill="F0F7F4"/>
          </w:tcPr>
          <w:p>
            <w:r/>
            <w:r>
              <w:rPr>
                <w:rFonts w:ascii="Arial" w:hAnsi="Arial"/>
                <w:sz w:val="18"/>
              </w:rPr>
              <w:t>HTTP Basic Auth</w:t>
            </w:r>
          </w:p>
        </w:tc>
        <w:tc>
          <w:tcPr>
            <w:tcW w:type="dxa" w:w="1872"/>
            <w:shd w:val="clear" w:fill="F0F7F4"/>
          </w:tcPr>
          <w:p>
            <w:r/>
            <w:r>
              <w:rPr>
                <w:rFonts w:ascii="Arial" w:hAnsi="Arial"/>
                <w:sz w:val="18"/>
              </w:rPr>
              <w:t>None or TLS</w:t>
            </w:r>
          </w:p>
        </w:tc>
        <w:tc>
          <w:tcPr>
            <w:tcW w:type="dxa" w:w="3456"/>
            <w:shd w:val="clear" w:fill="F0F7F4"/>
          </w:tcPr>
          <w:p>
            <w:r/>
            <w:r>
              <w:rPr>
                <w:rFonts w:ascii="Arial" w:hAnsi="Arial"/>
                <w:sz w:val="18"/>
              </w:rPr>
              <w:t>Legacy chargers with password</w:t>
            </w:r>
          </w:p>
        </w:tc>
      </w:tr>
      <w:tr>
        <w:tc>
          <w:tcPr>
            <w:tcW w:type="dxa" w:w="1440"/>
          </w:tcPr>
          <w:p>
            <w:r/>
            <w:r>
              <w:rPr>
                <w:rFonts w:ascii="Arial" w:hAnsi="Arial"/>
                <w:sz w:val="18"/>
              </w:rPr>
              <w:t>Profile 2</w:t>
            </w:r>
          </w:p>
        </w:tc>
        <w:tc>
          <w:tcPr>
            <w:tcW w:type="dxa" w:w="2592"/>
          </w:tcPr>
          <w:p>
            <w:r/>
            <w:r>
              <w:rPr>
                <w:rFonts w:ascii="Arial" w:hAnsi="Arial"/>
                <w:sz w:val="18"/>
              </w:rPr>
              <w:t>TLS Server Certificate</w:t>
            </w:r>
          </w:p>
        </w:tc>
        <w:tc>
          <w:tcPr>
            <w:tcW w:type="dxa" w:w="1872"/>
          </w:tcPr>
          <w:p>
            <w:r/>
            <w:r>
              <w:rPr>
                <w:rFonts w:ascii="Arial" w:hAnsi="Arial"/>
                <w:sz w:val="18"/>
              </w:rPr>
              <w:t>TLS 1.2+</w:t>
            </w:r>
          </w:p>
        </w:tc>
        <w:tc>
          <w:tcPr>
            <w:tcW w:type="dxa" w:w="3456"/>
          </w:tcPr>
          <w:p>
            <w:r/>
            <w:r>
              <w:rPr>
                <w:rFonts w:ascii="Arial" w:hAnsi="Arial"/>
                <w:sz w:val="18"/>
              </w:rPr>
              <w:t>Charger verifies CSMS identity</w:t>
            </w:r>
          </w:p>
        </w:tc>
      </w:tr>
      <w:tr>
        <w:tc>
          <w:tcPr>
            <w:tcW w:type="dxa" w:w="1440"/>
            <w:shd w:val="clear" w:fill="F0F7F4"/>
          </w:tcPr>
          <w:p>
            <w:r/>
            <w:r>
              <w:rPr>
                <w:rFonts w:ascii="Arial" w:hAnsi="Arial"/>
                <w:sz w:val="18"/>
              </w:rPr>
              <w:t>Profile 3</w:t>
            </w:r>
          </w:p>
        </w:tc>
        <w:tc>
          <w:tcPr>
            <w:tcW w:type="dxa" w:w="2592"/>
            <w:shd w:val="clear" w:fill="F0F7F4"/>
          </w:tcPr>
          <w:p>
            <w:r/>
            <w:r>
              <w:rPr>
                <w:rFonts w:ascii="Arial" w:hAnsi="Arial"/>
                <w:sz w:val="18"/>
              </w:rPr>
              <w:t>Mutual TLS (mTLS)</w:t>
            </w:r>
          </w:p>
        </w:tc>
        <w:tc>
          <w:tcPr>
            <w:tcW w:type="dxa" w:w="1872"/>
            <w:shd w:val="clear" w:fill="F0F7F4"/>
          </w:tcPr>
          <w:p>
            <w:r/>
            <w:r>
              <w:rPr>
                <w:rFonts w:ascii="Arial" w:hAnsi="Arial"/>
                <w:sz w:val="18"/>
              </w:rPr>
              <w:t>TLS 1.2+</w:t>
            </w:r>
          </w:p>
        </w:tc>
        <w:tc>
          <w:tcPr>
            <w:tcW w:type="dxa" w:w="3456"/>
            <w:shd w:val="clear" w:fill="F0F7F4"/>
          </w:tcPr>
          <w:p>
            <w:r/>
            <w:r>
              <w:rPr>
                <w:rFonts w:ascii="Arial" w:hAnsi="Arial"/>
                <w:sz w:val="18"/>
              </w:rPr>
              <w:t>Both charger and CSMS verify certificates</w:t>
            </w:r>
          </w:p>
        </w:tc>
      </w:tr>
    </w:tbl>
    <w:p>
      <w:pPr>
        <w:pStyle w:val="Heading2"/>
      </w:pPr>
      <w:r>
        <w:t>9.2 Security Best Practices</w:t>
      </w:r>
    </w:p>
    <w:p>
      <w:pPr>
        <w:pStyle w:val="ListBullet"/>
      </w:pPr>
      <w:r>
        <w:rPr>
          <w:rFonts w:ascii="Arial" w:hAnsi="Arial"/>
          <w:b/>
          <w:sz w:val="20"/>
        </w:rPr>
        <w:t xml:space="preserve">Transport Security: </w:t>
      </w:r>
      <w:r>
        <w:rPr>
          <w:rFonts w:ascii="Arial" w:hAnsi="Arial"/>
          <w:sz w:val="20"/>
        </w:rPr>
        <w:t>All production connections use WSS (WebSocket Secure) with TLS 1.2 or higher. OCPI endpoints require HTTPS only.</w:t>
      </w:r>
    </w:p>
    <w:p>
      <w:pPr>
        <w:pStyle w:val="ListBullet"/>
      </w:pPr>
      <w:r>
        <w:rPr>
          <w:rFonts w:ascii="Arial" w:hAnsi="Arial"/>
          <w:b/>
          <w:sz w:val="20"/>
        </w:rPr>
        <w:t xml:space="preserve">Authentication: </w:t>
      </w:r>
      <w:r>
        <w:rPr>
          <w:rFonts w:ascii="Arial" w:hAnsi="Arial"/>
          <w:sz w:val="20"/>
        </w:rPr>
        <w:t>Charger identity is verified during WebSocket handshake. OCPI partners use rotating bearer tokens. Driver APIs use JWT with refresh tokens.</w:t>
      </w:r>
    </w:p>
    <w:p>
      <w:pPr>
        <w:pStyle w:val="ListBullet"/>
      </w:pPr>
      <w:r>
        <w:rPr>
          <w:rFonts w:ascii="Arial" w:hAnsi="Arial"/>
          <w:b/>
          <w:sz w:val="20"/>
        </w:rPr>
        <w:t xml:space="preserve">Authorization: </w:t>
      </w:r>
      <w:r>
        <w:rPr>
          <w:rFonts w:ascii="Arial" w:hAnsi="Arial"/>
          <w:sz w:val="20"/>
        </w:rPr>
        <w:t>Role-based access control (RBAC) for admin APIs. Token validation uses cascading priority chain with configurable policies.</w:t>
      </w:r>
    </w:p>
    <w:p>
      <w:pPr>
        <w:pStyle w:val="ListBullet"/>
      </w:pPr>
      <w:r>
        <w:rPr>
          <w:rFonts w:ascii="Arial" w:hAnsi="Arial"/>
          <w:b/>
          <w:sz w:val="20"/>
        </w:rPr>
        <w:t xml:space="preserve">Audit Trail: </w:t>
      </w:r>
      <w:r>
        <w:rPr>
          <w:rFonts w:ascii="Arial" w:hAnsi="Arial"/>
          <w:sz w:val="20"/>
        </w:rPr>
        <w:t>All OCPP messages are logged to ocpp_messages_log with timestamps, direction, and full payloads for compliance and dispute resolution.</w:t>
      </w:r>
    </w:p>
    <w:p>
      <w:pPr>
        <w:pStyle w:val="ListBullet"/>
      </w:pPr>
      <w:r>
        <w:rPr>
          <w:rFonts w:ascii="Arial" w:hAnsi="Arial"/>
          <w:b/>
          <w:sz w:val="20"/>
        </w:rPr>
        <w:t xml:space="preserve">Data Integrity: </w:t>
      </w:r>
      <w:r>
        <w:rPr>
          <w:rFonts w:ascii="Arial" w:hAnsi="Arial"/>
          <w:sz w:val="20"/>
        </w:rPr>
        <w:t>OCPP 2.0.1 signed meter values (Eichrecht compliance) ensure tamper-proof billing data.</w:t>
      </w:r>
    </w:p>
    <w:p>
      <w:pPr>
        <w:pStyle w:val="ListBullet"/>
      </w:pPr>
      <w:r>
        <w:rPr>
          <w:rFonts w:ascii="Arial" w:hAnsi="Arial"/>
          <w:b/>
          <w:sz w:val="20"/>
        </w:rPr>
        <w:t xml:space="preserve">Certificate Management: </w:t>
      </w:r>
      <w:r>
        <w:rPr>
          <w:rFonts w:ascii="Arial" w:hAnsi="Arial"/>
          <w:sz w:val="20"/>
        </w:rPr>
        <w:t>Automated certificate rotation for charger TLS and V2G PKI certificates via OCPP InstallCertificate and SignCertificate.</w:t>
      </w:r>
    </w:p>
    <w:p>
      <w:pPr>
        <w:pStyle w:val="ListBullet"/>
      </w:pPr>
      <w:r>
        <w:rPr>
          <w:rFonts w:ascii="Arial" w:hAnsi="Arial"/>
          <w:b/>
          <w:sz w:val="20"/>
        </w:rPr>
        <w:t xml:space="preserve">Rate Limiting: </w:t>
      </w:r>
      <w:r>
        <w:rPr>
          <w:rFonts w:ascii="Arial" w:hAnsi="Arial"/>
          <w:sz w:val="20"/>
        </w:rPr>
        <w:t>WebSocket connections and OCPI API endpoints are rate-limited per charger/partner to prevent abuse.</w:t>
      </w:r>
    </w:p>
    <w:p>
      <w:r>
        <w:br w:type="page"/>
      </w:r>
    </w:p>
    <w:p>
      <w:pPr>
        <w:pStyle w:val="Heading1"/>
      </w:pPr>
      <w:r>
        <w:t>10. Deployment Architecture</w:t>
      </w:r>
    </w:p>
    <w:p>
      <w:pPr>
        <w:pStyle w:val="Heading2"/>
      </w:pPr>
      <w:r>
        <w:t>10.1 Kubernetes Deployment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fill="0B5594"/>
          </w:tcPr>
          <w:p>
            <w:pPr>
              <w:jc w:val="left"/>
            </w:pPr>
            <w:r/>
            <w:r>
              <w:rPr>
                <w:rFonts w:ascii="Arial" w:hAnsi="Arial"/>
                <w:b/>
                <w:color w:val="FFFFFF"/>
                <w:sz w:val="19"/>
              </w:rPr>
              <w:t>Service</w:t>
            </w:r>
          </w:p>
        </w:tc>
        <w:tc>
          <w:tcPr>
            <w:tcW w:type="dxa" w:w="2592"/>
            <w:shd w:val="clear" w:fill="0B5594"/>
          </w:tcPr>
          <w:p>
            <w:pPr>
              <w:jc w:val="left"/>
            </w:pPr>
            <w:r/>
            <w:r>
              <w:rPr>
                <w:rFonts w:ascii="Arial" w:hAnsi="Arial"/>
                <w:b/>
                <w:color w:val="FFFFFF"/>
                <w:sz w:val="19"/>
              </w:rPr>
              <w:t>Replicas</w:t>
            </w:r>
          </w:p>
        </w:tc>
        <w:tc>
          <w:tcPr>
            <w:tcW w:type="dxa" w:w="2016"/>
            <w:shd w:val="clear" w:fill="0B5594"/>
          </w:tcPr>
          <w:p>
            <w:pPr>
              <w:jc w:val="left"/>
            </w:pPr>
            <w:r/>
            <w:r>
              <w:rPr>
                <w:rFonts w:ascii="Arial" w:hAnsi="Arial"/>
                <w:b/>
                <w:color w:val="FFFFFF"/>
                <w:sz w:val="19"/>
              </w:rPr>
              <w:t>Resource</w:t>
            </w:r>
          </w:p>
        </w:tc>
        <w:tc>
          <w:tcPr>
            <w:tcW w:type="dxa" w:w="2160"/>
            <w:shd w:val="clear" w:fill="0B5594"/>
          </w:tcPr>
          <w:p>
            <w:pPr>
              <w:jc w:val="left"/>
            </w:pPr>
            <w:r/>
            <w:r>
              <w:rPr>
                <w:rFonts w:ascii="Arial" w:hAnsi="Arial"/>
                <w:b/>
                <w:color w:val="FFFFFF"/>
                <w:sz w:val="19"/>
              </w:rPr>
              <w:t>Scaling Trigger</w:t>
            </w:r>
          </w:p>
        </w:tc>
      </w:tr>
      <w:tr>
        <w:tc>
          <w:tcPr>
            <w:tcW w:type="dxa" w:w="2592"/>
          </w:tcPr>
          <w:p>
            <w:r/>
            <w:r>
              <w:rPr>
                <w:rFonts w:ascii="Arial" w:hAnsi="Arial"/>
                <w:sz w:val="18"/>
              </w:rPr>
              <w:t>OCPP WebSocket Server</w:t>
            </w:r>
          </w:p>
        </w:tc>
        <w:tc>
          <w:tcPr>
            <w:tcW w:type="dxa" w:w="2592"/>
          </w:tcPr>
          <w:p>
            <w:r/>
            <w:r>
              <w:rPr>
                <w:rFonts w:ascii="Arial" w:hAnsi="Arial"/>
                <w:sz w:val="18"/>
              </w:rPr>
              <w:t>3-10</w:t>
            </w:r>
          </w:p>
        </w:tc>
        <w:tc>
          <w:tcPr>
            <w:tcW w:type="dxa" w:w="2016"/>
          </w:tcPr>
          <w:p>
            <w:r/>
            <w:r>
              <w:rPr>
                <w:rFonts w:ascii="Arial" w:hAnsi="Arial"/>
                <w:sz w:val="18"/>
              </w:rPr>
              <w:t>1 CPU / 2GB RAM</w:t>
            </w:r>
          </w:p>
        </w:tc>
        <w:tc>
          <w:tcPr>
            <w:tcW w:type="dxa" w:w="2160"/>
          </w:tcPr>
          <w:p>
            <w:r/>
            <w:r>
              <w:rPr>
                <w:rFonts w:ascii="Arial" w:hAnsi="Arial"/>
                <w:sz w:val="18"/>
              </w:rPr>
              <w:t>WebSocket connection count</w:t>
            </w:r>
          </w:p>
        </w:tc>
      </w:tr>
      <w:tr>
        <w:tc>
          <w:tcPr>
            <w:tcW w:type="dxa" w:w="2592"/>
            <w:shd w:val="clear" w:fill="F0F7F4"/>
          </w:tcPr>
          <w:p>
            <w:r/>
            <w:r>
              <w:rPr>
                <w:rFonts w:ascii="Arial" w:hAnsi="Arial"/>
                <w:sz w:val="18"/>
              </w:rPr>
              <w:t>OCPI REST API</w:t>
            </w:r>
          </w:p>
        </w:tc>
        <w:tc>
          <w:tcPr>
            <w:tcW w:type="dxa" w:w="2592"/>
            <w:shd w:val="clear" w:fill="F0F7F4"/>
          </w:tcPr>
          <w:p>
            <w:r/>
            <w:r>
              <w:rPr>
                <w:rFonts w:ascii="Arial" w:hAnsi="Arial"/>
                <w:sz w:val="18"/>
              </w:rPr>
              <w:t>2-5</w:t>
            </w:r>
          </w:p>
        </w:tc>
        <w:tc>
          <w:tcPr>
            <w:tcW w:type="dxa" w:w="2016"/>
            <w:shd w:val="clear" w:fill="F0F7F4"/>
          </w:tcPr>
          <w:p>
            <w:r/>
            <w:r>
              <w:rPr>
                <w:rFonts w:ascii="Arial" w:hAnsi="Arial"/>
                <w:sz w:val="18"/>
              </w:rPr>
              <w:t>0.5 CPU / 1GB RAM</w:t>
            </w:r>
          </w:p>
        </w:tc>
        <w:tc>
          <w:tcPr>
            <w:tcW w:type="dxa" w:w="2160"/>
            <w:shd w:val="clear" w:fill="F0F7F4"/>
          </w:tcPr>
          <w:p>
            <w:r/>
            <w:r>
              <w:rPr>
                <w:rFonts w:ascii="Arial" w:hAnsi="Arial"/>
                <w:sz w:val="18"/>
              </w:rPr>
              <w:t>Request rate</w:t>
            </w:r>
          </w:p>
        </w:tc>
      </w:tr>
      <w:tr>
        <w:tc>
          <w:tcPr>
            <w:tcW w:type="dxa" w:w="2592"/>
          </w:tcPr>
          <w:p>
            <w:r/>
            <w:r>
              <w:rPr>
                <w:rFonts w:ascii="Arial" w:hAnsi="Arial"/>
                <w:sz w:val="18"/>
              </w:rPr>
              <w:t>Driver/Admin API</w:t>
            </w:r>
          </w:p>
        </w:tc>
        <w:tc>
          <w:tcPr>
            <w:tcW w:type="dxa" w:w="2592"/>
          </w:tcPr>
          <w:p>
            <w:r/>
            <w:r>
              <w:rPr>
                <w:rFonts w:ascii="Arial" w:hAnsi="Arial"/>
                <w:sz w:val="18"/>
              </w:rPr>
              <w:t>2-5</w:t>
            </w:r>
          </w:p>
        </w:tc>
        <w:tc>
          <w:tcPr>
            <w:tcW w:type="dxa" w:w="2016"/>
          </w:tcPr>
          <w:p>
            <w:r/>
            <w:r>
              <w:rPr>
                <w:rFonts w:ascii="Arial" w:hAnsi="Arial"/>
                <w:sz w:val="18"/>
              </w:rPr>
              <w:t>0.5 CPU / 1GB RAM</w:t>
            </w:r>
          </w:p>
        </w:tc>
        <w:tc>
          <w:tcPr>
            <w:tcW w:type="dxa" w:w="2160"/>
          </w:tcPr>
          <w:p>
            <w:r/>
            <w:r>
              <w:rPr>
                <w:rFonts w:ascii="Arial" w:hAnsi="Arial"/>
                <w:sz w:val="18"/>
              </w:rPr>
              <w:t>Request rate</w:t>
            </w:r>
          </w:p>
        </w:tc>
      </w:tr>
      <w:tr>
        <w:tc>
          <w:tcPr>
            <w:tcW w:type="dxa" w:w="2592"/>
            <w:shd w:val="clear" w:fill="F0F7F4"/>
          </w:tcPr>
          <w:p>
            <w:r/>
            <w:r>
              <w:rPr>
                <w:rFonts w:ascii="Arial" w:hAnsi="Arial"/>
                <w:sz w:val="18"/>
              </w:rPr>
              <w:t>Session Worker</w:t>
            </w:r>
          </w:p>
        </w:tc>
        <w:tc>
          <w:tcPr>
            <w:tcW w:type="dxa" w:w="2592"/>
            <w:shd w:val="clear" w:fill="F0F7F4"/>
          </w:tcPr>
          <w:p>
            <w:r/>
            <w:r>
              <w:rPr>
                <w:rFonts w:ascii="Arial" w:hAnsi="Arial"/>
                <w:sz w:val="18"/>
              </w:rPr>
              <w:t>2-4</w:t>
            </w:r>
          </w:p>
        </w:tc>
        <w:tc>
          <w:tcPr>
            <w:tcW w:type="dxa" w:w="2016"/>
            <w:shd w:val="clear" w:fill="F0F7F4"/>
          </w:tcPr>
          <w:p>
            <w:r/>
            <w:r>
              <w:rPr>
                <w:rFonts w:ascii="Arial" w:hAnsi="Arial"/>
                <w:sz w:val="18"/>
              </w:rPr>
              <w:t>0.5 CPU / 1GB RAM</w:t>
            </w:r>
          </w:p>
        </w:tc>
        <w:tc>
          <w:tcPr>
            <w:tcW w:type="dxa" w:w="2160"/>
            <w:shd w:val="clear" w:fill="F0F7F4"/>
          </w:tcPr>
          <w:p>
            <w:r/>
            <w:r>
              <w:rPr>
                <w:rFonts w:ascii="Arial" w:hAnsi="Arial"/>
                <w:sz w:val="18"/>
              </w:rPr>
              <w:t>Queue depth</w:t>
            </w:r>
          </w:p>
        </w:tc>
      </w:tr>
      <w:tr>
        <w:tc>
          <w:tcPr>
            <w:tcW w:type="dxa" w:w="2592"/>
          </w:tcPr>
          <w:p>
            <w:r/>
            <w:r>
              <w:rPr>
                <w:rFonts w:ascii="Arial" w:hAnsi="Arial"/>
                <w:sz w:val="18"/>
              </w:rPr>
              <w:t>Billing Worker</w:t>
            </w:r>
          </w:p>
        </w:tc>
        <w:tc>
          <w:tcPr>
            <w:tcW w:type="dxa" w:w="2592"/>
          </w:tcPr>
          <w:p>
            <w:r/>
            <w:r>
              <w:rPr>
                <w:rFonts w:ascii="Arial" w:hAnsi="Arial"/>
                <w:sz w:val="18"/>
              </w:rPr>
              <w:t>2-3</w:t>
            </w:r>
          </w:p>
        </w:tc>
        <w:tc>
          <w:tcPr>
            <w:tcW w:type="dxa" w:w="2016"/>
          </w:tcPr>
          <w:p>
            <w:r/>
            <w:r>
              <w:rPr>
                <w:rFonts w:ascii="Arial" w:hAnsi="Arial"/>
                <w:sz w:val="18"/>
              </w:rPr>
              <w:t>0.5 CPU / 1GB RAM</w:t>
            </w:r>
          </w:p>
        </w:tc>
        <w:tc>
          <w:tcPr>
            <w:tcW w:type="dxa" w:w="2160"/>
          </w:tcPr>
          <w:p>
            <w:r/>
            <w:r>
              <w:rPr>
                <w:rFonts w:ascii="Arial" w:hAnsi="Arial"/>
                <w:sz w:val="18"/>
              </w:rPr>
              <w:t>Queue depth</w:t>
            </w:r>
          </w:p>
        </w:tc>
      </w:tr>
      <w:tr>
        <w:tc>
          <w:tcPr>
            <w:tcW w:type="dxa" w:w="2592"/>
            <w:shd w:val="clear" w:fill="F0F7F4"/>
          </w:tcPr>
          <w:p>
            <w:r/>
            <w:r>
              <w:rPr>
                <w:rFonts w:ascii="Arial" w:hAnsi="Arial"/>
                <w:sz w:val="18"/>
              </w:rPr>
              <w:t>OCPI Sync Worker</w:t>
            </w:r>
          </w:p>
        </w:tc>
        <w:tc>
          <w:tcPr>
            <w:tcW w:type="dxa" w:w="2592"/>
            <w:shd w:val="clear" w:fill="F0F7F4"/>
          </w:tcPr>
          <w:p>
            <w:r/>
            <w:r>
              <w:rPr>
                <w:rFonts w:ascii="Arial" w:hAnsi="Arial"/>
                <w:sz w:val="18"/>
              </w:rPr>
              <w:t>2-3</w:t>
            </w:r>
          </w:p>
        </w:tc>
        <w:tc>
          <w:tcPr>
            <w:tcW w:type="dxa" w:w="2016"/>
            <w:shd w:val="clear" w:fill="F0F7F4"/>
          </w:tcPr>
          <w:p>
            <w:r/>
            <w:r>
              <w:rPr>
                <w:rFonts w:ascii="Arial" w:hAnsi="Arial"/>
                <w:sz w:val="18"/>
              </w:rPr>
              <w:t>0.5 CPU / 1GB RAM</w:t>
            </w:r>
          </w:p>
        </w:tc>
        <w:tc>
          <w:tcPr>
            <w:tcW w:type="dxa" w:w="2160"/>
            <w:shd w:val="clear" w:fill="F0F7F4"/>
          </w:tcPr>
          <w:p>
            <w:r/>
            <w:r>
              <w:rPr>
                <w:rFonts w:ascii="Arial" w:hAnsi="Arial"/>
                <w:sz w:val="18"/>
              </w:rPr>
              <w:t>Queue depth</w:t>
            </w:r>
          </w:p>
        </w:tc>
      </w:tr>
      <w:tr>
        <w:tc>
          <w:tcPr>
            <w:tcW w:type="dxa" w:w="2592"/>
          </w:tcPr>
          <w:p>
            <w:r/>
            <w:r>
              <w:rPr>
                <w:rFonts w:ascii="Arial" w:hAnsi="Arial"/>
                <w:sz w:val="18"/>
              </w:rPr>
              <w:t>PostgreSQL</w:t>
            </w:r>
          </w:p>
        </w:tc>
        <w:tc>
          <w:tcPr>
            <w:tcW w:type="dxa" w:w="2592"/>
          </w:tcPr>
          <w:p>
            <w:r/>
            <w:r>
              <w:rPr>
                <w:rFonts w:ascii="Arial" w:hAnsi="Arial"/>
                <w:sz w:val="18"/>
              </w:rPr>
              <w:t>1 primary + 2 read replicas</w:t>
            </w:r>
          </w:p>
        </w:tc>
        <w:tc>
          <w:tcPr>
            <w:tcW w:type="dxa" w:w="2016"/>
          </w:tcPr>
          <w:p>
            <w:r/>
            <w:r>
              <w:rPr>
                <w:rFonts w:ascii="Arial" w:hAnsi="Arial"/>
                <w:sz w:val="18"/>
              </w:rPr>
              <w:t>4 CPU / 16GB RAM</w:t>
            </w:r>
          </w:p>
        </w:tc>
        <w:tc>
          <w:tcPr>
            <w:tcW w:type="dxa" w:w="2160"/>
          </w:tcPr>
          <w:p>
            <w:r/>
            <w:r>
              <w:rPr>
                <w:rFonts w:ascii="Arial" w:hAnsi="Arial"/>
                <w:sz w:val="18"/>
              </w:rPr>
              <w:t>Manual</w:t>
            </w:r>
          </w:p>
        </w:tc>
      </w:tr>
      <w:tr>
        <w:tc>
          <w:tcPr>
            <w:tcW w:type="dxa" w:w="2592"/>
            <w:shd w:val="clear" w:fill="F0F7F4"/>
          </w:tcPr>
          <w:p>
            <w:r/>
            <w:r>
              <w:rPr>
                <w:rFonts w:ascii="Arial" w:hAnsi="Arial"/>
                <w:sz w:val="18"/>
              </w:rPr>
              <w:t>TimescaleDB</w:t>
            </w:r>
          </w:p>
        </w:tc>
        <w:tc>
          <w:tcPr>
            <w:tcW w:type="dxa" w:w="2592"/>
            <w:shd w:val="clear" w:fill="F0F7F4"/>
          </w:tcPr>
          <w:p>
            <w:r/>
            <w:r>
              <w:rPr>
                <w:rFonts w:ascii="Arial" w:hAnsi="Arial"/>
                <w:sz w:val="18"/>
              </w:rPr>
              <w:t>1 primary + 1 replica</w:t>
            </w:r>
          </w:p>
        </w:tc>
        <w:tc>
          <w:tcPr>
            <w:tcW w:type="dxa" w:w="2016"/>
            <w:shd w:val="clear" w:fill="F0F7F4"/>
          </w:tcPr>
          <w:p>
            <w:r/>
            <w:r>
              <w:rPr>
                <w:rFonts w:ascii="Arial" w:hAnsi="Arial"/>
                <w:sz w:val="18"/>
              </w:rPr>
              <w:t>4 CPU / 16GB RAM</w:t>
            </w:r>
          </w:p>
        </w:tc>
        <w:tc>
          <w:tcPr>
            <w:tcW w:type="dxa" w:w="2160"/>
            <w:shd w:val="clear" w:fill="F0F7F4"/>
          </w:tcPr>
          <w:p>
            <w:r/>
            <w:r>
              <w:rPr>
                <w:rFonts w:ascii="Arial" w:hAnsi="Arial"/>
                <w:sz w:val="18"/>
              </w:rPr>
              <w:t>Manual</w:t>
            </w:r>
          </w:p>
        </w:tc>
      </w:tr>
      <w:tr>
        <w:tc>
          <w:tcPr>
            <w:tcW w:type="dxa" w:w="2592"/>
          </w:tcPr>
          <w:p>
            <w:r/>
            <w:r>
              <w:rPr>
                <w:rFonts w:ascii="Arial" w:hAnsi="Arial"/>
                <w:sz w:val="18"/>
              </w:rPr>
              <w:t>Redis</w:t>
            </w:r>
          </w:p>
        </w:tc>
        <w:tc>
          <w:tcPr>
            <w:tcW w:type="dxa" w:w="2592"/>
          </w:tcPr>
          <w:p>
            <w:r/>
            <w:r>
              <w:rPr>
                <w:rFonts w:ascii="Arial" w:hAnsi="Arial"/>
                <w:sz w:val="18"/>
              </w:rPr>
              <w:t>3-node cluster</w:t>
            </w:r>
          </w:p>
        </w:tc>
        <w:tc>
          <w:tcPr>
            <w:tcW w:type="dxa" w:w="2016"/>
          </w:tcPr>
          <w:p>
            <w:r/>
            <w:r>
              <w:rPr>
                <w:rFonts w:ascii="Arial" w:hAnsi="Arial"/>
                <w:sz w:val="18"/>
              </w:rPr>
              <w:t>2 CPU / 4GB RAM</w:t>
            </w:r>
          </w:p>
        </w:tc>
        <w:tc>
          <w:tcPr>
            <w:tcW w:type="dxa" w:w="2160"/>
          </w:tcPr>
          <w:p>
            <w:r/>
            <w:r>
              <w:rPr>
                <w:rFonts w:ascii="Arial" w:hAnsi="Arial"/>
                <w:sz w:val="18"/>
              </w:rPr>
              <w:t>Manual</w:t>
            </w:r>
          </w:p>
        </w:tc>
      </w:tr>
    </w:tbl>
    <w:p>
      <w:pPr>
        <w:pStyle w:val="Heading2"/>
      </w:pPr>
      <w:r>
        <w:t>10.2 High Availability</w:t>
      </w:r>
    </w:p>
    <w:p>
      <w:pPr>
        <w:pStyle w:val="ListBullet"/>
      </w:pPr>
      <w:r>
        <w:rPr>
          <w:rFonts w:ascii="Arial" w:hAnsi="Arial"/>
          <w:b/>
          <w:sz w:val="20"/>
        </w:rPr>
        <w:t xml:space="preserve">WebSocket Failover: </w:t>
      </w:r>
      <w:r>
        <w:rPr>
          <w:rFonts w:ascii="Arial" w:hAnsi="Arial"/>
          <w:sz w:val="20"/>
        </w:rPr>
        <w:t>Chargers automatically reconnect to healthy server instances on connection loss. The shared Redis connection registry ensures no message loss during failover.</w:t>
      </w:r>
    </w:p>
    <w:p>
      <w:pPr>
        <w:pStyle w:val="ListBullet"/>
      </w:pPr>
      <w:r>
        <w:rPr>
          <w:rFonts w:ascii="Arial" w:hAnsi="Arial"/>
          <w:b/>
          <w:sz w:val="20"/>
        </w:rPr>
        <w:t xml:space="preserve">Database HA: </w:t>
      </w:r>
      <w:r>
        <w:rPr>
          <w:rFonts w:ascii="Arial" w:hAnsi="Arial"/>
          <w:sz w:val="20"/>
        </w:rPr>
        <w:t>PostgreSQL runs in primary-replica configuration with automatic failover via Patroni. Read replicas handle reporting and analytics queries.</w:t>
      </w:r>
    </w:p>
    <w:p>
      <w:pPr>
        <w:pStyle w:val="ListBullet"/>
      </w:pPr>
      <w:r>
        <w:rPr>
          <w:rFonts w:ascii="Arial" w:hAnsi="Arial"/>
          <w:b/>
          <w:sz w:val="20"/>
        </w:rPr>
        <w:t xml:space="preserve">Message Bus: </w:t>
      </w:r>
      <w:r>
        <w:rPr>
          <w:rFonts w:ascii="Arial" w:hAnsi="Arial"/>
          <w:sz w:val="20"/>
        </w:rPr>
        <w:t>Redis Streams provides at-least-once delivery guarantees. Consumer groups enable parallel processing with automatic message redistribution on worker failure.</w:t>
      </w:r>
    </w:p>
    <w:p>
      <w:pPr>
        <w:pStyle w:val="ListBullet"/>
      </w:pPr>
      <w:r>
        <w:rPr>
          <w:rFonts w:ascii="Arial" w:hAnsi="Arial"/>
          <w:b/>
          <w:sz w:val="20"/>
        </w:rPr>
        <w:t xml:space="preserve">Zero-Downtime Deployments: </w:t>
      </w:r>
      <w:r>
        <w:rPr>
          <w:rFonts w:ascii="Arial" w:hAnsi="Arial"/>
          <w:sz w:val="20"/>
        </w:rPr>
        <w:t>Rolling updates ensure at least one instance of each service is always running. WebSocket connections gracefully drain during pod termination.</w:t>
      </w:r>
    </w:p>
    <w:p>
      <w:r>
        <w:br w:type="page"/>
      </w:r>
    </w:p>
    <w:p>
      <w:pPr>
        <w:pStyle w:val="Heading1"/>
      </w:pPr>
      <w:r>
        <w:t>11.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0B5594"/>
          </w:tcPr>
          <w:p>
            <w:pPr>
              <w:jc w:val="left"/>
            </w:pPr>
            <w:r/>
            <w:r>
              <w:rPr>
                <w:rFonts w:ascii="Arial" w:hAnsi="Arial"/>
                <w:b/>
                <w:color w:val="FFFFFF"/>
                <w:sz w:val="19"/>
              </w:rPr>
              <w:t>Requirement</w:t>
            </w:r>
          </w:p>
        </w:tc>
        <w:tc>
          <w:tcPr>
            <w:tcW w:type="dxa" w:w="2592"/>
            <w:shd w:val="clear" w:fill="0B5594"/>
          </w:tcPr>
          <w:p>
            <w:pPr>
              <w:jc w:val="left"/>
            </w:pPr>
            <w:r/>
            <w:r>
              <w:rPr>
                <w:rFonts w:ascii="Arial" w:hAnsi="Arial"/>
                <w:b/>
                <w:color w:val="FFFFFF"/>
                <w:sz w:val="19"/>
              </w:rPr>
              <w:t>Target</w:t>
            </w:r>
          </w:p>
        </w:tc>
        <w:tc>
          <w:tcPr>
            <w:tcW w:type="dxa" w:w="3600"/>
            <w:shd w:val="clear" w:fill="0B5594"/>
          </w:tcPr>
          <w:p>
            <w:pPr>
              <w:jc w:val="left"/>
            </w:pPr>
            <w:r/>
            <w:r>
              <w:rPr>
                <w:rFonts w:ascii="Arial" w:hAnsi="Arial"/>
                <w:b/>
                <w:color w:val="FFFFFF"/>
                <w:sz w:val="19"/>
              </w:rPr>
              <w:t>Measurement</w:t>
            </w:r>
          </w:p>
        </w:tc>
      </w:tr>
      <w:tr>
        <w:tc>
          <w:tcPr>
            <w:tcW w:type="dxa" w:w="3168"/>
          </w:tcPr>
          <w:p>
            <w:r/>
            <w:r>
              <w:rPr>
                <w:rFonts w:ascii="Arial" w:hAnsi="Arial"/>
                <w:sz w:val="18"/>
              </w:rPr>
              <w:t>Concurrent Charger Connections</w:t>
            </w:r>
          </w:p>
        </w:tc>
        <w:tc>
          <w:tcPr>
            <w:tcW w:type="dxa" w:w="2592"/>
          </w:tcPr>
          <w:p>
            <w:r/>
            <w:r>
              <w:rPr>
                <w:rFonts w:ascii="Arial" w:hAnsi="Arial"/>
                <w:sz w:val="18"/>
              </w:rPr>
              <w:t>10,000+</w:t>
            </w:r>
          </w:p>
        </w:tc>
        <w:tc>
          <w:tcPr>
            <w:tcW w:type="dxa" w:w="3600"/>
          </w:tcPr>
          <w:p>
            <w:r/>
            <w:r>
              <w:rPr>
                <w:rFonts w:ascii="Arial" w:hAnsi="Arial"/>
                <w:sz w:val="18"/>
              </w:rPr>
              <w:t>WebSocket connections per cluster</w:t>
            </w:r>
          </w:p>
        </w:tc>
      </w:tr>
      <w:tr>
        <w:tc>
          <w:tcPr>
            <w:tcW w:type="dxa" w:w="3168"/>
            <w:shd w:val="clear" w:fill="F0F7F4"/>
          </w:tcPr>
          <w:p>
            <w:r/>
            <w:r>
              <w:rPr>
                <w:rFonts w:ascii="Arial" w:hAnsi="Arial"/>
                <w:sz w:val="18"/>
              </w:rPr>
              <w:t>Authorization Response Time</w:t>
            </w:r>
          </w:p>
        </w:tc>
        <w:tc>
          <w:tcPr>
            <w:tcW w:type="dxa" w:w="2592"/>
            <w:shd w:val="clear" w:fill="F0F7F4"/>
          </w:tcPr>
          <w:p>
            <w:r/>
            <w:r>
              <w:rPr>
                <w:rFonts w:ascii="Arial" w:hAnsi="Arial"/>
                <w:sz w:val="18"/>
              </w:rPr>
              <w:t>&lt; 500ms (P95)</w:t>
            </w:r>
          </w:p>
        </w:tc>
        <w:tc>
          <w:tcPr>
            <w:tcW w:type="dxa" w:w="3600"/>
            <w:shd w:val="clear" w:fill="F0F7F4"/>
          </w:tcPr>
          <w:p>
            <w:r/>
            <w:r>
              <w:rPr>
                <w:rFonts w:ascii="Arial" w:hAnsi="Arial"/>
                <w:sz w:val="18"/>
              </w:rPr>
              <w:t>Time from Authorize request to response</w:t>
            </w:r>
          </w:p>
        </w:tc>
      </w:tr>
      <w:tr>
        <w:tc>
          <w:tcPr>
            <w:tcW w:type="dxa" w:w="3168"/>
          </w:tcPr>
          <w:p>
            <w:r/>
            <w:r>
              <w:rPr>
                <w:rFonts w:ascii="Arial" w:hAnsi="Arial"/>
                <w:sz w:val="18"/>
              </w:rPr>
              <w:t>OCPI Real-time Auth</w:t>
            </w:r>
          </w:p>
        </w:tc>
        <w:tc>
          <w:tcPr>
            <w:tcW w:type="dxa" w:w="2592"/>
          </w:tcPr>
          <w:p>
            <w:r/>
            <w:r>
              <w:rPr>
                <w:rFonts w:ascii="Arial" w:hAnsi="Arial"/>
                <w:sz w:val="18"/>
              </w:rPr>
              <w:t>&lt; 2,000ms (P95)</w:t>
            </w:r>
          </w:p>
        </w:tc>
        <w:tc>
          <w:tcPr>
            <w:tcW w:type="dxa" w:w="3600"/>
          </w:tcPr>
          <w:p>
            <w:r/>
            <w:r>
              <w:rPr>
                <w:rFonts w:ascii="Arial" w:hAnsi="Arial"/>
                <w:sz w:val="18"/>
              </w:rPr>
              <w:t>Including network roundtrip to eMSP partner</w:t>
            </w:r>
          </w:p>
        </w:tc>
      </w:tr>
      <w:tr>
        <w:tc>
          <w:tcPr>
            <w:tcW w:type="dxa" w:w="3168"/>
            <w:shd w:val="clear" w:fill="F0F7F4"/>
          </w:tcPr>
          <w:p>
            <w:r/>
            <w:r>
              <w:rPr>
                <w:rFonts w:ascii="Arial" w:hAnsi="Arial"/>
                <w:sz w:val="18"/>
              </w:rPr>
              <w:t>Meter Value Ingestion</w:t>
            </w:r>
          </w:p>
        </w:tc>
        <w:tc>
          <w:tcPr>
            <w:tcW w:type="dxa" w:w="2592"/>
            <w:shd w:val="clear" w:fill="F0F7F4"/>
          </w:tcPr>
          <w:p>
            <w:r/>
            <w:r>
              <w:rPr>
                <w:rFonts w:ascii="Arial" w:hAnsi="Arial"/>
                <w:sz w:val="18"/>
              </w:rPr>
              <w:t>&gt; 50,000/min</w:t>
            </w:r>
          </w:p>
        </w:tc>
        <w:tc>
          <w:tcPr>
            <w:tcW w:type="dxa" w:w="3600"/>
            <w:shd w:val="clear" w:fill="F0F7F4"/>
          </w:tcPr>
          <w:p>
            <w:r/>
            <w:r>
              <w:rPr>
                <w:rFonts w:ascii="Arial" w:hAnsi="Arial"/>
                <w:sz w:val="18"/>
              </w:rPr>
              <w:t>Meter readings processed per minute</w:t>
            </w:r>
          </w:p>
        </w:tc>
      </w:tr>
      <w:tr>
        <w:tc>
          <w:tcPr>
            <w:tcW w:type="dxa" w:w="3168"/>
          </w:tcPr>
          <w:p>
            <w:r/>
            <w:r>
              <w:rPr>
                <w:rFonts w:ascii="Arial" w:hAnsi="Arial"/>
                <w:sz w:val="18"/>
              </w:rPr>
              <w:t>Session Throughput</w:t>
            </w:r>
          </w:p>
        </w:tc>
        <w:tc>
          <w:tcPr>
            <w:tcW w:type="dxa" w:w="2592"/>
          </w:tcPr>
          <w:p>
            <w:r/>
            <w:r>
              <w:rPr>
                <w:rFonts w:ascii="Arial" w:hAnsi="Arial"/>
                <w:sz w:val="18"/>
              </w:rPr>
              <w:t>&gt; 1,000/min</w:t>
            </w:r>
          </w:p>
        </w:tc>
        <w:tc>
          <w:tcPr>
            <w:tcW w:type="dxa" w:w="3600"/>
          </w:tcPr>
          <w:p>
            <w:r/>
            <w:r>
              <w:rPr>
                <w:rFonts w:ascii="Arial" w:hAnsi="Arial"/>
                <w:sz w:val="18"/>
              </w:rPr>
              <w:t>New sessions created per minute</w:t>
            </w:r>
          </w:p>
        </w:tc>
      </w:tr>
      <w:tr>
        <w:tc>
          <w:tcPr>
            <w:tcW w:type="dxa" w:w="3168"/>
            <w:shd w:val="clear" w:fill="F0F7F4"/>
          </w:tcPr>
          <w:p>
            <w:r/>
            <w:r>
              <w:rPr>
                <w:rFonts w:ascii="Arial" w:hAnsi="Arial"/>
                <w:sz w:val="18"/>
              </w:rPr>
              <w:t>System Availability</w:t>
            </w:r>
          </w:p>
        </w:tc>
        <w:tc>
          <w:tcPr>
            <w:tcW w:type="dxa" w:w="2592"/>
            <w:shd w:val="clear" w:fill="F0F7F4"/>
          </w:tcPr>
          <w:p>
            <w:r/>
            <w:r>
              <w:rPr>
                <w:rFonts w:ascii="Arial" w:hAnsi="Arial"/>
                <w:sz w:val="18"/>
              </w:rPr>
              <w:t>99.95%</w:t>
            </w:r>
          </w:p>
        </w:tc>
        <w:tc>
          <w:tcPr>
            <w:tcW w:type="dxa" w:w="3600"/>
            <w:shd w:val="clear" w:fill="F0F7F4"/>
          </w:tcPr>
          <w:p>
            <w:r/>
            <w:r>
              <w:rPr>
                <w:rFonts w:ascii="Arial" w:hAnsi="Arial"/>
                <w:sz w:val="18"/>
              </w:rPr>
              <w:t>Uptime excluding planned maintenance</w:t>
            </w:r>
          </w:p>
        </w:tc>
      </w:tr>
      <w:tr>
        <w:tc>
          <w:tcPr>
            <w:tcW w:type="dxa" w:w="3168"/>
          </w:tcPr>
          <w:p>
            <w:r/>
            <w:r>
              <w:rPr>
                <w:rFonts w:ascii="Arial" w:hAnsi="Arial"/>
                <w:sz w:val="18"/>
              </w:rPr>
              <w:t>Data Retention - Sessions</w:t>
            </w:r>
          </w:p>
        </w:tc>
        <w:tc>
          <w:tcPr>
            <w:tcW w:type="dxa" w:w="2592"/>
          </w:tcPr>
          <w:p>
            <w:r/>
            <w:r>
              <w:rPr>
                <w:rFonts w:ascii="Arial" w:hAnsi="Arial"/>
                <w:sz w:val="18"/>
              </w:rPr>
              <w:t>7 years</w:t>
            </w:r>
          </w:p>
        </w:tc>
        <w:tc>
          <w:tcPr>
            <w:tcW w:type="dxa" w:w="3600"/>
          </w:tcPr>
          <w:p>
            <w:r/>
            <w:r>
              <w:rPr>
                <w:rFonts w:ascii="Arial" w:hAnsi="Arial"/>
                <w:sz w:val="18"/>
              </w:rPr>
              <w:t>Billing and regulatory compliance</w:t>
            </w:r>
          </w:p>
        </w:tc>
      </w:tr>
      <w:tr>
        <w:tc>
          <w:tcPr>
            <w:tcW w:type="dxa" w:w="3168"/>
            <w:shd w:val="clear" w:fill="F0F7F4"/>
          </w:tcPr>
          <w:p>
            <w:r/>
            <w:r>
              <w:rPr>
                <w:rFonts w:ascii="Arial" w:hAnsi="Arial"/>
                <w:sz w:val="18"/>
              </w:rPr>
              <w:t>Data Retention - Meter Values</w:t>
            </w:r>
          </w:p>
        </w:tc>
        <w:tc>
          <w:tcPr>
            <w:tcW w:type="dxa" w:w="2592"/>
            <w:shd w:val="clear" w:fill="F0F7F4"/>
          </w:tcPr>
          <w:p>
            <w:r/>
            <w:r>
              <w:rPr>
                <w:rFonts w:ascii="Arial" w:hAnsi="Arial"/>
                <w:sz w:val="18"/>
              </w:rPr>
              <w:t>2 years (hot) + 5 years (cold)</w:t>
            </w:r>
          </w:p>
        </w:tc>
        <w:tc>
          <w:tcPr>
            <w:tcW w:type="dxa" w:w="3600"/>
            <w:shd w:val="clear" w:fill="F0F7F4"/>
          </w:tcPr>
          <w:p>
            <w:r/>
            <w:r>
              <w:rPr>
                <w:rFonts w:ascii="Arial" w:hAnsi="Arial"/>
                <w:sz w:val="18"/>
              </w:rPr>
              <w:t>TimescaleDB compression + S3 archive</w:t>
            </w:r>
          </w:p>
        </w:tc>
      </w:tr>
      <w:tr>
        <w:tc>
          <w:tcPr>
            <w:tcW w:type="dxa" w:w="3168"/>
          </w:tcPr>
          <w:p>
            <w:r/>
            <w:r>
              <w:rPr>
                <w:rFonts w:ascii="Arial" w:hAnsi="Arial"/>
                <w:sz w:val="18"/>
              </w:rPr>
              <w:t>Data Retention - OCPP Logs</w:t>
            </w:r>
          </w:p>
        </w:tc>
        <w:tc>
          <w:tcPr>
            <w:tcW w:type="dxa" w:w="2592"/>
          </w:tcPr>
          <w:p>
            <w:r/>
            <w:r>
              <w:rPr>
                <w:rFonts w:ascii="Arial" w:hAnsi="Arial"/>
                <w:sz w:val="18"/>
              </w:rPr>
              <w:t>90 days (hot) + 2 years (cold)</w:t>
            </w:r>
          </w:p>
        </w:tc>
        <w:tc>
          <w:tcPr>
            <w:tcW w:type="dxa" w:w="3600"/>
          </w:tcPr>
          <w:p>
            <w:r/>
            <w:r>
              <w:rPr>
                <w:rFonts w:ascii="Arial" w:hAnsi="Arial"/>
                <w:sz w:val="18"/>
              </w:rPr>
              <w:t>Partitioned tables + archive</w:t>
            </w:r>
          </w:p>
        </w:tc>
      </w:tr>
      <w:tr>
        <w:tc>
          <w:tcPr>
            <w:tcW w:type="dxa" w:w="3168"/>
            <w:shd w:val="clear" w:fill="F0F7F4"/>
          </w:tcPr>
          <w:p>
            <w:r/>
            <w:r>
              <w:rPr>
                <w:rFonts w:ascii="Arial" w:hAnsi="Arial"/>
                <w:sz w:val="18"/>
              </w:rPr>
              <w:t>Recovery Point Objective (RPO)</w:t>
            </w:r>
          </w:p>
        </w:tc>
        <w:tc>
          <w:tcPr>
            <w:tcW w:type="dxa" w:w="2592"/>
            <w:shd w:val="clear" w:fill="F0F7F4"/>
          </w:tcPr>
          <w:p>
            <w:r/>
            <w:r>
              <w:rPr>
                <w:rFonts w:ascii="Arial" w:hAnsi="Arial"/>
                <w:sz w:val="18"/>
              </w:rPr>
              <w:t>&lt; 5 minutes</w:t>
            </w:r>
          </w:p>
        </w:tc>
        <w:tc>
          <w:tcPr>
            <w:tcW w:type="dxa" w:w="3600"/>
            <w:shd w:val="clear" w:fill="F0F7F4"/>
          </w:tcPr>
          <w:p>
            <w:r/>
            <w:r>
              <w:rPr>
                <w:rFonts w:ascii="Arial" w:hAnsi="Arial"/>
                <w:sz w:val="18"/>
              </w:rPr>
              <w:t>Maximum data loss in disaster</w:t>
            </w:r>
          </w:p>
        </w:tc>
      </w:tr>
      <w:tr>
        <w:tc>
          <w:tcPr>
            <w:tcW w:type="dxa" w:w="3168"/>
          </w:tcPr>
          <w:p>
            <w:r/>
            <w:r>
              <w:rPr>
                <w:rFonts w:ascii="Arial" w:hAnsi="Arial"/>
                <w:sz w:val="18"/>
              </w:rPr>
              <w:t>Recovery Time Objective (RTO)</w:t>
            </w:r>
          </w:p>
        </w:tc>
        <w:tc>
          <w:tcPr>
            <w:tcW w:type="dxa" w:w="2592"/>
          </w:tcPr>
          <w:p>
            <w:r/>
            <w:r>
              <w:rPr>
                <w:rFonts w:ascii="Arial" w:hAnsi="Arial"/>
                <w:sz w:val="18"/>
              </w:rPr>
              <w:t>&lt; 30 minutes</w:t>
            </w:r>
          </w:p>
        </w:tc>
        <w:tc>
          <w:tcPr>
            <w:tcW w:type="dxa" w:w="3600"/>
          </w:tcPr>
          <w:p>
            <w:r/>
            <w:r>
              <w:rPr>
                <w:rFonts w:ascii="Arial" w:hAnsi="Arial"/>
                <w:sz w:val="18"/>
              </w:rPr>
              <w:t>Maximum downtime in disaster</w:t>
            </w:r>
          </w:p>
        </w:tc>
      </w:tr>
    </w:tbl>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B5594"/>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46B56"/>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A8A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