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color w:val="666666"/>
          <w:sz w:val="28"/>
        </w:rPr>
        <w:t>ElectraHub Platform</w:t>
      </w:r>
    </w:p>
    <w:p>
      <w:pPr>
        <w:jc w:val="center"/>
      </w:pPr>
      <w:r>
        <w:rPr>
          <w:rFonts w:ascii="Arial" w:hAnsi="Arial"/>
          <w:b/>
          <w:color w:val="1B4F72"/>
          <w:sz w:val="52"/>
        </w:rPr>
        <w:t>REST to gRPC Migration Plan</w:t>
      </w:r>
    </w:p>
    <w:p>
      <w:pPr>
        <w:jc w:val="center"/>
      </w:pPr>
      <w:r>
        <w:rPr>
          <w:rFonts w:ascii="Arial" w:hAnsi="Arial"/>
          <w:color w:val="2E75B6"/>
          <w:sz w:val="28"/>
        </w:rPr>
        <w:t>API Gateway → Backend Microservices</w:t>
      </w:r>
    </w:p>
    <w:p/>
    <w:p/>
    <w:p/>
    <w:p/>
    <w:p>
      <w:pPr>
        <w:jc w:val="center"/>
      </w:pPr>
      <w:r>
        <w:rPr>
          <w:rFonts w:ascii="Arial" w:hAnsi="Arial"/>
          <w:color w:val="666666"/>
          <w:sz w:val="24"/>
        </w:rPr>
        <w:t>March 27, 2026</w:t>
      </w:r>
    </w:p>
    <w:p>
      <w:pPr>
        <w:jc w:val="center"/>
      </w:pPr>
      <w:r>
        <w:rPr>
          <w:rFonts w:ascii="Arial" w:hAnsi="Arial"/>
          <w:color w:val="666666"/>
          <w:sz w:val="24"/>
        </w:rPr>
        <w:t>Version 1.0</w:t>
      </w:r>
    </w:p>
    <w:p>
      <w:pPr>
        <w:jc w:val="center"/>
      </w:pPr>
      <w:r>
        <w:rPr>
          <w:rFonts w:ascii="Arial" w:hAnsi="Arial"/>
          <w:color w:val="666666"/>
          <w:sz w:val="24"/>
        </w:rPr>
        <w:t>Status: Draft</w:t>
      </w:r>
    </w:p>
    <w:p>
      <w:r>
        <w:br w:type="page"/>
      </w:r>
    </w:p>
    <w:p>
      <w:pPr>
        <w:pStyle w:val="Heading1"/>
      </w:pPr>
      <w:r>
        <w:t>Table of Contents</w:t>
      </w:r>
    </w:p>
    <w:p>
      <w:r>
        <w:rPr>
          <w:rFonts w:ascii="Arial" w:hAnsi="Arial"/>
          <w:sz w:val="22"/>
        </w:rPr>
        <w:t>(Update this field in Word: right-click → Update Field)</w:t>
      </w:r>
    </w:p>
    <w:p>
      <w:r>
        <w:br w:type="page"/>
      </w:r>
    </w:p>
    <w:p>
      <w:pPr>
        <w:pStyle w:val="Heading1"/>
      </w:pPr>
      <w:r>
        <w:t>1. Executive Summary</w:t>
      </w:r>
    </w:p>
    <w:p>
      <w:r>
        <w:rPr>
          <w:rFonts w:ascii="Arial" w:hAnsi="Arial"/>
          <w:sz w:val="22"/>
        </w:rPr>
        <w:t>This document outlines the migration plan to replace REST-based inter-service communication between the ElectraHub API Gateway and backend microservices with gRPC. The migration targets internal service-to-service calls only; the external-facing REST API exposed to frontend clients remains unchanged.</w:t>
      </w:r>
    </w:p>
    <w:p>
      <w:pPr>
        <w:pStyle w:val="Heading2"/>
      </w:pPr>
      <w:r>
        <w:t>1.1 Current Architecture</w:t>
      </w:r>
    </w:p>
    <w:p>
      <w:r>
        <w:rPr>
          <w:rFonts w:ascii="Arial" w:hAnsi="Arial"/>
          <w:sz w:val="22"/>
        </w:rPr>
        <w:t xml:space="preserve">The API Gateway (Spring Boot 4.0.1, Java 21) acts as a transparent reverse proxy, forwarding HTTP requests to 7 backend services via Spring’s </w:t>
      </w:r>
      <w:r>
        <w:rPr>
          <w:rFonts w:ascii="Arial" w:hAnsi="Arial"/>
          <w:b/>
          <w:sz w:val="22"/>
        </w:rPr>
        <w:t>RestClient</w:t>
      </w:r>
      <w:r>
        <w:rPr>
          <w:rFonts w:ascii="Arial" w:hAnsi="Arial"/>
          <w:sz w:val="22"/>
        </w:rPr>
        <w:t>. Routing is path-prefix-based and configured in application.yaml. The gateway also fetches RBAC policies from the user-service over REST on a 30-second polling interval.</w:t>
      </w:r>
    </w:p>
    <w:p>
      <w:pPr>
        <w:pStyle w:val="Heading2"/>
      </w:pPr>
      <w:r>
        <w:t>1.2 Why gRPC?</w:t>
      </w:r>
    </w:p>
    <w:p>
      <w:pPr>
        <w:pStyle w:val="ListBullet"/>
      </w:pPr>
      <w:r>
        <w:rPr>
          <w:rFonts w:ascii="Arial" w:hAnsi="Arial"/>
          <w:sz w:val="22"/>
        </w:rPr>
      </w:r>
      <w:r>
        <w:rPr>
          <w:rFonts w:ascii="Arial" w:hAnsi="Arial"/>
          <w:b/>
          <w:sz w:val="22"/>
        </w:rPr>
        <w:t>Performance</w:t>
      </w:r>
      <w:r>
        <w:rPr>
          <w:rFonts w:ascii="Arial" w:hAnsi="Arial"/>
          <w:sz w:val="22"/>
        </w:rPr>
        <w:t>: Protobuf binary serialization is 5–10x smaller and 3–5x faster than JSON, reducing latency and CPU overhead on every proxied request.</w:t>
      </w:r>
    </w:p>
    <w:p>
      <w:pPr>
        <w:pStyle w:val="ListBullet"/>
      </w:pPr>
      <w:r>
        <w:rPr>
          <w:rFonts w:ascii="Arial" w:hAnsi="Arial"/>
          <w:sz w:val="22"/>
        </w:rPr>
      </w:r>
      <w:r>
        <w:rPr>
          <w:rFonts w:ascii="Arial" w:hAnsi="Arial"/>
          <w:b/>
          <w:sz w:val="22"/>
        </w:rPr>
        <w:t>Strongly-typed contracts</w:t>
      </w:r>
      <w:r>
        <w:rPr>
          <w:rFonts w:ascii="Arial" w:hAnsi="Arial"/>
          <w:sz w:val="22"/>
        </w:rPr>
        <w:t>: .proto files serve as a single source of truth, enabling compile-time validation and eliminating runtime deserialization surprises.</w:t>
      </w:r>
    </w:p>
    <w:p>
      <w:pPr>
        <w:pStyle w:val="ListBullet"/>
      </w:pPr>
      <w:r>
        <w:rPr>
          <w:rFonts w:ascii="Arial" w:hAnsi="Arial"/>
          <w:sz w:val="22"/>
        </w:rPr>
      </w:r>
      <w:r>
        <w:rPr>
          <w:rFonts w:ascii="Arial" w:hAnsi="Arial"/>
          <w:b/>
          <w:sz w:val="22"/>
        </w:rPr>
        <w:t>Streaming</w:t>
      </w:r>
      <w:r>
        <w:rPr>
          <w:rFonts w:ascii="Arial" w:hAnsi="Arial"/>
          <w:sz w:val="22"/>
        </w:rPr>
        <w:t>: gRPC’s bidirectional streaming is ideal for real-time features like RBAC policy push, charger status updates, and session meter values.</w:t>
      </w:r>
    </w:p>
    <w:p>
      <w:pPr>
        <w:pStyle w:val="ListBullet"/>
      </w:pPr>
      <w:r>
        <w:rPr>
          <w:rFonts w:ascii="Arial" w:hAnsi="Arial"/>
          <w:sz w:val="22"/>
        </w:rPr>
      </w:r>
      <w:r>
        <w:rPr>
          <w:rFonts w:ascii="Arial" w:hAnsi="Arial"/>
          <w:b/>
          <w:sz w:val="22"/>
        </w:rPr>
        <w:t>HTTP/2 multiplexing</w:t>
      </w:r>
      <w:r>
        <w:rPr>
          <w:rFonts w:ascii="Arial" w:hAnsi="Arial"/>
          <w:sz w:val="22"/>
        </w:rPr>
        <w:t>: Multiple in-flight RPCs share a single TCP connection, removing head-of-line blocking and reducing connection overhead to K8s services.</w:t>
      </w:r>
    </w:p>
    <w:p>
      <w:pPr>
        <w:pStyle w:val="ListBullet"/>
      </w:pPr>
      <w:r>
        <w:rPr>
          <w:rFonts w:ascii="Arial" w:hAnsi="Arial"/>
          <w:sz w:val="22"/>
        </w:rPr>
      </w:r>
      <w:r>
        <w:rPr>
          <w:rFonts w:ascii="Arial" w:hAnsi="Arial"/>
          <w:b/>
          <w:sz w:val="22"/>
        </w:rPr>
        <w:t>Code generation</w:t>
      </w:r>
      <w:r>
        <w:rPr>
          <w:rFonts w:ascii="Arial" w:hAnsi="Arial"/>
          <w:sz w:val="22"/>
        </w:rPr>
        <w:t>: Automatic client/server stubs in Java eliminate hand-written REST clients and DTOs.</w:t>
      </w:r>
    </w:p>
    <w:p>
      <w:pPr>
        <w:pStyle w:val="Heading2"/>
      </w:pPr>
      <w:r>
        <w:t>1.3 Scope</w:t>
      </w:r>
    </w:p>
    <w:tbl>
      <w:tblPr>
        <w:tblStyle w:val="TableGrid"/>
        <w:tblW w:type="auto" w:w="0"/>
        <w:jc w:val="center"/>
        <w:tblLook w:firstColumn="1" w:firstRow="1" w:lastColumn="0" w:lastRow="0" w:noHBand="0" w:noVBand="1" w:val="04A0"/>
      </w:tblPr>
      <w:tblGrid>
        <w:gridCol w:w="4680"/>
        <w:gridCol w:w="4680"/>
      </w:tblGrid>
      <w:tr>
        <w:tc>
          <w:tcPr>
            <w:tcW w:type="dxa" w:w="4608"/>
            <w:shd w:fill="1B4F72"/>
          </w:tcPr>
          <w:p>
            <w:r/>
            <w:r>
              <w:rPr>
                <w:rFonts w:ascii="Arial" w:hAnsi="Arial"/>
                <w:b/>
                <w:color w:val="FFFFFF"/>
                <w:sz w:val="20"/>
              </w:rPr>
              <w:t>In Scope</w:t>
            </w:r>
          </w:p>
        </w:tc>
        <w:tc>
          <w:tcPr>
            <w:tcW w:type="dxa" w:w="4608"/>
            <w:shd w:fill="1B4F72"/>
          </w:tcPr>
          <w:p>
            <w:r/>
            <w:r>
              <w:rPr>
                <w:rFonts w:ascii="Arial" w:hAnsi="Arial"/>
                <w:b/>
                <w:color w:val="FFFFFF"/>
                <w:sz w:val="20"/>
              </w:rPr>
              <w:t>Out of Scope</w:t>
            </w:r>
          </w:p>
        </w:tc>
      </w:tr>
      <w:tr>
        <w:tc>
          <w:tcPr>
            <w:tcW w:type="dxa" w:w="4608"/>
            <w:shd w:fill="F2F8FD"/>
          </w:tcPr>
          <w:p>
            <w:r/>
            <w:r>
              <w:rPr>
                <w:rFonts w:ascii="Arial" w:hAnsi="Arial"/>
                <w:sz w:val="20"/>
              </w:rPr>
              <w:t>API Gateway → backend microservice calls (7 routes)</w:t>
            </w:r>
          </w:p>
        </w:tc>
        <w:tc>
          <w:tcPr>
            <w:tcW w:type="dxa" w:w="4608"/>
            <w:shd w:fill="F2F8FD"/>
          </w:tcPr>
          <w:p>
            <w:r/>
            <w:r>
              <w:rPr>
                <w:rFonts w:ascii="Arial" w:hAnsi="Arial"/>
                <w:sz w:val="20"/>
              </w:rPr>
              <w:t>External client → API Gateway REST API</w:t>
            </w:r>
          </w:p>
        </w:tc>
      </w:tr>
      <w:tr>
        <w:tc>
          <w:tcPr>
            <w:tcW w:type="dxa" w:w="4608"/>
          </w:tcPr>
          <w:p>
            <w:r/>
            <w:r>
              <w:rPr>
                <w:rFonts w:ascii="Arial" w:hAnsi="Arial"/>
                <w:sz w:val="20"/>
              </w:rPr>
              <w:t>RBAC policy fetch (gateway → user-service)</w:t>
            </w:r>
          </w:p>
        </w:tc>
        <w:tc>
          <w:tcPr>
            <w:tcW w:type="dxa" w:w="4608"/>
          </w:tcPr>
          <w:p>
            <w:r/>
            <w:r>
              <w:rPr>
                <w:rFonts w:ascii="Arial" w:hAnsi="Arial"/>
                <w:sz w:val="20"/>
              </w:rPr>
              <w:t>Frontend applications (Angular, iOS)</w:t>
            </w:r>
          </w:p>
        </w:tc>
      </w:tr>
      <w:tr>
        <w:tc>
          <w:tcPr>
            <w:tcW w:type="dxa" w:w="4608"/>
            <w:shd w:fill="F2F8FD"/>
          </w:tcPr>
          <w:p>
            <w:r/>
            <w:r>
              <w:rPr>
                <w:rFonts w:ascii="Arial" w:hAnsi="Arial"/>
                <w:sz w:val="20"/>
              </w:rPr>
              <w:t>Internal service-to-service contracts (.proto files)</w:t>
            </w:r>
          </w:p>
        </w:tc>
        <w:tc>
          <w:tcPr>
            <w:tcW w:type="dxa" w:w="4608"/>
            <w:shd w:fill="F2F8FD"/>
          </w:tcPr>
          <w:p>
            <w:r/>
            <w:r>
              <w:rPr>
                <w:rFonts w:ascii="Arial" w:hAnsi="Arial"/>
                <w:sz w:val="20"/>
              </w:rPr>
              <w:t>OCPP WebSocket protocol (charger communication)</w:t>
            </w:r>
          </w:p>
        </w:tc>
      </w:tr>
      <w:tr>
        <w:tc>
          <w:tcPr>
            <w:tcW w:type="dxa" w:w="4608"/>
          </w:tcPr>
          <w:p>
            <w:r/>
            <w:r>
              <w:rPr>
                <w:rFonts w:ascii="Arial" w:hAnsi="Arial"/>
                <w:sz w:val="20"/>
              </w:rPr>
              <w:t>New shared proto module in Maven</w:t>
            </w:r>
          </w:p>
        </w:tc>
        <w:tc>
          <w:tcPr>
            <w:tcW w:type="dxa" w:w="4608"/>
          </w:tcPr>
          <w:p>
            <w:r/>
            <w:r>
              <w:rPr>
                <w:rFonts w:ascii="Arial" w:hAnsi="Arial"/>
                <w:sz w:val="20"/>
              </w:rPr>
              <w:t>OCPI roaming protocol endpoints</w:t>
            </w:r>
          </w:p>
        </w:tc>
      </w:tr>
      <w:tr>
        <w:tc>
          <w:tcPr>
            <w:tcW w:type="dxa" w:w="4608"/>
            <w:shd w:fill="F2F8FD"/>
          </w:tcPr>
          <w:p>
            <w:r/>
            <w:r>
              <w:rPr>
                <w:rFonts w:ascii="Arial" w:hAnsi="Arial"/>
                <w:sz w:val="20"/>
              </w:rPr>
              <w:t>Health checks and observability over gRPC</w:t>
            </w:r>
          </w:p>
        </w:tc>
        <w:tc>
          <w:tcPr>
            <w:tcW w:type="dxa" w:w="4608"/>
            <w:shd w:fill="F2F8FD"/>
          </w:tcPr>
          <w:p>
            <w:r/>
            <w:r>
              <w:rPr>
                <w:rFonts w:ascii="Arial" w:hAnsi="Arial"/>
                <w:sz w:val="20"/>
              </w:rPr>
              <w:t>Database schema or migration changes</w:t>
            </w:r>
          </w:p>
        </w:tc>
      </w:tr>
    </w:tbl>
    <w:p/>
    <w:p>
      <w:r>
        <w:br w:type="page"/>
      </w:r>
    </w:p>
    <w:p>
      <w:pPr>
        <w:pStyle w:val="Heading1"/>
      </w:pPr>
      <w:r>
        <w:t>2. Current State Analysis</w:t>
      </w:r>
    </w:p>
    <w:p>
      <w:pPr>
        <w:pStyle w:val="Heading2"/>
      </w:pPr>
      <w:r>
        <w:t>2.1 Service Inventory</w:t>
      </w:r>
    </w:p>
    <w:p>
      <w:r>
        <w:rPr>
          <w:rFonts w:ascii="Arial" w:hAnsi="Arial"/>
          <w:sz w:val="22"/>
        </w:rPr>
        <w:t>All services in the ElectraHub platform share a uniform technology stack: Java 21, Spring Boot 4.0.1, Maven, PostgreSQL, Redis, and Micrometer/Prometheus observability. None currently have gRPC dependencies or .proto files.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B4F72"/>
          </w:tcPr>
          <w:p>
            <w:r/>
            <w:r>
              <w:rPr>
                <w:rFonts w:ascii="Arial" w:hAnsi="Arial"/>
                <w:b/>
                <w:color w:val="FFFFFF"/>
                <w:sz w:val="20"/>
              </w:rPr>
              <w:t>Service</w:t>
            </w:r>
          </w:p>
        </w:tc>
        <w:tc>
          <w:tcPr>
            <w:tcW w:type="dxa" w:w="2304"/>
            <w:shd w:fill="1B4F72"/>
          </w:tcPr>
          <w:p>
            <w:r/>
            <w:r>
              <w:rPr>
                <w:rFonts w:ascii="Arial" w:hAnsi="Arial"/>
                <w:b/>
                <w:color w:val="FFFFFF"/>
                <w:sz w:val="20"/>
              </w:rPr>
              <w:t>Route Prefix</w:t>
            </w:r>
          </w:p>
        </w:tc>
        <w:tc>
          <w:tcPr>
            <w:tcW w:type="dxa" w:w="864"/>
            <w:shd w:fill="1B4F72"/>
          </w:tcPr>
          <w:p>
            <w:r/>
            <w:r>
              <w:rPr>
                <w:rFonts w:ascii="Arial" w:hAnsi="Arial"/>
                <w:b/>
                <w:color w:val="FFFFFF"/>
                <w:sz w:val="20"/>
              </w:rPr>
              <w:t>Port</w:t>
            </w:r>
          </w:p>
        </w:tc>
        <w:tc>
          <w:tcPr>
            <w:tcW w:type="dxa" w:w="3744"/>
            <w:shd w:fill="1B4F72"/>
          </w:tcPr>
          <w:p>
            <w:r/>
            <w:r>
              <w:rPr>
                <w:rFonts w:ascii="Arial" w:hAnsi="Arial"/>
                <w:b/>
                <w:color w:val="FFFFFF"/>
                <w:sz w:val="20"/>
              </w:rPr>
              <w:t>Key Endpoints</w:t>
            </w:r>
          </w:p>
        </w:tc>
      </w:tr>
      <w:tr>
        <w:tc>
          <w:tcPr>
            <w:tcW w:type="dxa" w:w="2304"/>
            <w:shd w:fill="F2F8FD"/>
          </w:tcPr>
          <w:p>
            <w:r/>
            <w:r>
              <w:rPr>
                <w:rFonts w:ascii="Arial" w:hAnsi="Arial"/>
                <w:sz w:val="20"/>
              </w:rPr>
              <w:t>auth-service</w:t>
            </w:r>
          </w:p>
        </w:tc>
        <w:tc>
          <w:tcPr>
            <w:tcW w:type="dxa" w:w="2304"/>
            <w:shd w:fill="F2F8FD"/>
          </w:tcPr>
          <w:p>
            <w:r/>
            <w:r>
              <w:rPr>
                <w:rFonts w:ascii="Arial" w:hAnsi="Arial"/>
                <w:sz w:val="20"/>
              </w:rPr>
              <w:t>/auth</w:t>
            </w:r>
          </w:p>
        </w:tc>
        <w:tc>
          <w:tcPr>
            <w:tcW w:type="dxa" w:w="864"/>
            <w:shd w:fill="F2F8FD"/>
          </w:tcPr>
          <w:p>
            <w:r/>
            <w:r>
              <w:rPr>
                <w:rFonts w:ascii="Arial" w:hAnsi="Arial"/>
                <w:sz w:val="20"/>
              </w:rPr>
              <w:t>8080</w:t>
            </w:r>
          </w:p>
        </w:tc>
        <w:tc>
          <w:tcPr>
            <w:tcW w:type="dxa" w:w="3744"/>
            <w:shd w:fill="F2F8FD"/>
          </w:tcPr>
          <w:p>
            <w:r/>
            <w:r>
              <w:rPr>
                <w:rFonts w:ascii="Arial" w:hAnsi="Arial"/>
                <w:sz w:val="20"/>
              </w:rPr>
              <w:t>Login, register, refresh, countries</w:t>
            </w:r>
          </w:p>
        </w:tc>
      </w:tr>
      <w:tr>
        <w:tc>
          <w:tcPr>
            <w:tcW w:type="dxa" w:w="2304"/>
          </w:tcPr>
          <w:p>
            <w:r/>
            <w:r>
              <w:rPr>
                <w:rFonts w:ascii="Arial" w:hAnsi="Arial"/>
                <w:sz w:val="20"/>
              </w:rPr>
              <w:t>user-service</w:t>
            </w:r>
          </w:p>
        </w:tc>
        <w:tc>
          <w:tcPr>
            <w:tcW w:type="dxa" w:w="2304"/>
          </w:tcPr>
          <w:p>
            <w:r/>
            <w:r>
              <w:rPr>
                <w:rFonts w:ascii="Arial" w:hAnsi="Arial"/>
                <w:sz w:val="20"/>
              </w:rPr>
              <w:t>/user</w:t>
            </w:r>
          </w:p>
        </w:tc>
        <w:tc>
          <w:tcPr>
            <w:tcW w:type="dxa" w:w="864"/>
          </w:tcPr>
          <w:p>
            <w:r/>
            <w:r>
              <w:rPr>
                <w:rFonts w:ascii="Arial" w:hAnsi="Arial"/>
                <w:sz w:val="20"/>
              </w:rPr>
              <w:t>8082</w:t>
            </w:r>
          </w:p>
        </w:tc>
        <w:tc>
          <w:tcPr>
            <w:tcW w:type="dxa" w:w="3744"/>
          </w:tcPr>
          <w:p>
            <w:r/>
            <w:r>
              <w:rPr>
                <w:rFonts w:ascii="Arial" w:hAnsi="Arial"/>
                <w:sz w:val="20"/>
              </w:rPr>
              <w:t>User CRUD, admin, RBAC policy (internal)</w:t>
            </w:r>
          </w:p>
        </w:tc>
      </w:tr>
      <w:tr>
        <w:tc>
          <w:tcPr>
            <w:tcW w:type="dxa" w:w="2304"/>
            <w:shd w:fill="F2F8FD"/>
          </w:tcPr>
          <w:p>
            <w:r/>
            <w:r>
              <w:rPr>
                <w:rFonts w:ascii="Arial" w:hAnsi="Arial"/>
                <w:sz w:val="20"/>
              </w:rPr>
              <w:t>subscription-service</w:t>
            </w:r>
          </w:p>
        </w:tc>
        <w:tc>
          <w:tcPr>
            <w:tcW w:type="dxa" w:w="2304"/>
            <w:shd w:fill="F2F8FD"/>
          </w:tcPr>
          <w:p>
            <w:r/>
            <w:r>
              <w:rPr>
                <w:rFonts w:ascii="Arial" w:hAnsi="Arial"/>
                <w:sz w:val="20"/>
              </w:rPr>
              <w:t>/subscription</w:t>
            </w:r>
          </w:p>
        </w:tc>
        <w:tc>
          <w:tcPr>
            <w:tcW w:type="dxa" w:w="864"/>
            <w:shd w:fill="F2F8FD"/>
          </w:tcPr>
          <w:p>
            <w:r/>
            <w:r>
              <w:rPr>
                <w:rFonts w:ascii="Arial" w:hAnsi="Arial"/>
                <w:sz w:val="20"/>
              </w:rPr>
              <w:t>8086</w:t>
            </w:r>
          </w:p>
        </w:tc>
        <w:tc>
          <w:tcPr>
            <w:tcW w:type="dxa" w:w="3744"/>
            <w:shd w:fill="F2F8FD"/>
          </w:tcPr>
          <w:p>
            <w:r/>
            <w:r>
              <w:rPr>
                <w:rFonts w:ascii="Arial" w:hAnsi="Arial"/>
                <w:sz w:val="20"/>
              </w:rPr>
              <w:t>Subscription audit, utilization</w:t>
            </w:r>
          </w:p>
        </w:tc>
      </w:tr>
      <w:tr>
        <w:tc>
          <w:tcPr>
            <w:tcW w:type="dxa" w:w="2304"/>
          </w:tcPr>
          <w:p>
            <w:r/>
            <w:r>
              <w:rPr>
                <w:rFonts w:ascii="Arial" w:hAnsi="Arial"/>
                <w:sz w:val="20"/>
              </w:rPr>
              <w:t>payment-service</w:t>
            </w:r>
          </w:p>
        </w:tc>
        <w:tc>
          <w:tcPr>
            <w:tcW w:type="dxa" w:w="2304"/>
          </w:tcPr>
          <w:p>
            <w:r/>
            <w:r>
              <w:rPr>
                <w:rFonts w:ascii="Arial" w:hAnsi="Arial"/>
                <w:sz w:val="20"/>
              </w:rPr>
              <w:t>/payment</w:t>
            </w:r>
          </w:p>
        </w:tc>
        <w:tc>
          <w:tcPr>
            <w:tcW w:type="dxa" w:w="864"/>
          </w:tcPr>
          <w:p>
            <w:r/>
            <w:r>
              <w:rPr>
                <w:rFonts w:ascii="Arial" w:hAnsi="Arial"/>
                <w:sz w:val="20"/>
              </w:rPr>
              <w:t>8083</w:t>
            </w:r>
          </w:p>
        </w:tc>
        <w:tc>
          <w:tcPr>
            <w:tcW w:type="dxa" w:w="3744"/>
          </w:tcPr>
          <w:p>
            <w:r/>
            <w:r>
              <w:rPr>
                <w:rFonts w:ascii="Arial" w:hAnsi="Arial"/>
                <w:sz w:val="20"/>
              </w:rPr>
              <w:t>Wallet provisioning, top-up, auto top-up</w:t>
            </w:r>
          </w:p>
        </w:tc>
      </w:tr>
      <w:tr>
        <w:tc>
          <w:tcPr>
            <w:tcW w:type="dxa" w:w="2304"/>
            <w:shd w:fill="F2F8FD"/>
          </w:tcPr>
          <w:p>
            <w:r/>
            <w:r>
              <w:rPr>
                <w:rFonts w:ascii="Arial" w:hAnsi="Arial"/>
                <w:sz w:val="20"/>
              </w:rPr>
              <w:t>charger-mgmt-service</w:t>
            </w:r>
          </w:p>
        </w:tc>
        <w:tc>
          <w:tcPr>
            <w:tcW w:type="dxa" w:w="2304"/>
            <w:shd w:fill="F2F8FD"/>
          </w:tcPr>
          <w:p>
            <w:r/>
            <w:r>
              <w:rPr>
                <w:rFonts w:ascii="Arial" w:hAnsi="Arial"/>
                <w:sz w:val="20"/>
              </w:rPr>
              <w:t>/charger, /charger-mgmt</w:t>
            </w:r>
          </w:p>
        </w:tc>
        <w:tc>
          <w:tcPr>
            <w:tcW w:type="dxa" w:w="864"/>
            <w:shd w:fill="F2F8FD"/>
          </w:tcPr>
          <w:p>
            <w:r/>
            <w:r>
              <w:rPr>
                <w:rFonts w:ascii="Arial" w:hAnsi="Arial"/>
                <w:sz w:val="20"/>
              </w:rPr>
              <w:t>8086</w:t>
            </w:r>
          </w:p>
        </w:tc>
        <w:tc>
          <w:tcPr>
            <w:tcW w:type="dxa" w:w="3744"/>
            <w:shd w:fill="F2F8FD"/>
          </w:tcPr>
          <w:p>
            <w:r/>
            <w:r>
              <w:rPr>
                <w:rFonts w:ascii="Arial" w:hAnsi="Arial"/>
                <w:sz w:val="20"/>
              </w:rPr>
              <w:t>Charger CRUD, admin operations</w:t>
            </w:r>
          </w:p>
        </w:tc>
      </w:tr>
      <w:tr>
        <w:tc>
          <w:tcPr>
            <w:tcW w:type="dxa" w:w="2304"/>
          </w:tcPr>
          <w:p>
            <w:r/>
            <w:r>
              <w:rPr>
                <w:rFonts w:ascii="Arial" w:hAnsi="Arial"/>
                <w:sz w:val="20"/>
              </w:rPr>
              <w:t>pricing-service</w:t>
            </w:r>
          </w:p>
        </w:tc>
        <w:tc>
          <w:tcPr>
            <w:tcW w:type="dxa" w:w="2304"/>
          </w:tcPr>
          <w:p>
            <w:r/>
            <w:r>
              <w:rPr>
                <w:rFonts w:ascii="Arial" w:hAnsi="Arial"/>
                <w:sz w:val="20"/>
              </w:rPr>
              <w:t>/pricing</w:t>
            </w:r>
          </w:p>
        </w:tc>
        <w:tc>
          <w:tcPr>
            <w:tcW w:type="dxa" w:w="864"/>
          </w:tcPr>
          <w:p>
            <w:r/>
            <w:r>
              <w:rPr>
                <w:rFonts w:ascii="Arial" w:hAnsi="Arial"/>
                <w:sz w:val="20"/>
              </w:rPr>
              <w:t>8092</w:t>
            </w:r>
          </w:p>
        </w:tc>
        <w:tc>
          <w:tcPr>
            <w:tcW w:type="dxa" w:w="3744"/>
          </w:tcPr>
          <w:p>
            <w:r/>
            <w:r>
              <w:rPr>
                <w:rFonts w:ascii="Arial" w:hAnsi="Arial"/>
                <w:sz w:val="20"/>
              </w:rPr>
              <w:t>Price signals, OCPI tariffs, search, calculate</w:t>
            </w:r>
          </w:p>
        </w:tc>
      </w:tr>
      <w:tr>
        <w:tc>
          <w:tcPr>
            <w:tcW w:type="dxa" w:w="2304"/>
            <w:shd w:fill="F2F8FD"/>
          </w:tcPr>
          <w:p>
            <w:r/>
            <w:r>
              <w:rPr>
                <w:rFonts w:ascii="Arial" w:hAnsi="Arial"/>
                <w:sz w:val="20"/>
              </w:rPr>
              <w:t>web-socket-connector</w:t>
            </w:r>
          </w:p>
        </w:tc>
        <w:tc>
          <w:tcPr>
            <w:tcW w:type="dxa" w:w="2304"/>
            <w:shd w:fill="F2F8FD"/>
          </w:tcPr>
          <w:p>
            <w:r/>
            <w:r>
              <w:rPr>
                <w:rFonts w:ascii="Arial" w:hAnsi="Arial"/>
                <w:sz w:val="20"/>
              </w:rPr>
              <w:t>/ws</w:t>
            </w:r>
          </w:p>
        </w:tc>
        <w:tc>
          <w:tcPr>
            <w:tcW w:type="dxa" w:w="864"/>
            <w:shd w:fill="F2F8FD"/>
          </w:tcPr>
          <w:p>
            <w:r/>
            <w:r>
              <w:rPr>
                <w:rFonts w:ascii="Arial" w:hAnsi="Arial"/>
                <w:sz w:val="20"/>
              </w:rPr>
              <w:t>8091</w:t>
            </w:r>
          </w:p>
        </w:tc>
        <w:tc>
          <w:tcPr>
            <w:tcW w:type="dxa" w:w="3744"/>
            <w:shd w:fill="F2F8FD"/>
          </w:tcPr>
          <w:p>
            <w:r/>
            <w:r>
              <w:rPr>
                <w:rFonts w:ascii="Arial" w:hAnsi="Arial"/>
                <w:sz w:val="20"/>
              </w:rPr>
              <w:t>WebSocket relay for OCPP</w:t>
            </w:r>
          </w:p>
        </w:tc>
      </w:tr>
    </w:tbl>
    <w:p/>
    <w:p>
      <w:pPr>
        <w:pStyle w:val="Heading2"/>
      </w:pPr>
      <w:r>
        <w:t>2.2 Communication Patterns</w:t>
      </w:r>
    </w:p>
    <w:p>
      <w:r>
        <w:rPr>
          <w:rFonts w:ascii="Arial" w:hAnsi="Arial"/>
          <w:sz w:val="22"/>
        </w:rPr>
        <w:t>The gateway uses two distinct REST communication patterns:</w:t>
      </w:r>
    </w:p>
    <w:p>
      <w:pPr>
        <w:pStyle w:val="Heading3"/>
      </w:pPr>
      <w:r>
        <w:t>2.2.1 Transparent Proxy (GatewayProxyController)</w:t>
      </w:r>
    </w:p>
    <w:p>
      <w:r>
        <w:rPr>
          <w:rFonts w:ascii="Arial" w:hAnsi="Arial"/>
          <w:sz w:val="22"/>
        </w:rPr>
        <w:t xml:space="preserve">The </w:t>
      </w:r>
      <w:r>
        <w:rPr>
          <w:rFonts w:ascii="Arial" w:hAnsi="Arial"/>
          <w:b/>
          <w:sz w:val="22"/>
        </w:rPr>
        <w:t>GatewayProxyController</w:t>
      </w:r>
      <w:r>
        <w:rPr>
          <w:rFonts w:ascii="Arial" w:hAnsi="Arial"/>
          <w:sz w:val="22"/>
        </w:rPr>
        <w:t xml:space="preserve"> catches all requests via </w:t>
      </w:r>
      <w:r>
        <w:rPr>
          <w:rFonts w:ascii="Arial" w:hAnsi="Arial"/>
          <w:b/>
          <w:sz w:val="22"/>
        </w:rPr>
        <w:t>@RequestMapping("/</w:t>
      </w:r>
      <w:r>
        <w:rPr>
          <w:rFonts w:ascii="Arial" w:hAnsi="Arial"/>
          <w:sz w:val="22"/>
        </w:rPr>
        <w:t>")</w:t>
      </w:r>
      <w:r>
        <w:rPr>
          <w:rFonts w:ascii="Arial" w:hAnsi="Arial"/>
          <w:b/>
          <w:sz w:val="22"/>
        </w:rPr>
        <w:t xml:space="preserve">, extracts the first path segment as a service prefix, resolves the backend URL from </w:t>
      </w:r>
      <w:r>
        <w:rPr>
          <w:rFonts w:ascii="Arial" w:hAnsi="Arial"/>
          <w:sz w:val="22"/>
        </w:rPr>
        <w:t>RouteRegistry</w:t>
      </w:r>
      <w:r>
        <w:rPr>
          <w:rFonts w:ascii="Arial" w:hAnsi="Arial"/>
          <w:b/>
          <w:sz w:val="22"/>
        </w:rPr>
        <w:t xml:space="preserve">, and forwards the full HTTP request (method, headers, query string, body) using </w:t>
      </w:r>
      <w:r>
        <w:rPr>
          <w:rFonts w:ascii="Arial" w:hAnsi="Arial"/>
          <w:sz w:val="22"/>
        </w:rPr>
        <w:t>RestClient</w:t>
      </w:r>
      <w:r>
        <w:rPr>
          <w:rFonts w:ascii="Arial" w:hAnsi="Arial"/>
          <w:b/>
          <w:sz w:val="22"/>
        </w:rPr>
        <w:t>. Response bytes are returned as-is. This is the primary traffic path for all 7 backend services.</w:t>
      </w:r>
    </w:p>
    <w:p>
      <w:pPr>
        <w:pStyle w:val="Heading3"/>
      </w:pPr>
      <w:r>
        <w:t>2.2.2 Typed REST Call (RBAC Policy Fetch)</w:t>
      </w:r>
    </w:p>
    <w:p>
      <w:r>
        <w:rPr>
          <w:rFonts w:ascii="Arial" w:hAnsi="Arial"/>
          <w:sz w:val="22"/>
        </w:rPr>
        <w:t xml:space="preserve">The </w:t>
      </w:r>
      <w:r>
        <w:rPr>
          <w:rFonts w:ascii="Arial" w:hAnsi="Arial"/>
          <w:b/>
          <w:sz w:val="22"/>
        </w:rPr>
        <w:t>CachedRbacPolicySnapshotProvider</w:t>
      </w:r>
      <w:r>
        <w:rPr>
          <w:rFonts w:ascii="Arial" w:hAnsi="Arial"/>
          <w:sz w:val="22"/>
        </w:rPr>
        <w:t xml:space="preserve"> makes a typed GET request to user-service’s internal RBAC endpoint every 30 seconds, deserializing the JSON response into </w:t>
      </w:r>
      <w:r>
        <w:rPr>
          <w:rFonts w:ascii="Arial" w:hAnsi="Arial"/>
          <w:b/>
          <w:sz w:val="22"/>
        </w:rPr>
        <w:t>RemoteRbacPolicyResponse</w:t>
      </w:r>
      <w:r>
        <w:rPr>
          <w:rFonts w:ascii="Arial" w:hAnsi="Arial"/>
          <w:sz w:val="22"/>
        </w:rPr>
        <w:t xml:space="preserve"> DTOs. This is a structured, internal-only API that is ideal for early gRPC migration.</w:t>
      </w:r>
    </w:p>
    <w:p>
      <w:pPr>
        <w:pStyle w:val="Heading2"/>
      </w:pPr>
      <w:r>
        <w:t>2.3 Key Observations</w:t>
      </w:r>
    </w:p>
    <w:p>
      <w:pPr>
        <w:pStyle w:val="ListBullet"/>
      </w:pPr>
      <w:r>
        <w:rPr>
          <w:rFonts w:ascii="Arial" w:hAnsi="Arial"/>
          <w:sz w:val="22"/>
        </w:rPr>
      </w:r>
      <w:r>
        <w:rPr>
          <w:rFonts w:ascii="Arial" w:hAnsi="Arial"/>
          <w:b/>
          <w:sz w:val="22"/>
        </w:rPr>
        <w:t>No existing gRPC infrastructure</w:t>
      </w:r>
      <w:r>
        <w:rPr>
          <w:rFonts w:ascii="Arial" w:hAnsi="Arial"/>
          <w:sz w:val="22"/>
        </w:rPr>
        <w:t>: None of the 11 services have proto files, gRPC dependencies, or gRPC server/client configurations.</w:t>
      </w:r>
    </w:p>
    <w:p>
      <w:pPr>
        <w:pStyle w:val="ListBullet"/>
      </w:pPr>
      <w:r>
        <w:rPr>
          <w:rFonts w:ascii="Arial" w:hAnsi="Arial"/>
          <w:sz w:val="22"/>
        </w:rPr>
      </w:r>
      <w:r>
        <w:rPr>
          <w:rFonts w:ascii="Arial" w:hAnsi="Arial"/>
          <w:b/>
          <w:sz w:val="22"/>
        </w:rPr>
        <w:t>Uniform tech stack</w:t>
      </w:r>
      <w:r>
        <w:rPr>
          <w:rFonts w:ascii="Arial" w:hAnsi="Arial"/>
          <w:sz w:val="22"/>
        </w:rPr>
        <w:t>: All services use Spring Boot 4.0.1 + Java 21, making a standardized gRPC integration approach feasible.</w:t>
      </w:r>
    </w:p>
    <w:p>
      <w:pPr>
        <w:pStyle w:val="ListBullet"/>
      </w:pPr>
      <w:r>
        <w:rPr>
          <w:rFonts w:ascii="Arial" w:hAnsi="Arial"/>
          <w:sz w:val="22"/>
        </w:rPr>
      </w:r>
      <w:r>
        <w:rPr>
          <w:rFonts w:ascii="Arial" w:hAnsi="Arial"/>
          <w:b/>
          <w:sz w:val="22"/>
        </w:rPr>
        <w:t>Simple routing</w:t>
      </w:r>
      <w:r>
        <w:rPr>
          <w:rFonts w:ascii="Arial" w:hAnsi="Arial"/>
          <w:sz w:val="22"/>
        </w:rPr>
        <w:t>: The gateway’s transparent proxy pattern means most logic is request forwarding — the migration primarily changes the transport layer, not business logic.</w:t>
      </w:r>
    </w:p>
    <w:p>
      <w:pPr>
        <w:pStyle w:val="ListBullet"/>
      </w:pPr>
      <w:r>
        <w:rPr>
          <w:rFonts w:ascii="Arial" w:hAnsi="Arial"/>
          <w:sz w:val="22"/>
        </w:rPr>
      </w:r>
      <w:r>
        <w:rPr>
          <w:rFonts w:ascii="Arial" w:hAnsi="Arial"/>
          <w:b/>
          <w:sz w:val="22"/>
        </w:rPr>
        <w:t>Kubernetes-native discovery</w:t>
      </w:r>
      <w:r>
        <w:rPr>
          <w:rFonts w:ascii="Arial" w:hAnsi="Arial"/>
          <w:sz w:val="22"/>
        </w:rPr>
        <w:t>: Services use K8s DNS names (e.g., auth-service:8080), which maps directly to gRPC channel targets.</w:t>
      </w:r>
    </w:p>
    <w:p>
      <w:pPr>
        <w:pStyle w:val="ListBullet"/>
      </w:pPr>
      <w:r>
        <w:rPr>
          <w:rFonts w:ascii="Arial" w:hAnsi="Arial"/>
          <w:sz w:val="22"/>
        </w:rPr>
      </w:r>
      <w:r>
        <w:rPr>
          <w:rFonts w:ascii="Arial" w:hAnsi="Arial"/>
          <w:b/>
          <w:sz w:val="22"/>
        </w:rPr>
        <w:t>WebSocket connector should remain REST/WS</w:t>
      </w:r>
      <w:r>
        <w:rPr>
          <w:rFonts w:ascii="Arial" w:hAnsi="Arial"/>
          <w:sz w:val="22"/>
        </w:rPr>
        <w:t>: The web-socket-connector relays OCPP WebSocket connections and is not suitable for gRPC replacement.</w:t>
      </w:r>
    </w:p>
    <w:p>
      <w:r>
        <w:br w:type="page"/>
      </w:r>
    </w:p>
    <w:p>
      <w:pPr>
        <w:pStyle w:val="Heading1"/>
      </w:pPr>
      <w:r>
        <w:t>3. Target Architecture</w:t>
      </w:r>
    </w:p>
    <w:p>
      <w:pPr>
        <w:pStyle w:val="Heading2"/>
      </w:pPr>
      <w:r>
        <w:t>3.1 High-Level Design</w:t>
      </w:r>
    </w:p>
    <w:p>
      <w:r>
        <w:rPr>
          <w:rFonts w:ascii="Arial" w:hAnsi="Arial"/>
          <w:sz w:val="22"/>
        </w:rPr>
        <w:t>In the target state, the API Gateway will continue to accept REST requests from external clients (frontends, mobile apps) but will forward them to backend services over gRPC instead of REST. Each backend service will expose a gRPC server alongside its existing REST controllers during the dual-stack period. The external REST API surface remains identical.</w:t>
      </w:r>
    </w:p>
    <w:p>
      <w:pPr>
        <w:pStyle w:val="Heading2"/>
      </w:pPr>
      <w:r>
        <w:t>3.2 Architectural Decisions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4F72"/>
          </w:tcPr>
          <w:p>
            <w:r/>
            <w:r>
              <w:rPr>
                <w:rFonts w:ascii="Arial" w:hAnsi="Arial"/>
                <w:b/>
                <w:color w:val="FFFFFF"/>
                <w:sz w:val="20"/>
              </w:rPr>
              <w:t>Decision</w:t>
            </w:r>
          </w:p>
        </w:tc>
        <w:tc>
          <w:tcPr>
            <w:tcW w:type="dxa" w:w="3168"/>
            <w:shd w:fill="1B4F72"/>
          </w:tcPr>
          <w:p>
            <w:r/>
            <w:r>
              <w:rPr>
                <w:rFonts w:ascii="Arial" w:hAnsi="Arial"/>
                <w:b/>
                <w:color w:val="FFFFFF"/>
                <w:sz w:val="20"/>
              </w:rPr>
              <w:t>Choice</w:t>
            </w:r>
          </w:p>
        </w:tc>
        <w:tc>
          <w:tcPr>
            <w:tcW w:type="dxa" w:w="3888"/>
            <w:shd w:fill="1B4F72"/>
          </w:tcPr>
          <w:p>
            <w:r/>
            <w:r>
              <w:rPr>
                <w:rFonts w:ascii="Arial" w:hAnsi="Arial"/>
                <w:b/>
                <w:color w:val="FFFFFF"/>
                <w:sz w:val="20"/>
              </w:rPr>
              <w:t>Rationale</w:t>
            </w:r>
          </w:p>
        </w:tc>
      </w:tr>
      <w:tr>
        <w:tc>
          <w:tcPr>
            <w:tcW w:type="dxa" w:w="2160"/>
            <w:shd w:fill="F2F8FD"/>
          </w:tcPr>
          <w:p>
            <w:r/>
            <w:r>
              <w:rPr>
                <w:rFonts w:ascii="Arial" w:hAnsi="Arial"/>
                <w:sz w:val="20"/>
              </w:rPr>
              <w:t>Proto management</w:t>
            </w:r>
          </w:p>
        </w:tc>
        <w:tc>
          <w:tcPr>
            <w:tcW w:type="dxa" w:w="3168"/>
            <w:shd w:fill="F2F8FD"/>
          </w:tcPr>
          <w:p>
            <w:r/>
            <w:r>
              <w:rPr>
                <w:rFonts w:ascii="Arial" w:hAnsi="Arial"/>
                <w:sz w:val="20"/>
              </w:rPr>
              <w:t>Shared Maven module (electrahub-proto)</w:t>
            </w:r>
          </w:p>
        </w:tc>
        <w:tc>
          <w:tcPr>
            <w:tcW w:type="dxa" w:w="3888"/>
            <w:shd w:fill="F2F8FD"/>
          </w:tcPr>
          <w:p>
            <w:r/>
            <w:r>
              <w:rPr>
                <w:rFonts w:ascii="Arial" w:hAnsi="Arial"/>
                <w:sz w:val="20"/>
              </w:rPr>
              <w:t>Single source of truth, versioned with platform, compile-time safety</w:t>
            </w:r>
          </w:p>
        </w:tc>
      </w:tr>
      <w:tr>
        <w:tc>
          <w:tcPr>
            <w:tcW w:type="dxa" w:w="2160"/>
          </w:tcPr>
          <w:p>
            <w:r/>
            <w:r>
              <w:rPr>
                <w:rFonts w:ascii="Arial" w:hAnsi="Arial"/>
                <w:sz w:val="20"/>
              </w:rPr>
              <w:t>gRPC framework</w:t>
            </w:r>
          </w:p>
        </w:tc>
        <w:tc>
          <w:tcPr>
            <w:tcW w:type="dxa" w:w="3168"/>
          </w:tcPr>
          <w:p>
            <w:r/>
            <w:r>
              <w:rPr>
                <w:rFonts w:ascii="Arial" w:hAnsi="Arial"/>
                <w:sz w:val="20"/>
              </w:rPr>
              <w:t>grpc-spring-boot-starter (grpc-ecosystem)</w:t>
            </w:r>
          </w:p>
        </w:tc>
        <w:tc>
          <w:tcPr>
            <w:tcW w:type="dxa" w:w="3888"/>
          </w:tcPr>
          <w:p>
            <w:r/>
            <w:r>
              <w:rPr>
                <w:rFonts w:ascii="Arial" w:hAnsi="Arial"/>
                <w:sz w:val="20"/>
              </w:rPr>
              <w:t>Mature Spring Boot integration, auto-config, interceptor support</w:t>
            </w:r>
          </w:p>
        </w:tc>
      </w:tr>
      <w:tr>
        <w:tc>
          <w:tcPr>
            <w:tcW w:type="dxa" w:w="2160"/>
            <w:shd w:fill="F2F8FD"/>
          </w:tcPr>
          <w:p>
            <w:r/>
            <w:r>
              <w:rPr>
                <w:rFonts w:ascii="Arial" w:hAnsi="Arial"/>
                <w:sz w:val="20"/>
              </w:rPr>
              <w:t>Serialization</w:t>
            </w:r>
          </w:p>
        </w:tc>
        <w:tc>
          <w:tcPr>
            <w:tcW w:type="dxa" w:w="3168"/>
            <w:shd w:fill="F2F8FD"/>
          </w:tcPr>
          <w:p>
            <w:r/>
            <w:r>
              <w:rPr>
                <w:rFonts w:ascii="Arial" w:hAnsi="Arial"/>
                <w:sz w:val="20"/>
              </w:rPr>
              <w:t>Protocol Buffers v3</w:t>
            </w:r>
          </w:p>
        </w:tc>
        <w:tc>
          <w:tcPr>
            <w:tcW w:type="dxa" w:w="3888"/>
            <w:shd w:fill="F2F8FD"/>
          </w:tcPr>
          <w:p>
            <w:r/>
            <w:r>
              <w:rPr>
                <w:rFonts w:ascii="Arial" w:hAnsi="Arial"/>
                <w:sz w:val="20"/>
              </w:rPr>
              <w:t>Industry standard, backward-compatible evolution, compact binary</w:t>
            </w:r>
          </w:p>
        </w:tc>
      </w:tr>
      <w:tr>
        <w:tc>
          <w:tcPr>
            <w:tcW w:type="dxa" w:w="2160"/>
          </w:tcPr>
          <w:p>
            <w:r/>
            <w:r>
              <w:rPr>
                <w:rFonts w:ascii="Arial" w:hAnsi="Arial"/>
                <w:sz w:val="20"/>
              </w:rPr>
              <w:t>Service discovery</w:t>
            </w:r>
          </w:p>
        </w:tc>
        <w:tc>
          <w:tcPr>
            <w:tcW w:type="dxa" w:w="3168"/>
          </w:tcPr>
          <w:p>
            <w:r/>
            <w:r>
              <w:rPr>
                <w:rFonts w:ascii="Arial" w:hAnsi="Arial"/>
                <w:sz w:val="20"/>
              </w:rPr>
              <w:t>Kubernetes DNS (unchanged)</w:t>
            </w:r>
          </w:p>
        </w:tc>
        <w:tc>
          <w:tcPr>
            <w:tcW w:type="dxa" w:w="3888"/>
          </w:tcPr>
          <w:p>
            <w:r/>
            <w:r>
              <w:rPr>
                <w:rFonts w:ascii="Arial" w:hAnsi="Arial"/>
                <w:sz w:val="20"/>
              </w:rPr>
              <w:t>gRPC channels target K8s service names directly</w:t>
            </w:r>
          </w:p>
        </w:tc>
      </w:tr>
      <w:tr>
        <w:tc>
          <w:tcPr>
            <w:tcW w:type="dxa" w:w="2160"/>
            <w:shd w:fill="F2F8FD"/>
          </w:tcPr>
          <w:p>
            <w:r/>
            <w:r>
              <w:rPr>
                <w:rFonts w:ascii="Arial" w:hAnsi="Arial"/>
                <w:sz w:val="20"/>
              </w:rPr>
              <w:t>Dual-stack period</w:t>
            </w:r>
          </w:p>
        </w:tc>
        <w:tc>
          <w:tcPr>
            <w:tcW w:type="dxa" w:w="3168"/>
            <w:shd w:fill="F2F8FD"/>
          </w:tcPr>
          <w:p>
            <w:r/>
            <w:r>
              <w:rPr>
                <w:rFonts w:ascii="Arial" w:hAnsi="Arial"/>
                <w:sz w:val="20"/>
              </w:rPr>
              <w:t>REST + gRPC in parallel</w:t>
            </w:r>
          </w:p>
        </w:tc>
        <w:tc>
          <w:tcPr>
            <w:tcW w:type="dxa" w:w="3888"/>
            <w:shd w:fill="F2F8FD"/>
          </w:tcPr>
          <w:p>
            <w:r/>
            <w:r>
              <w:rPr>
                <w:rFonts w:ascii="Arial" w:hAnsi="Arial"/>
                <w:sz w:val="20"/>
              </w:rPr>
              <w:t>Zero-downtime migration; roll back by switching to REST clients</w:t>
            </w:r>
          </w:p>
        </w:tc>
      </w:tr>
      <w:tr>
        <w:tc>
          <w:tcPr>
            <w:tcW w:type="dxa" w:w="2160"/>
          </w:tcPr>
          <w:p>
            <w:r/>
            <w:r>
              <w:rPr>
                <w:rFonts w:ascii="Arial" w:hAnsi="Arial"/>
                <w:sz w:val="20"/>
              </w:rPr>
              <w:t>WebSocket connector</w:t>
            </w:r>
          </w:p>
        </w:tc>
        <w:tc>
          <w:tcPr>
            <w:tcW w:type="dxa" w:w="3168"/>
          </w:tcPr>
          <w:p>
            <w:r/>
            <w:r>
              <w:rPr>
                <w:rFonts w:ascii="Arial" w:hAnsi="Arial"/>
                <w:sz w:val="20"/>
              </w:rPr>
              <w:t>Remains REST/WebSocket</w:t>
            </w:r>
          </w:p>
        </w:tc>
        <w:tc>
          <w:tcPr>
            <w:tcW w:type="dxa" w:w="3888"/>
          </w:tcPr>
          <w:p>
            <w:r/>
            <w:r>
              <w:rPr>
                <w:rFonts w:ascii="Arial" w:hAnsi="Arial"/>
                <w:sz w:val="20"/>
              </w:rPr>
              <w:t>OCPP protocol requires WebSocket; gRPC not applicable</w:t>
            </w:r>
          </w:p>
        </w:tc>
      </w:tr>
      <w:tr>
        <w:tc>
          <w:tcPr>
            <w:tcW w:type="dxa" w:w="2160"/>
            <w:shd w:fill="F2F8FD"/>
          </w:tcPr>
          <w:p>
            <w:r/>
            <w:r>
              <w:rPr>
                <w:rFonts w:ascii="Arial" w:hAnsi="Arial"/>
                <w:sz w:val="20"/>
              </w:rPr>
              <w:t>Error handling</w:t>
            </w:r>
          </w:p>
        </w:tc>
        <w:tc>
          <w:tcPr>
            <w:tcW w:type="dxa" w:w="3168"/>
            <w:shd w:fill="F2F8FD"/>
          </w:tcPr>
          <w:p>
            <w:r/>
            <w:r>
              <w:rPr>
                <w:rFonts w:ascii="Arial" w:hAnsi="Arial"/>
                <w:sz w:val="20"/>
              </w:rPr>
              <w:t>gRPC Status codes + metadata</w:t>
            </w:r>
          </w:p>
        </w:tc>
        <w:tc>
          <w:tcPr>
            <w:tcW w:type="dxa" w:w="3888"/>
            <w:shd w:fill="F2F8FD"/>
          </w:tcPr>
          <w:p>
            <w:r/>
            <w:r>
              <w:rPr>
                <w:rFonts w:ascii="Arial" w:hAnsi="Arial"/>
                <w:sz w:val="20"/>
              </w:rPr>
              <w:t>Map to HTTP status codes at gateway for client compatibility</w:t>
            </w:r>
          </w:p>
        </w:tc>
      </w:tr>
      <w:tr>
        <w:tc>
          <w:tcPr>
            <w:tcW w:type="dxa" w:w="2160"/>
          </w:tcPr>
          <w:p>
            <w:r/>
            <w:r>
              <w:rPr>
                <w:rFonts w:ascii="Arial" w:hAnsi="Arial"/>
                <w:sz w:val="20"/>
              </w:rPr>
              <w:t>Deadline propagation</w:t>
            </w:r>
          </w:p>
        </w:tc>
        <w:tc>
          <w:tcPr>
            <w:tcW w:type="dxa" w:w="3168"/>
          </w:tcPr>
          <w:p>
            <w:r/>
            <w:r>
              <w:rPr>
                <w:rFonts w:ascii="Arial" w:hAnsi="Arial"/>
                <w:sz w:val="20"/>
              </w:rPr>
              <w:t>gRPC deadlines from gateway</w:t>
            </w:r>
          </w:p>
        </w:tc>
        <w:tc>
          <w:tcPr>
            <w:tcW w:type="dxa" w:w="3888"/>
          </w:tcPr>
          <w:p>
            <w:r/>
            <w:r>
              <w:rPr>
                <w:rFonts w:ascii="Arial" w:hAnsi="Arial"/>
                <w:sz w:val="20"/>
              </w:rPr>
              <w:t>Replace HTTP timeouts with gRPC deadline propagation</w:t>
            </w:r>
          </w:p>
        </w:tc>
      </w:tr>
    </w:tbl>
    <w:p/>
    <w:p>
      <w:pPr>
        <w:pStyle w:val="Heading2"/>
      </w:pPr>
      <w:r>
        <w:t>3.3 Module Structure</w:t>
      </w:r>
    </w:p>
    <w:p>
      <w:r>
        <w:rPr>
          <w:rFonts w:ascii="Arial" w:hAnsi="Arial"/>
          <w:sz w:val="22"/>
        </w:rPr>
        <w:t xml:space="preserve">A new shared Maven module </w:t>
      </w:r>
      <w:r>
        <w:rPr>
          <w:rFonts w:ascii="Arial" w:hAnsi="Arial"/>
          <w:b/>
          <w:sz w:val="22"/>
        </w:rPr>
        <w:t>electrahub-proto</w:t>
      </w:r>
      <w:r>
        <w:rPr>
          <w:rFonts w:ascii="Arial" w:hAnsi="Arial"/>
          <w:sz w:val="22"/>
        </w:rPr>
        <w:t xml:space="preserve"> will house all .proto files and generate Java stubs at build time. Every service that participates in gRPC will depend on this module.</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B4F72"/>
          </w:tcPr>
          <w:p>
            <w:r/>
            <w:r>
              <w:rPr>
                <w:rFonts w:ascii="Arial" w:hAnsi="Arial"/>
                <w:b/>
                <w:color w:val="FFFFFF"/>
                <w:sz w:val="20"/>
              </w:rPr>
              <w:t>Module/Artifact</w:t>
            </w:r>
          </w:p>
        </w:tc>
        <w:tc>
          <w:tcPr>
            <w:tcW w:type="dxa" w:w="3888"/>
            <w:shd w:fill="1B4F72"/>
          </w:tcPr>
          <w:p>
            <w:r/>
            <w:r>
              <w:rPr>
                <w:rFonts w:ascii="Arial" w:hAnsi="Arial"/>
                <w:b/>
                <w:color w:val="FFFFFF"/>
                <w:sz w:val="20"/>
              </w:rPr>
              <w:t>Contents</w:t>
            </w:r>
          </w:p>
        </w:tc>
        <w:tc>
          <w:tcPr>
            <w:tcW w:type="dxa" w:w="2448"/>
            <w:shd w:fill="1B4F72"/>
          </w:tcPr>
          <w:p>
            <w:r/>
            <w:r>
              <w:rPr>
                <w:rFonts w:ascii="Arial" w:hAnsi="Arial"/>
                <w:b/>
                <w:color w:val="FFFFFF"/>
                <w:sz w:val="20"/>
              </w:rPr>
              <w:t>Consumed By</w:t>
            </w:r>
          </w:p>
        </w:tc>
      </w:tr>
      <w:tr>
        <w:tc>
          <w:tcPr>
            <w:tcW w:type="dxa" w:w="2880"/>
            <w:shd w:fill="F2F8FD"/>
          </w:tcPr>
          <w:p>
            <w:r/>
            <w:r>
              <w:rPr>
                <w:rFonts w:ascii="Arial" w:hAnsi="Arial"/>
                <w:sz w:val="20"/>
              </w:rPr>
              <w:t>electrahub-proto</w:t>
            </w:r>
          </w:p>
        </w:tc>
        <w:tc>
          <w:tcPr>
            <w:tcW w:type="dxa" w:w="3888"/>
            <w:shd w:fill="F2F8FD"/>
          </w:tcPr>
          <w:p>
            <w:r/>
            <w:r>
              <w:rPr>
                <w:rFonts w:ascii="Arial" w:hAnsi="Arial"/>
                <w:sz w:val="20"/>
              </w:rPr>
              <w:t>.proto files, generated Java stubs (messages + gRPC services)</w:t>
            </w:r>
          </w:p>
        </w:tc>
        <w:tc>
          <w:tcPr>
            <w:tcW w:type="dxa" w:w="2448"/>
            <w:shd w:fill="F2F8FD"/>
          </w:tcPr>
          <w:p>
            <w:r/>
            <w:r>
              <w:rPr>
                <w:rFonts w:ascii="Arial" w:hAnsi="Arial"/>
                <w:sz w:val="20"/>
              </w:rPr>
              <w:t>All services</w:t>
            </w:r>
          </w:p>
        </w:tc>
      </w:tr>
      <w:tr>
        <w:tc>
          <w:tcPr>
            <w:tcW w:type="dxa" w:w="2880"/>
          </w:tcPr>
          <w:p>
            <w:r/>
            <w:r>
              <w:rPr>
                <w:rFonts w:ascii="Arial" w:hAnsi="Arial"/>
                <w:sz w:val="20"/>
              </w:rPr>
              <w:t>api-gateway</w:t>
            </w:r>
          </w:p>
        </w:tc>
        <w:tc>
          <w:tcPr>
            <w:tcW w:type="dxa" w:w="3888"/>
          </w:tcPr>
          <w:p>
            <w:r/>
            <w:r>
              <w:rPr>
                <w:rFonts w:ascii="Arial" w:hAnsi="Arial"/>
                <w:sz w:val="20"/>
              </w:rPr>
              <w:t>gRPC channel config, stub beans, gateway-side interceptors</w:t>
            </w:r>
          </w:p>
        </w:tc>
        <w:tc>
          <w:tcPr>
            <w:tcW w:type="dxa" w:w="2448"/>
          </w:tcPr>
          <w:p>
            <w:r/>
            <w:r>
              <w:rPr>
                <w:rFonts w:ascii="Arial" w:hAnsi="Arial"/>
                <w:sz w:val="20"/>
              </w:rPr>
              <w:t>N/A (top-level consumer)</w:t>
            </w:r>
          </w:p>
        </w:tc>
      </w:tr>
      <w:tr>
        <w:tc>
          <w:tcPr>
            <w:tcW w:type="dxa" w:w="2880"/>
            <w:shd w:fill="F2F8FD"/>
          </w:tcPr>
          <w:p>
            <w:r/>
            <w:r>
              <w:rPr>
                <w:rFonts w:ascii="Arial" w:hAnsi="Arial"/>
                <w:sz w:val="20"/>
              </w:rPr>
              <w:t>Each backend service</w:t>
            </w:r>
          </w:p>
        </w:tc>
        <w:tc>
          <w:tcPr>
            <w:tcW w:type="dxa" w:w="3888"/>
            <w:shd w:fill="F2F8FD"/>
          </w:tcPr>
          <w:p>
            <w:r/>
            <w:r>
              <w:rPr>
                <w:rFonts w:ascii="Arial" w:hAnsi="Arial"/>
                <w:sz w:val="20"/>
              </w:rPr>
              <w:t>gRPC server implementation classes, server interceptors</w:t>
            </w:r>
          </w:p>
        </w:tc>
        <w:tc>
          <w:tcPr>
            <w:tcW w:type="dxa" w:w="2448"/>
            <w:shd w:fill="F2F8FD"/>
          </w:tcPr>
          <w:p>
            <w:r/>
            <w:r>
              <w:rPr>
                <w:rFonts w:ascii="Arial" w:hAnsi="Arial"/>
                <w:sz w:val="20"/>
              </w:rPr>
              <w:t>api-gateway (via gRPC)</w:t>
            </w:r>
          </w:p>
        </w:tc>
      </w:tr>
    </w:tbl>
    <w:p/>
    <w:p>
      <w:pPr>
        <w:pStyle w:val="Heading2"/>
      </w:pPr>
      <w:r>
        <w:t>3.4 Proto File Organization</w:t>
      </w:r>
    </w:p>
    <w:p>
      <w:r>
        <w:rPr>
          <w:rFonts w:ascii="Arial" w:hAnsi="Arial"/>
          <w:sz w:val="22"/>
        </w:rPr>
        <w:t>Proto files will be organized by domain, mirroring the service boundaries: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1B4F72"/>
          </w:tcPr>
          <w:p>
            <w:r/>
            <w:r>
              <w:rPr>
                <w:rFonts w:ascii="Arial" w:hAnsi="Arial"/>
                <w:b/>
                <w:color w:val="FFFFFF"/>
                <w:sz w:val="20"/>
              </w:rPr>
              <w:t>Proto File</w:t>
            </w:r>
          </w:p>
        </w:tc>
        <w:tc>
          <w:tcPr>
            <w:tcW w:type="dxa" w:w="3168"/>
            <w:shd w:fill="1B4F72"/>
          </w:tcPr>
          <w:p>
            <w:r/>
            <w:r>
              <w:rPr>
                <w:rFonts w:ascii="Arial" w:hAnsi="Arial"/>
                <w:b/>
                <w:color w:val="FFFFFF"/>
                <w:sz w:val="20"/>
              </w:rPr>
              <w:t>Package</w:t>
            </w:r>
          </w:p>
        </w:tc>
        <w:tc>
          <w:tcPr>
            <w:tcW w:type="dxa" w:w="3744"/>
            <w:shd w:fill="1B4F72"/>
          </w:tcPr>
          <w:p>
            <w:r/>
            <w:r>
              <w:rPr>
                <w:rFonts w:ascii="Arial" w:hAnsi="Arial"/>
                <w:b/>
                <w:color w:val="FFFFFF"/>
                <w:sz w:val="20"/>
              </w:rPr>
              <w:t>Service Definition</w:t>
            </w:r>
          </w:p>
        </w:tc>
      </w:tr>
      <w:tr>
        <w:tc>
          <w:tcPr>
            <w:tcW w:type="dxa" w:w="2304"/>
            <w:shd w:fill="F2F8FD"/>
          </w:tcPr>
          <w:p>
            <w:r/>
            <w:r>
              <w:rPr>
                <w:rFonts w:ascii="Arial" w:hAnsi="Arial"/>
                <w:sz w:val="20"/>
              </w:rPr>
              <w:t>auth.proto</w:t>
            </w:r>
          </w:p>
        </w:tc>
        <w:tc>
          <w:tcPr>
            <w:tcW w:type="dxa" w:w="3168"/>
            <w:shd w:fill="F2F8FD"/>
          </w:tcPr>
          <w:p>
            <w:r/>
            <w:r>
              <w:rPr>
                <w:rFonts w:ascii="Arial" w:hAnsi="Arial"/>
                <w:sz w:val="20"/>
              </w:rPr>
              <w:t>electrahub.auth.v1</w:t>
            </w:r>
          </w:p>
        </w:tc>
        <w:tc>
          <w:tcPr>
            <w:tcW w:type="dxa" w:w="3744"/>
            <w:shd w:fill="F2F8FD"/>
          </w:tcPr>
          <w:p>
            <w:r/>
            <w:r>
              <w:rPr>
                <w:rFonts w:ascii="Arial" w:hAnsi="Arial"/>
                <w:sz w:val="20"/>
              </w:rPr>
              <w:t>AuthService (login, register, refresh, countries)</w:t>
            </w:r>
          </w:p>
        </w:tc>
      </w:tr>
      <w:tr>
        <w:tc>
          <w:tcPr>
            <w:tcW w:type="dxa" w:w="2304"/>
          </w:tcPr>
          <w:p>
            <w:r/>
            <w:r>
              <w:rPr>
                <w:rFonts w:ascii="Arial" w:hAnsi="Arial"/>
                <w:sz w:val="20"/>
              </w:rPr>
              <w:t>user.proto</w:t>
            </w:r>
          </w:p>
        </w:tc>
        <w:tc>
          <w:tcPr>
            <w:tcW w:type="dxa" w:w="3168"/>
          </w:tcPr>
          <w:p>
            <w:r/>
            <w:r>
              <w:rPr>
                <w:rFonts w:ascii="Arial" w:hAnsi="Arial"/>
                <w:sz w:val="20"/>
              </w:rPr>
              <w:t>electrahub.user.v1</w:t>
            </w:r>
          </w:p>
        </w:tc>
        <w:tc>
          <w:tcPr>
            <w:tcW w:type="dxa" w:w="3744"/>
          </w:tcPr>
          <w:p>
            <w:r/>
            <w:r>
              <w:rPr>
                <w:rFonts w:ascii="Arial" w:hAnsi="Arial"/>
                <w:sz w:val="20"/>
              </w:rPr>
              <w:t>UserService (CRUD, admin), RbacService (policy)</w:t>
            </w:r>
          </w:p>
        </w:tc>
      </w:tr>
      <w:tr>
        <w:tc>
          <w:tcPr>
            <w:tcW w:type="dxa" w:w="2304"/>
            <w:shd w:fill="F2F8FD"/>
          </w:tcPr>
          <w:p>
            <w:r/>
            <w:r>
              <w:rPr>
                <w:rFonts w:ascii="Arial" w:hAnsi="Arial"/>
                <w:sz w:val="20"/>
              </w:rPr>
              <w:t>subscription.proto</w:t>
            </w:r>
          </w:p>
        </w:tc>
        <w:tc>
          <w:tcPr>
            <w:tcW w:type="dxa" w:w="3168"/>
            <w:shd w:fill="F2F8FD"/>
          </w:tcPr>
          <w:p>
            <w:r/>
            <w:r>
              <w:rPr>
                <w:rFonts w:ascii="Arial" w:hAnsi="Arial"/>
                <w:sz w:val="20"/>
              </w:rPr>
              <w:t>electrahub.subscription.v1</w:t>
            </w:r>
          </w:p>
        </w:tc>
        <w:tc>
          <w:tcPr>
            <w:tcW w:type="dxa" w:w="3744"/>
            <w:shd w:fill="F2F8FD"/>
          </w:tcPr>
          <w:p>
            <w:r/>
            <w:r>
              <w:rPr>
                <w:rFonts w:ascii="Arial" w:hAnsi="Arial"/>
                <w:sz w:val="20"/>
              </w:rPr>
              <w:t>SubscriptionService (audit, utilization)</w:t>
            </w:r>
          </w:p>
        </w:tc>
      </w:tr>
      <w:tr>
        <w:tc>
          <w:tcPr>
            <w:tcW w:type="dxa" w:w="2304"/>
          </w:tcPr>
          <w:p>
            <w:r/>
            <w:r>
              <w:rPr>
                <w:rFonts w:ascii="Arial" w:hAnsi="Arial"/>
                <w:sz w:val="20"/>
              </w:rPr>
              <w:t>payment.proto</w:t>
            </w:r>
          </w:p>
        </w:tc>
        <w:tc>
          <w:tcPr>
            <w:tcW w:type="dxa" w:w="3168"/>
          </w:tcPr>
          <w:p>
            <w:r/>
            <w:r>
              <w:rPr>
                <w:rFonts w:ascii="Arial" w:hAnsi="Arial"/>
                <w:sz w:val="20"/>
              </w:rPr>
              <w:t>electrahub.payment.v1</w:t>
            </w:r>
          </w:p>
        </w:tc>
        <w:tc>
          <w:tcPr>
            <w:tcW w:type="dxa" w:w="3744"/>
          </w:tcPr>
          <w:p>
            <w:r/>
            <w:r>
              <w:rPr>
                <w:rFonts w:ascii="Arial" w:hAnsi="Arial"/>
                <w:sz w:val="20"/>
              </w:rPr>
              <w:t>PaymentService (wallet, top-up, auto top-up)</w:t>
            </w:r>
          </w:p>
        </w:tc>
      </w:tr>
      <w:tr>
        <w:tc>
          <w:tcPr>
            <w:tcW w:type="dxa" w:w="2304"/>
            <w:shd w:fill="F2F8FD"/>
          </w:tcPr>
          <w:p>
            <w:r/>
            <w:r>
              <w:rPr>
                <w:rFonts w:ascii="Arial" w:hAnsi="Arial"/>
                <w:sz w:val="20"/>
              </w:rPr>
              <w:t>charger.proto</w:t>
            </w:r>
          </w:p>
        </w:tc>
        <w:tc>
          <w:tcPr>
            <w:tcW w:type="dxa" w:w="3168"/>
            <w:shd w:fill="F2F8FD"/>
          </w:tcPr>
          <w:p>
            <w:r/>
            <w:r>
              <w:rPr>
                <w:rFonts w:ascii="Arial" w:hAnsi="Arial"/>
                <w:sz w:val="20"/>
              </w:rPr>
              <w:t>electrahub.charger.v1</w:t>
            </w:r>
          </w:p>
        </w:tc>
        <w:tc>
          <w:tcPr>
            <w:tcW w:type="dxa" w:w="3744"/>
            <w:shd w:fill="F2F8FD"/>
          </w:tcPr>
          <w:p>
            <w:r/>
            <w:r>
              <w:rPr>
                <w:rFonts w:ascii="Arial" w:hAnsi="Arial"/>
                <w:sz w:val="20"/>
              </w:rPr>
              <w:t>ChargerService (CRUD, admin)</w:t>
            </w:r>
          </w:p>
        </w:tc>
      </w:tr>
      <w:tr>
        <w:tc>
          <w:tcPr>
            <w:tcW w:type="dxa" w:w="2304"/>
          </w:tcPr>
          <w:p>
            <w:r/>
            <w:r>
              <w:rPr>
                <w:rFonts w:ascii="Arial" w:hAnsi="Arial"/>
                <w:sz w:val="20"/>
              </w:rPr>
              <w:t>pricing.proto</w:t>
            </w:r>
          </w:p>
        </w:tc>
        <w:tc>
          <w:tcPr>
            <w:tcW w:type="dxa" w:w="3168"/>
          </w:tcPr>
          <w:p>
            <w:r/>
            <w:r>
              <w:rPr>
                <w:rFonts w:ascii="Arial" w:hAnsi="Arial"/>
                <w:sz w:val="20"/>
              </w:rPr>
              <w:t>electrahub.pricing.v1</w:t>
            </w:r>
          </w:p>
        </w:tc>
        <w:tc>
          <w:tcPr>
            <w:tcW w:type="dxa" w:w="3744"/>
          </w:tcPr>
          <w:p>
            <w:r/>
            <w:r>
              <w:rPr>
                <w:rFonts w:ascii="Arial" w:hAnsi="Arial"/>
                <w:sz w:val="20"/>
              </w:rPr>
              <w:t>PricingService (signals, tariffs, search, calculate)</w:t>
            </w:r>
          </w:p>
        </w:tc>
      </w:tr>
      <w:tr>
        <w:tc>
          <w:tcPr>
            <w:tcW w:type="dxa" w:w="2304"/>
            <w:shd w:fill="F2F8FD"/>
          </w:tcPr>
          <w:p>
            <w:r/>
            <w:r>
              <w:rPr>
                <w:rFonts w:ascii="Arial" w:hAnsi="Arial"/>
                <w:sz w:val="20"/>
              </w:rPr>
              <w:t>common.proto</w:t>
            </w:r>
          </w:p>
        </w:tc>
        <w:tc>
          <w:tcPr>
            <w:tcW w:type="dxa" w:w="3168"/>
            <w:shd w:fill="F2F8FD"/>
          </w:tcPr>
          <w:p>
            <w:r/>
            <w:r>
              <w:rPr>
                <w:rFonts w:ascii="Arial" w:hAnsi="Arial"/>
                <w:sz w:val="20"/>
              </w:rPr>
              <w:t>electrahub.common.v1</w:t>
            </w:r>
          </w:p>
        </w:tc>
        <w:tc>
          <w:tcPr>
            <w:tcW w:type="dxa" w:w="3744"/>
            <w:shd w:fill="F2F8FD"/>
          </w:tcPr>
          <w:p>
            <w:r/>
            <w:r>
              <w:rPr>
                <w:rFonts w:ascii="Arial" w:hAnsi="Arial"/>
                <w:sz w:val="20"/>
              </w:rPr>
              <w:t>Shared messages (Pagination, ErrorDetail, etc.)</w:t>
            </w:r>
          </w:p>
        </w:tc>
      </w:tr>
    </w:tbl>
    <w:p/>
    <w:p>
      <w:r>
        <w:br w:type="page"/>
      </w:r>
    </w:p>
    <w:p>
      <w:pPr>
        <w:pStyle w:val="Heading1"/>
      </w:pPr>
      <w:r>
        <w:t>4. Migration Phases</w:t>
      </w:r>
    </w:p>
    <w:p>
      <w:r>
        <w:rPr>
          <w:rFonts w:ascii="Arial" w:hAnsi="Arial"/>
          <w:sz w:val="22"/>
        </w:rPr>
        <w:t>The migration follows a phased approach to minimize risk and allow validation at each step. Each phase is independently deployable and rollback-safe.</w:t>
      </w:r>
    </w:p>
    <w:p>
      <w:pPr>
        <w:pStyle w:val="Heading2"/>
      </w:pPr>
      <w:r>
        <w:t>Phase 0: Foundation (Week 1–2)</w:t>
      </w:r>
    </w:p>
    <w:p>
      <w:r>
        <w:rPr>
          <w:rFonts w:ascii="Arial" w:hAnsi="Arial"/>
          <w:sz w:val="22"/>
        </w:rPr>
        <w:t>Set up the shared proto infrastructure and tooling before touching any service.</w:t>
      </w:r>
    </w:p>
    <w:p>
      <w:pPr>
        <w:pStyle w:val="Heading3"/>
      </w:pPr>
      <w:r>
        <w:t>4.1.1 Create electrahub-proto Maven Module</w:t>
      </w:r>
    </w:p>
    <w:p>
      <w:pPr>
        <w:pStyle w:val="ListBullet"/>
      </w:pPr>
      <w:r>
        <w:rPr>
          <w:rFonts w:ascii="Arial" w:hAnsi="Arial"/>
          <w:sz w:val="22"/>
        </w:rPr>
        <w:t xml:space="preserve">Create a new top-level Maven module </w:t>
      </w:r>
      <w:r>
        <w:rPr>
          <w:rFonts w:ascii="Arial" w:hAnsi="Arial"/>
          <w:b/>
          <w:sz w:val="22"/>
        </w:rPr>
        <w:t>electrahub-proto</w:t>
      </w:r>
      <w:r>
        <w:rPr>
          <w:rFonts w:ascii="Arial" w:hAnsi="Arial"/>
          <w:sz w:val="22"/>
        </w:rPr>
        <w:t xml:space="preserve"> alongside existing services.</w:t>
      </w:r>
    </w:p>
    <w:p>
      <w:pPr>
        <w:pStyle w:val="ListBullet"/>
      </w:pPr>
      <w:r>
        <w:rPr>
          <w:rFonts w:ascii="Arial" w:hAnsi="Arial"/>
          <w:sz w:val="22"/>
        </w:rPr>
        <w:t xml:space="preserve">Configure </w:t>
      </w:r>
      <w:r>
        <w:rPr>
          <w:rFonts w:ascii="Arial" w:hAnsi="Arial"/>
          <w:b/>
          <w:sz w:val="22"/>
        </w:rPr>
        <w:t>protobuf-maven-plugin</w:t>
      </w:r>
      <w:r>
        <w:rPr>
          <w:rFonts w:ascii="Arial" w:hAnsi="Arial"/>
          <w:sz w:val="22"/>
        </w:rPr>
        <w:t xml:space="preserve"> with </w:t>
      </w:r>
      <w:r>
        <w:rPr>
          <w:rFonts w:ascii="Arial" w:hAnsi="Arial"/>
          <w:b/>
          <w:sz w:val="22"/>
        </w:rPr>
        <w:t>os-maven-plugin</w:t>
      </w:r>
      <w:r>
        <w:rPr>
          <w:rFonts w:ascii="Arial" w:hAnsi="Arial"/>
          <w:sz w:val="22"/>
        </w:rPr>
        <w:t xml:space="preserve"> for cross-platform protoc resolution.</w:t>
      </w:r>
    </w:p>
    <w:p>
      <w:pPr>
        <w:pStyle w:val="ListBullet"/>
      </w:pPr>
      <w:r>
        <w:rPr>
          <w:rFonts w:ascii="Arial" w:hAnsi="Arial"/>
          <w:sz w:val="22"/>
        </w:rPr>
        <w:t xml:space="preserve">Configure </w:t>
      </w:r>
      <w:r>
        <w:rPr>
          <w:rFonts w:ascii="Arial" w:hAnsi="Arial"/>
          <w:b/>
          <w:sz w:val="22"/>
        </w:rPr>
        <w:t>grpc-java</w:t>
      </w:r>
      <w:r>
        <w:rPr>
          <w:rFonts w:ascii="Arial" w:hAnsi="Arial"/>
          <w:sz w:val="22"/>
        </w:rPr>
        <w:t xml:space="preserve"> code generation plugin to produce service stubs.</w:t>
      </w:r>
    </w:p>
    <w:p>
      <w:pPr>
        <w:pStyle w:val="ListBullet"/>
      </w:pPr>
      <w:r>
        <w:rPr>
          <w:rFonts w:ascii="Arial" w:hAnsi="Arial"/>
          <w:sz w:val="22"/>
        </w:rPr>
        <w:t>Add the module to the parent POM or CI pipeline so it builds first.</w:t>
      </w:r>
    </w:p>
    <w:p>
      <w:pPr>
        <w:pStyle w:val="Heading3"/>
      </w:pPr>
      <w:r>
        <w:t>4.1.2 Define Common Protos</w:t>
      </w:r>
    </w:p>
    <w:p>
      <w:pPr>
        <w:pStyle w:val="ListBullet"/>
      </w:pPr>
      <w:r>
        <w:rPr>
          <w:rFonts w:ascii="Arial" w:hAnsi="Arial"/>
          <w:sz w:val="22"/>
        </w:rPr>
        <w:t xml:space="preserve">Create </w:t>
      </w:r>
      <w:r>
        <w:rPr>
          <w:rFonts w:ascii="Arial" w:hAnsi="Arial"/>
          <w:b/>
          <w:sz w:val="22"/>
        </w:rPr>
        <w:t>common.proto</w:t>
      </w:r>
      <w:r>
        <w:rPr>
          <w:rFonts w:ascii="Arial" w:hAnsi="Arial"/>
          <w:sz w:val="22"/>
        </w:rPr>
        <w:t xml:space="preserve"> with shared message types: Pagination, SortOrder, ErrorDetail, Empty wrappers.</w:t>
      </w:r>
    </w:p>
    <w:p>
      <w:pPr>
        <w:pStyle w:val="ListBullet"/>
      </w:pPr>
      <w:r>
        <w:rPr>
          <w:rFonts w:ascii="Arial" w:hAnsi="Arial"/>
          <w:sz w:val="22"/>
        </w:rPr>
        <w:t>Establish proto style guide: package naming (electrahub.{domain}.v1), field naming (snake_case), versioning strategy.</w:t>
      </w:r>
    </w:p>
    <w:p>
      <w:pPr>
        <w:pStyle w:val="ListBullet"/>
      </w:pPr>
      <w:r>
        <w:rPr>
          <w:rFonts w:ascii="Arial" w:hAnsi="Arial"/>
          <w:sz w:val="22"/>
        </w:rPr>
        <w:t xml:space="preserve">Set up </w:t>
      </w:r>
      <w:r>
        <w:rPr>
          <w:rFonts w:ascii="Arial" w:hAnsi="Arial"/>
          <w:b/>
          <w:sz w:val="22"/>
        </w:rPr>
        <w:t>buf lint</w:t>
      </w:r>
      <w:r>
        <w:rPr>
          <w:rFonts w:ascii="Arial" w:hAnsi="Arial"/>
          <w:sz w:val="22"/>
        </w:rPr>
        <w:t xml:space="preserve"> or </w:t>
      </w:r>
      <w:r>
        <w:rPr>
          <w:rFonts w:ascii="Arial" w:hAnsi="Arial"/>
          <w:b/>
          <w:sz w:val="22"/>
        </w:rPr>
        <w:t>protolock</w:t>
      </w:r>
      <w:r>
        <w:rPr>
          <w:rFonts w:ascii="Arial" w:hAnsi="Arial"/>
          <w:sz w:val="22"/>
        </w:rPr>
        <w:t xml:space="preserve"> for schema validation and backward-compatibility checks in CI.</w:t>
      </w:r>
    </w:p>
    <w:p>
      <w:pPr>
        <w:pStyle w:val="Heading3"/>
      </w:pPr>
      <w:r>
        <w:t>4.1.3 Add gRPC Dependencies to API Gateway</w:t>
      </w:r>
    </w:p>
    <w:p>
      <w:pPr>
        <w:pStyle w:val="ListBullet"/>
      </w:pPr>
      <w:r>
        <w:rPr>
          <w:rFonts w:ascii="Arial" w:hAnsi="Arial"/>
          <w:sz w:val="22"/>
        </w:rPr>
        <w:t xml:space="preserve">Add </w:t>
      </w:r>
      <w:r>
        <w:rPr>
          <w:rFonts w:ascii="Arial" w:hAnsi="Arial"/>
          <w:b/>
          <w:sz w:val="22"/>
        </w:rPr>
        <w:t>grpc-client-spring-boot-starter</w:t>
      </w:r>
      <w:r>
        <w:rPr>
          <w:rFonts w:ascii="Arial" w:hAnsi="Arial"/>
          <w:sz w:val="22"/>
        </w:rPr>
        <w:t xml:space="preserve"> (net.devh) to the gateway’s pom.xml.</w:t>
      </w:r>
    </w:p>
    <w:p>
      <w:pPr>
        <w:pStyle w:val="ListBullet"/>
      </w:pPr>
      <w:r>
        <w:rPr>
          <w:rFonts w:ascii="Arial" w:hAnsi="Arial"/>
          <w:sz w:val="22"/>
        </w:rPr>
        <w:t xml:space="preserve">Add </w:t>
      </w:r>
      <w:r>
        <w:rPr>
          <w:rFonts w:ascii="Arial" w:hAnsi="Arial"/>
          <w:b/>
          <w:sz w:val="22"/>
        </w:rPr>
        <w:t>electrahub-proto</w:t>
      </w:r>
      <w:r>
        <w:rPr>
          <w:rFonts w:ascii="Arial" w:hAnsi="Arial"/>
          <w:sz w:val="22"/>
        </w:rPr>
        <w:t xml:space="preserve"> as a dependency.</w:t>
      </w:r>
    </w:p>
    <w:p>
      <w:pPr>
        <w:pStyle w:val="ListBullet"/>
      </w:pPr>
      <w:r>
        <w:rPr>
          <w:rFonts w:ascii="Arial" w:hAnsi="Arial"/>
          <w:sz w:val="22"/>
        </w:rPr>
        <w:t>Configure gRPC channel beans in application.yaml with K8s DNS targets.</w:t>
      </w:r>
    </w:p>
    <w:p>
      <w:pPr>
        <w:pStyle w:val="ListBullet"/>
      </w:pPr>
      <w:r>
        <w:rPr>
          <w:rFonts w:ascii="Arial" w:hAnsi="Arial"/>
          <w:sz w:val="22"/>
        </w:rPr>
        <w:t>Add gRPC health check and metrics interceptors (Micrometer integration).</w:t>
      </w:r>
    </w:p>
    <w:p>
      <w:r>
        <w:rPr>
          <w:rFonts w:ascii="Arial" w:hAnsi="Arial"/>
          <w:sz w:val="22"/>
        </w:rPr>
      </w:r>
      <w:r>
        <w:rPr>
          <w:rFonts w:ascii="Arial" w:hAnsi="Arial"/>
          <w:b/>
          <w:sz w:val="22"/>
        </w:rPr>
        <w:t>Deliverables</w:t>
      </w:r>
      <w:r>
        <w:rPr>
          <w:rFonts w:ascii="Arial" w:hAnsi="Arial"/>
          <w:sz w:val="22"/>
        </w:rPr>
        <w:t>: Buildable proto module, CI pipeline generating Java stubs, gateway compiles with gRPC client dependencies.</w:t>
      </w:r>
    </w:p>
    <w:p>
      <w:pPr>
        <w:pStyle w:val="Heading2"/>
      </w:pPr>
      <w:r>
        <w:t>Phase 1: Pilot — RBAC Policy over gRPC (Week 3–4)</w:t>
      </w:r>
    </w:p>
    <w:p>
      <w:r>
        <w:rPr>
          <w:rFonts w:ascii="Arial" w:hAnsi="Arial"/>
          <w:sz w:val="22"/>
        </w:rPr>
        <w:t>Migrate the simplest, most isolated internal call first: the RBAC policy fetch from gateway to user-service. This is a single typed endpoint with no external client exposure, making it the ideal pilot.</w:t>
      </w:r>
    </w:p>
    <w:p>
      <w:pPr>
        <w:pStyle w:val="Heading3"/>
      </w:pPr>
      <w:r>
        <w:t>4.2.1 Define rbac.proto</w:t>
      </w:r>
    </w:p>
    <w:p>
      <w:pPr>
        <w:pStyle w:val="ListBullet"/>
      </w:pPr>
      <w:r>
        <w:rPr>
          <w:rFonts w:ascii="Arial" w:hAnsi="Arial"/>
          <w:sz w:val="22"/>
        </w:rPr>
        <w:t xml:space="preserve">Define </w:t>
      </w:r>
      <w:r>
        <w:rPr>
          <w:rFonts w:ascii="Arial" w:hAnsi="Arial"/>
          <w:b/>
          <w:sz w:val="22"/>
        </w:rPr>
        <w:t>RbacService</w:t>
      </w:r>
      <w:r>
        <w:rPr>
          <w:rFonts w:ascii="Arial" w:hAnsi="Arial"/>
          <w:sz w:val="22"/>
        </w:rPr>
        <w:t xml:space="preserve"> with a unary RPC: </w:t>
      </w:r>
      <w:r>
        <w:rPr>
          <w:rFonts w:ascii="Arial" w:hAnsi="Arial"/>
          <w:b/>
          <w:sz w:val="22"/>
        </w:rPr>
        <w:t>GetPolicy(GetPolicyRequest) returns (RbacPolicyResponse)</w:t>
      </w:r>
      <w:r>
        <w:rPr>
          <w:rFonts w:ascii="Arial" w:hAnsi="Arial"/>
          <w:sz w:val="22"/>
        </w:rPr>
        <w:t>.</w:t>
      </w:r>
    </w:p>
    <w:p>
      <w:pPr>
        <w:pStyle w:val="ListBullet"/>
      </w:pPr>
      <w:r>
        <w:rPr>
          <w:rFonts w:ascii="Arial" w:hAnsi="Arial"/>
          <w:sz w:val="22"/>
        </w:rPr>
        <w:t xml:space="preserve">Model the response to match the existing </w:t>
      </w:r>
      <w:r>
        <w:rPr>
          <w:rFonts w:ascii="Arial" w:hAnsi="Arial"/>
          <w:b/>
          <w:sz w:val="22"/>
        </w:rPr>
        <w:t>RemoteRbacPolicyResponse</w:t>
      </w:r>
      <w:r>
        <w:rPr>
          <w:rFonts w:ascii="Arial" w:hAnsi="Arial"/>
          <w:sz w:val="22"/>
        </w:rPr>
        <w:t xml:space="preserve"> DTO structure.</w:t>
      </w:r>
    </w:p>
    <w:p>
      <w:pPr>
        <w:pStyle w:val="ListBullet"/>
      </w:pPr>
      <w:r>
        <w:rPr>
          <w:rFonts w:ascii="Arial" w:hAnsi="Arial"/>
          <w:sz w:val="22"/>
        </w:rPr>
        <w:t xml:space="preserve">Consider adding a </w:t>
      </w:r>
      <w:r>
        <w:rPr>
          <w:rFonts w:ascii="Arial" w:hAnsi="Arial"/>
          <w:b/>
          <w:sz w:val="22"/>
        </w:rPr>
        <w:t>server-streaming</w:t>
      </w:r>
      <w:r>
        <w:rPr>
          <w:rFonts w:ascii="Arial" w:hAnsi="Arial"/>
          <w:sz w:val="22"/>
        </w:rPr>
        <w:t xml:space="preserve"> variant </w:t>
      </w:r>
      <w:r>
        <w:rPr>
          <w:rFonts w:ascii="Arial" w:hAnsi="Arial"/>
          <w:b/>
          <w:sz w:val="22"/>
        </w:rPr>
        <w:t>StreamPolicy</w:t>
      </w:r>
      <w:r>
        <w:rPr>
          <w:rFonts w:ascii="Arial" w:hAnsi="Arial"/>
          <w:sz w:val="22"/>
        </w:rPr>
        <w:t xml:space="preserve"> for real-time push (replacing 30s polling).</w:t>
      </w:r>
    </w:p>
    <w:p>
      <w:pPr>
        <w:pStyle w:val="Heading3"/>
      </w:pPr>
      <w:r>
        <w:t>4.2.2 Implement gRPC Server in user-service</w:t>
      </w:r>
    </w:p>
    <w:p>
      <w:pPr>
        <w:pStyle w:val="ListBullet"/>
      </w:pPr>
      <w:r>
        <w:rPr>
          <w:rFonts w:ascii="Arial" w:hAnsi="Arial"/>
          <w:sz w:val="22"/>
        </w:rPr>
        <w:t xml:space="preserve">Add </w:t>
      </w:r>
      <w:r>
        <w:rPr>
          <w:rFonts w:ascii="Arial" w:hAnsi="Arial"/>
          <w:b/>
          <w:sz w:val="22"/>
        </w:rPr>
        <w:t>grpc-server-spring-boot-starter</w:t>
      </w:r>
      <w:r>
        <w:rPr>
          <w:rFonts w:ascii="Arial" w:hAnsi="Arial"/>
          <w:sz w:val="22"/>
        </w:rPr>
        <w:t xml:space="preserve"> dependency to user-service’s pom.xml.</w:t>
      </w:r>
    </w:p>
    <w:p>
      <w:pPr>
        <w:pStyle w:val="ListBullet"/>
      </w:pPr>
      <w:r>
        <w:rPr>
          <w:rFonts w:ascii="Arial" w:hAnsi="Arial"/>
          <w:sz w:val="22"/>
        </w:rPr>
        <w:t xml:space="preserve">Create </w:t>
      </w:r>
      <w:r>
        <w:rPr>
          <w:rFonts w:ascii="Arial" w:hAnsi="Arial"/>
          <w:b/>
          <w:sz w:val="22"/>
        </w:rPr>
        <w:t>RbacGrpcService</w:t>
      </w:r>
      <w:r>
        <w:rPr>
          <w:rFonts w:ascii="Arial" w:hAnsi="Arial"/>
          <w:sz w:val="22"/>
        </w:rPr>
        <w:t xml:space="preserve"> class annotated with </w:t>
      </w:r>
      <w:r>
        <w:rPr>
          <w:rFonts w:ascii="Arial" w:hAnsi="Arial"/>
          <w:b/>
          <w:sz w:val="22"/>
        </w:rPr>
        <w:t>@GrpcService</w:t>
      </w:r>
      <w:r>
        <w:rPr>
          <w:rFonts w:ascii="Arial" w:hAnsi="Arial"/>
          <w:sz w:val="22"/>
        </w:rPr>
        <w:t xml:space="preserve">, implementing the generated </w:t>
      </w:r>
      <w:r>
        <w:rPr>
          <w:rFonts w:ascii="Arial" w:hAnsi="Arial"/>
          <w:b/>
          <w:sz w:val="22"/>
        </w:rPr>
        <w:t>RbacServiceGrpc.RbacServiceImplBase</w:t>
      </w:r>
      <w:r>
        <w:rPr>
          <w:rFonts w:ascii="Arial" w:hAnsi="Arial"/>
          <w:sz w:val="22"/>
        </w:rPr>
        <w:t>.</w:t>
      </w:r>
    </w:p>
    <w:p>
      <w:pPr>
        <w:pStyle w:val="ListBullet"/>
      </w:pPr>
      <w:r>
        <w:rPr>
          <w:rFonts w:ascii="Arial" w:hAnsi="Arial"/>
          <w:sz w:val="22"/>
        </w:rPr>
        <w:t>Wire existing RBAC repository/service logic into the gRPC handler.</w:t>
      </w:r>
    </w:p>
    <w:p>
      <w:pPr>
        <w:pStyle w:val="ListBullet"/>
      </w:pPr>
      <w:r>
        <w:rPr>
          <w:rFonts w:ascii="Arial" w:hAnsi="Arial"/>
          <w:sz w:val="22"/>
        </w:rPr>
        <w:t>Configure gRPC server port (e.g., 9082) in application.yaml alongside existing REST port 8082.</w:t>
      </w:r>
    </w:p>
    <w:p>
      <w:pPr>
        <w:pStyle w:val="ListBullet"/>
      </w:pPr>
      <w:r>
        <w:rPr>
          <w:rFonts w:ascii="Arial" w:hAnsi="Arial"/>
          <w:sz w:val="22"/>
        </w:rPr>
        <w:t>Add gRPC health service (</w:t>
      </w:r>
      <w:r>
        <w:rPr>
          <w:rFonts w:ascii="Arial" w:hAnsi="Arial"/>
          <w:b/>
          <w:sz w:val="22"/>
        </w:rPr>
        <w:t>grpc-health-probe</w:t>
      </w:r>
      <w:r>
        <w:rPr>
          <w:rFonts w:ascii="Arial" w:hAnsi="Arial"/>
          <w:sz w:val="22"/>
        </w:rPr>
        <w:t>) for K8s readiness checks.</w:t>
      </w:r>
    </w:p>
    <w:p>
      <w:pPr>
        <w:pStyle w:val="Heading3"/>
      </w:pPr>
      <w:r>
        <w:t>4.2.3 Update Gateway RBAC Client</w:t>
      </w:r>
    </w:p>
    <w:p>
      <w:pPr>
        <w:pStyle w:val="ListBullet"/>
      </w:pPr>
      <w:r>
        <w:rPr>
          <w:rFonts w:ascii="Arial" w:hAnsi="Arial"/>
          <w:sz w:val="22"/>
        </w:rPr>
        <w:t xml:space="preserve">Create a new </w:t>
      </w:r>
      <w:r>
        <w:rPr>
          <w:rFonts w:ascii="Arial" w:hAnsi="Arial"/>
          <w:b/>
          <w:sz w:val="22"/>
        </w:rPr>
        <w:t>GrpcRbacPolicySnapshotProvider</w:t>
      </w:r>
      <w:r>
        <w:rPr>
          <w:rFonts w:ascii="Arial" w:hAnsi="Arial"/>
          <w:sz w:val="22"/>
        </w:rPr>
        <w:t xml:space="preserve"> implementing the existing </w:t>
      </w:r>
      <w:r>
        <w:rPr>
          <w:rFonts w:ascii="Arial" w:hAnsi="Arial"/>
          <w:b/>
          <w:sz w:val="22"/>
        </w:rPr>
        <w:t>RbacPolicySnapshotProvider</w:t>
      </w:r>
      <w:r>
        <w:rPr>
          <w:rFonts w:ascii="Arial" w:hAnsi="Arial"/>
          <w:sz w:val="22"/>
        </w:rPr>
        <w:t xml:space="preserve"> interface.</w:t>
      </w:r>
    </w:p>
    <w:p>
      <w:pPr>
        <w:pStyle w:val="ListBullet"/>
      </w:pPr>
      <w:r>
        <w:rPr>
          <w:rFonts w:ascii="Arial" w:hAnsi="Arial"/>
          <w:sz w:val="22"/>
        </w:rPr>
        <w:t xml:space="preserve">Inject the auto-configured </w:t>
      </w:r>
      <w:r>
        <w:rPr>
          <w:rFonts w:ascii="Arial" w:hAnsi="Arial"/>
          <w:b/>
          <w:sz w:val="22"/>
        </w:rPr>
        <w:t>RbacServiceBlockingStub</w:t>
      </w:r>
      <w:r>
        <w:rPr>
          <w:rFonts w:ascii="Arial" w:hAnsi="Arial"/>
          <w:sz w:val="22"/>
        </w:rPr>
        <w:t xml:space="preserve"> (or async stub for streaming).</w:t>
      </w:r>
    </w:p>
    <w:p>
      <w:pPr>
        <w:pStyle w:val="ListBullet"/>
      </w:pPr>
      <w:r>
        <w:rPr>
          <w:rFonts w:ascii="Arial" w:hAnsi="Arial"/>
          <w:sz w:val="22"/>
        </w:rPr>
        <w:t xml:space="preserve">Use a feature flag (e.g., </w:t>
      </w:r>
      <w:r>
        <w:rPr>
          <w:rFonts w:ascii="Arial" w:hAnsi="Arial"/>
          <w:b/>
          <w:sz w:val="22"/>
        </w:rPr>
        <w:t>app.rbac.transport=grpc|rest</w:t>
      </w:r>
      <w:r>
        <w:rPr>
          <w:rFonts w:ascii="Arial" w:hAnsi="Arial"/>
          <w:sz w:val="22"/>
        </w:rPr>
        <w:t>) to toggle between implementations.</w:t>
      </w:r>
    </w:p>
    <w:p>
      <w:pPr>
        <w:pStyle w:val="ListBullet"/>
      </w:pPr>
      <w:r>
        <w:rPr>
          <w:rFonts w:ascii="Arial" w:hAnsi="Arial"/>
          <w:sz w:val="22"/>
        </w:rPr>
        <w:t>If using streaming: replace 30s scheduled polling with a long-lived server-stream subscription with automatic reconnection.</w:t>
      </w:r>
    </w:p>
    <w:p>
      <w:pPr>
        <w:pStyle w:val="Heading3"/>
      </w:pPr>
      <w:r>
        <w:t>4.2.4 Validate and Observe</w:t>
      </w:r>
    </w:p>
    <w:p>
      <w:pPr>
        <w:pStyle w:val="ListBullet"/>
      </w:pPr>
      <w:r>
        <w:rPr>
          <w:rFonts w:ascii="Arial" w:hAnsi="Arial"/>
          <w:sz w:val="22"/>
        </w:rPr>
        <w:t xml:space="preserve">Deploy to dev/staging with the feature flag set to </w:t>
      </w:r>
      <w:r>
        <w:rPr>
          <w:rFonts w:ascii="Arial" w:hAnsi="Arial"/>
          <w:b/>
          <w:sz w:val="22"/>
        </w:rPr>
        <w:t>grpc</w:t>
      </w:r>
      <w:r>
        <w:rPr>
          <w:rFonts w:ascii="Arial" w:hAnsi="Arial"/>
          <w:sz w:val="22"/>
        </w:rPr>
        <w:t>.</w:t>
      </w:r>
    </w:p>
    <w:p>
      <w:pPr>
        <w:pStyle w:val="ListBullet"/>
      </w:pPr>
      <w:r>
        <w:rPr>
          <w:rFonts w:ascii="Arial" w:hAnsi="Arial"/>
          <w:sz w:val="22"/>
        </w:rPr>
        <w:t>Compare RBAC policy fetch latency, payload size, and error rates against REST baseline.</w:t>
      </w:r>
    </w:p>
    <w:p>
      <w:pPr>
        <w:pStyle w:val="ListBullet"/>
      </w:pPr>
      <w:r>
        <w:rPr>
          <w:rFonts w:ascii="Arial" w:hAnsi="Arial"/>
          <w:sz w:val="22"/>
        </w:rPr>
        <w:t xml:space="preserve">Validate fallback: flip feature flag to </w:t>
      </w:r>
      <w:r>
        <w:rPr>
          <w:rFonts w:ascii="Arial" w:hAnsi="Arial"/>
          <w:b/>
          <w:sz w:val="22"/>
        </w:rPr>
        <w:t>rest</w:t>
      </w:r>
      <w:r>
        <w:rPr>
          <w:rFonts w:ascii="Arial" w:hAnsi="Arial"/>
          <w:sz w:val="22"/>
        </w:rPr>
        <w:t xml:space="preserve"> and confirm seamless rollback.</w:t>
      </w:r>
    </w:p>
    <w:p>
      <w:r>
        <w:rPr>
          <w:rFonts w:ascii="Arial" w:hAnsi="Arial"/>
          <w:sz w:val="22"/>
        </w:rPr>
      </w:r>
      <w:r>
        <w:rPr>
          <w:rFonts w:ascii="Arial" w:hAnsi="Arial"/>
          <w:b/>
          <w:sz w:val="22"/>
        </w:rPr>
        <w:t>Deliverables</w:t>
      </w:r>
      <w:r>
        <w:rPr>
          <w:rFonts w:ascii="Arial" w:hAnsi="Arial"/>
          <w:sz w:val="22"/>
        </w:rPr>
        <w:t>: RBAC policy fetched over gRPC, streaming option evaluated, feature-flag-controlled rollback, latency/size benchmarks.</w:t>
      </w:r>
    </w:p>
    <w:p>
      <w:r>
        <w:br w:type="page"/>
      </w:r>
    </w:p>
    <w:p>
      <w:pPr>
        <w:pStyle w:val="Heading2"/>
      </w:pPr>
      <w:r>
        <w:t>Phase 2: First Proxied Service — auth-service (Week 5–7)</w:t>
      </w:r>
    </w:p>
    <w:p>
      <w:r>
        <w:rPr>
          <w:rFonts w:ascii="Arial" w:hAnsi="Arial"/>
          <w:sz w:val="22"/>
        </w:rPr>
        <w:t>Migrate the first externally-proxied service to validate the full request/response forwarding pattern over gRPC. The auth-service is chosen because it has a small, well-defined API surface (login, register, refresh, countries) and is critical enough to prove the pattern under real load.</w:t>
      </w:r>
    </w:p>
    <w:p>
      <w:pPr>
        <w:pStyle w:val="Heading3"/>
      </w:pPr>
      <w:r>
        <w:t>4.3.1 Define auth.proto</w:t>
      </w:r>
    </w:p>
    <w:p>
      <w:pPr>
        <w:pStyle w:val="ListBullet"/>
      </w:pPr>
      <w:r>
        <w:rPr>
          <w:rFonts w:ascii="Arial" w:hAnsi="Arial"/>
          <w:sz w:val="22"/>
        </w:rPr>
        <w:t xml:space="preserve">Define </w:t>
      </w:r>
      <w:r>
        <w:rPr>
          <w:rFonts w:ascii="Arial" w:hAnsi="Arial"/>
          <w:b/>
          <w:sz w:val="22"/>
        </w:rPr>
        <w:t>AuthService</w:t>
      </w:r>
      <w:r>
        <w:rPr>
          <w:rFonts w:ascii="Arial" w:hAnsi="Arial"/>
          <w:sz w:val="22"/>
        </w:rPr>
        <w:t xml:space="preserve"> with RPCs: </w:t>
      </w:r>
      <w:r>
        <w:rPr>
          <w:rFonts w:ascii="Arial" w:hAnsi="Arial"/>
          <w:b/>
          <w:sz w:val="22"/>
        </w:rPr>
        <w:t>Login</w:t>
      </w:r>
      <w:r>
        <w:rPr>
          <w:rFonts w:ascii="Arial" w:hAnsi="Arial"/>
          <w:sz w:val="22"/>
        </w:rPr>
        <w:t xml:space="preserve">, </w:t>
      </w:r>
      <w:r>
        <w:rPr>
          <w:rFonts w:ascii="Arial" w:hAnsi="Arial"/>
          <w:b/>
          <w:sz w:val="22"/>
        </w:rPr>
        <w:t>Register</w:t>
      </w:r>
      <w:r>
        <w:rPr>
          <w:rFonts w:ascii="Arial" w:hAnsi="Arial"/>
          <w:sz w:val="22"/>
        </w:rPr>
        <w:t xml:space="preserve">, </w:t>
      </w:r>
      <w:r>
        <w:rPr>
          <w:rFonts w:ascii="Arial" w:hAnsi="Arial"/>
          <w:b/>
          <w:sz w:val="22"/>
        </w:rPr>
        <w:t>RefreshToken</w:t>
      </w:r>
      <w:r>
        <w:rPr>
          <w:rFonts w:ascii="Arial" w:hAnsi="Arial"/>
          <w:sz w:val="22"/>
        </w:rPr>
        <w:t xml:space="preserve">, </w:t>
      </w:r>
      <w:r>
        <w:rPr>
          <w:rFonts w:ascii="Arial" w:hAnsi="Arial"/>
          <w:b/>
          <w:sz w:val="22"/>
        </w:rPr>
        <w:t>ListCountries</w:t>
      </w:r>
      <w:r>
        <w:rPr>
          <w:rFonts w:ascii="Arial" w:hAnsi="Arial"/>
          <w:sz w:val="22"/>
        </w:rPr>
        <w:t>.</w:t>
      </w:r>
    </w:p>
    <w:p>
      <w:pPr>
        <w:pStyle w:val="ListBullet"/>
      </w:pPr>
      <w:r>
        <w:rPr>
          <w:rFonts w:ascii="Arial" w:hAnsi="Arial"/>
          <w:sz w:val="22"/>
        </w:rPr>
        <w:t>Model request/response messages to match existing REST DTOs (AuthRequest, AuthResponse, CountryDto, etc.).</w:t>
      </w:r>
    </w:p>
    <w:p>
      <w:pPr>
        <w:pStyle w:val="ListBullet"/>
      </w:pPr>
      <w:r>
        <w:rPr>
          <w:rFonts w:ascii="Arial" w:hAnsi="Arial"/>
          <w:sz w:val="22"/>
        </w:rPr>
        <w:t>Include standard metadata fields for request-id, trace-id propagation.</w:t>
      </w:r>
    </w:p>
    <w:p>
      <w:pPr>
        <w:pStyle w:val="Heading3"/>
      </w:pPr>
      <w:r>
        <w:t>4.3.2 Implement gRPC Server in auth-service</w:t>
      </w:r>
    </w:p>
    <w:p>
      <w:pPr>
        <w:pStyle w:val="ListBullet"/>
      </w:pPr>
      <w:r>
        <w:rPr>
          <w:rFonts w:ascii="Arial" w:hAnsi="Arial"/>
          <w:sz w:val="22"/>
        </w:rPr>
        <w:t xml:space="preserve">Add </w:t>
      </w:r>
      <w:r>
        <w:rPr>
          <w:rFonts w:ascii="Arial" w:hAnsi="Arial"/>
          <w:b/>
          <w:sz w:val="22"/>
        </w:rPr>
        <w:t>grpc-server-spring-boot-starter</w:t>
      </w:r>
      <w:r>
        <w:rPr>
          <w:rFonts w:ascii="Arial" w:hAnsi="Arial"/>
          <w:sz w:val="22"/>
        </w:rPr>
        <w:t xml:space="preserve"> dependency.</w:t>
      </w:r>
    </w:p>
    <w:p>
      <w:pPr>
        <w:pStyle w:val="ListBullet"/>
      </w:pPr>
      <w:r>
        <w:rPr>
          <w:rFonts w:ascii="Arial" w:hAnsi="Arial"/>
          <w:sz w:val="22"/>
        </w:rPr>
        <w:t xml:space="preserve">Create </w:t>
      </w:r>
      <w:r>
        <w:rPr>
          <w:rFonts w:ascii="Arial" w:hAnsi="Arial"/>
          <w:b/>
          <w:sz w:val="22"/>
        </w:rPr>
        <w:t>AuthGrpcService</w:t>
      </w:r>
      <w:r>
        <w:rPr>
          <w:rFonts w:ascii="Arial" w:hAnsi="Arial"/>
          <w:sz w:val="22"/>
        </w:rPr>
        <w:t xml:space="preserve"> implementing </w:t>
      </w:r>
      <w:r>
        <w:rPr>
          <w:rFonts w:ascii="Arial" w:hAnsi="Arial"/>
          <w:b/>
          <w:sz w:val="22"/>
        </w:rPr>
        <w:t>AuthServiceGrpc.AuthServiceImplBase</w:t>
      </w:r>
      <w:r>
        <w:rPr>
          <w:rFonts w:ascii="Arial" w:hAnsi="Arial"/>
          <w:sz w:val="22"/>
        </w:rPr>
        <w:t>.</w:t>
      </w:r>
    </w:p>
    <w:p>
      <w:pPr>
        <w:pStyle w:val="ListBullet"/>
      </w:pPr>
      <w:r>
        <w:rPr>
          <w:rFonts w:ascii="Arial" w:hAnsi="Arial"/>
          <w:sz w:val="22"/>
        </w:rPr>
        <w:t>Delegate to existing Spring service layer (no business logic duplication).</w:t>
      </w:r>
    </w:p>
    <w:p>
      <w:pPr>
        <w:pStyle w:val="ListBullet"/>
      </w:pPr>
      <w:r>
        <w:rPr>
          <w:rFonts w:ascii="Arial" w:hAnsi="Arial"/>
          <w:sz w:val="22"/>
        </w:rPr>
        <w:t>Map Spring Security exceptions to appropriate gRPC Status codes (UNAUTHENTICATED, PERMISSION_DENIED, etc.).</w:t>
      </w:r>
    </w:p>
    <w:p>
      <w:pPr>
        <w:pStyle w:val="Heading3"/>
      </w:pPr>
      <w:r>
        <w:t>4.3.3 Replace Gateway Proxy for /auth Routes</w:t>
      </w:r>
    </w:p>
    <w:p>
      <w:pPr>
        <w:pStyle w:val="ListBullet"/>
      </w:pPr>
      <w:r>
        <w:rPr>
          <w:rFonts w:ascii="Arial" w:hAnsi="Arial"/>
          <w:sz w:val="22"/>
        </w:rPr>
        <w:t xml:space="preserve">Create a dedicated </w:t>
      </w:r>
      <w:r>
        <w:rPr>
          <w:rFonts w:ascii="Arial" w:hAnsi="Arial"/>
          <w:b/>
          <w:sz w:val="22"/>
        </w:rPr>
        <w:t>AuthGrpcForwarder</w:t>
      </w:r>
      <w:r>
        <w:rPr>
          <w:rFonts w:ascii="Arial" w:hAnsi="Arial"/>
          <w:sz w:val="22"/>
        </w:rPr>
        <w:t xml:space="preserve"> component in the gateway.</w:t>
      </w:r>
    </w:p>
    <w:p>
      <w:pPr>
        <w:pStyle w:val="ListBullet"/>
      </w:pPr>
      <w:r>
        <w:rPr>
          <w:rFonts w:ascii="Arial" w:hAnsi="Arial"/>
          <w:sz w:val="22"/>
        </w:rPr>
        <w:t>Intercept /auth/</w:t>
      </w:r>
      <w:r>
        <w:rPr>
          <w:rFonts w:ascii="Arial" w:hAnsi="Arial"/>
          <w:b/>
          <w:sz w:val="22"/>
        </w:rPr>
        <w:t xml:space="preserve"> requests in the gateway before they reach the generic GatewayProxyController.</w:t>
      </w:r>
    </w:p>
    <w:p>
      <w:pPr>
        <w:pStyle w:val="ListBullet"/>
      </w:pPr>
      <w:r>
        <w:rPr>
          <w:rFonts w:ascii="Arial" w:hAnsi="Arial"/>
          <w:sz w:val="22"/>
        </w:rPr>
        <w:t>Convert the incoming HttpServletRequest to the appropriate protobuf request message.</w:t>
      </w:r>
    </w:p>
    <w:p>
      <w:pPr>
        <w:pStyle w:val="ListBullet"/>
      </w:pPr>
      <w:r>
        <w:rPr>
          <w:rFonts w:ascii="Arial" w:hAnsi="Arial"/>
          <w:sz w:val="22"/>
        </w:rPr>
        <w:t>Call the gRPC stub and convert the protobuf response back to JSON (for the external REST client).</w:t>
      </w:r>
    </w:p>
    <w:p>
      <w:pPr>
        <w:pStyle w:val="ListBullet"/>
      </w:pPr>
      <w:r>
        <w:rPr>
          <w:rFonts w:ascii="Arial" w:hAnsi="Arial"/>
          <w:sz w:val="22"/>
        </w:rPr>
        <w:t>Preserve all existing HTTP status codes, headers, and error response formats.</w:t>
      </w:r>
    </w:p>
    <w:p>
      <w:pPr>
        <w:pStyle w:val="ListBullet"/>
      </w:pPr>
      <w:r>
        <w:rPr>
          <w:rFonts w:ascii="Arial" w:hAnsi="Arial"/>
          <w:sz w:val="22"/>
        </w:rPr>
        <w:t>Use a feature flag to route /auth traffic to either the gRPC forwarder or the legacy REST proxy.</w:t>
      </w:r>
    </w:p>
    <w:p>
      <w:pPr>
        <w:pStyle w:val="Heading3"/>
      </w:pPr>
      <w:r>
        <w:t>4.3.4 Gateway Request Translation Layer</w:t>
      </w:r>
    </w:p>
    <w:p>
      <w:r>
        <w:rPr>
          <w:rFonts w:ascii="Arial" w:hAnsi="Arial"/>
          <w:sz w:val="22"/>
        </w:rPr>
        <w:t xml:space="preserve">A key architectural component is the </w:t>
      </w:r>
      <w:r>
        <w:rPr>
          <w:rFonts w:ascii="Arial" w:hAnsi="Arial"/>
          <w:b/>
          <w:sz w:val="22"/>
        </w:rPr>
        <w:t>GrpcRequestTranslator</w:t>
      </w:r>
      <w:r>
        <w:rPr>
          <w:rFonts w:ascii="Arial" w:hAnsi="Arial"/>
          <w:sz w:val="22"/>
        </w:rPr>
        <w:t xml:space="preserve"> pattern. Since external clients send JSON over REST and backend services will speak protobuf over gRPC, the gateway needs a translation layer:</w:t>
      </w:r>
    </w:p>
    <w:p>
      <w:pPr>
        <w:pStyle w:val="ListBullet"/>
      </w:pPr>
      <w:r>
        <w:rPr>
          <w:rFonts w:ascii="Arial" w:hAnsi="Arial"/>
          <w:sz w:val="22"/>
        </w:rPr>
      </w:r>
      <w:r>
        <w:rPr>
          <w:rFonts w:ascii="Arial" w:hAnsi="Arial"/>
          <w:b/>
          <w:sz w:val="22"/>
        </w:rPr>
        <w:t>Inbound</w:t>
      </w:r>
      <w:r>
        <w:rPr>
          <w:rFonts w:ascii="Arial" w:hAnsi="Arial"/>
          <w:sz w:val="22"/>
        </w:rPr>
        <w:t>: Parse JSON request body → build protobuf request message</w:t>
      </w:r>
    </w:p>
    <w:p>
      <w:pPr>
        <w:pStyle w:val="ListBullet"/>
      </w:pPr>
      <w:r>
        <w:rPr>
          <w:rFonts w:ascii="Arial" w:hAnsi="Arial"/>
          <w:sz w:val="22"/>
        </w:rPr>
      </w:r>
      <w:r>
        <w:rPr>
          <w:rFonts w:ascii="Arial" w:hAnsi="Arial"/>
          <w:b/>
          <w:sz w:val="22"/>
        </w:rPr>
        <w:t>Outbound</w:t>
      </w:r>
      <w:r>
        <w:rPr>
          <w:rFonts w:ascii="Arial" w:hAnsi="Arial"/>
          <w:sz w:val="22"/>
        </w:rPr>
        <w:t>: Serialize protobuf response → JSON response body</w:t>
      </w:r>
    </w:p>
    <w:p>
      <w:pPr>
        <w:pStyle w:val="ListBullet"/>
      </w:pPr>
      <w:r>
        <w:rPr>
          <w:rFonts w:ascii="Arial" w:hAnsi="Arial"/>
          <w:sz w:val="22"/>
        </w:rPr>
      </w:r>
      <w:r>
        <w:rPr>
          <w:rFonts w:ascii="Arial" w:hAnsi="Arial"/>
          <w:b/>
          <w:sz w:val="22"/>
        </w:rPr>
        <w:t>Error mapping</w:t>
      </w:r>
      <w:r>
        <w:rPr>
          <w:rFonts w:ascii="Arial" w:hAnsi="Arial"/>
          <w:sz w:val="22"/>
        </w:rPr>
        <w:t>: gRPC Status → HTTP status code (e.g., NOT_FOUND → 404, INVALID_ARGUMENT → 400)</w:t>
      </w:r>
    </w:p>
    <w:p>
      <w:pPr>
        <w:pStyle w:val="ListBullet"/>
      </w:pPr>
      <w:r>
        <w:rPr>
          <w:rFonts w:ascii="Arial" w:hAnsi="Arial"/>
          <w:sz w:val="22"/>
        </w:rPr>
      </w:r>
      <w:r>
        <w:rPr>
          <w:rFonts w:ascii="Arial" w:hAnsi="Arial"/>
          <w:b/>
          <w:sz w:val="22"/>
        </w:rPr>
        <w:t>Header propagation</w:t>
      </w:r>
      <w:r>
        <w:rPr>
          <w:rFonts w:ascii="Arial" w:hAnsi="Arial"/>
          <w:sz w:val="22"/>
        </w:rPr>
        <w:t>: Copy relevant HTTP headers into gRPC metadata (Authorization, X-Request-Id, etc.)</w:t>
      </w:r>
    </w:p>
    <w:p>
      <w:r>
        <w:rPr>
          <w:rFonts w:ascii="Arial" w:hAnsi="Arial"/>
          <w:sz w:val="22"/>
        </w:rPr>
      </w:r>
      <w:r>
        <w:rPr>
          <w:rFonts w:ascii="Arial" w:hAnsi="Arial"/>
          <w:b/>
          <w:sz w:val="22"/>
        </w:rPr>
        <w:t>Deliverables</w:t>
      </w:r>
      <w:r>
        <w:rPr>
          <w:rFonts w:ascii="Arial" w:hAnsi="Arial"/>
          <w:sz w:val="22"/>
        </w:rPr>
        <w:t>: Auth-service fully reachable over gRPC from gateway, JSON translation layer proven, error mapping validated, feature-flag rollback tested.</w:t>
      </w:r>
    </w:p>
    <w:p>
      <w:pPr>
        <w:pStyle w:val="Heading2"/>
      </w:pPr>
      <w:r>
        <w:t>Phase 3: Remaining Services (Week 8–14)</w:t>
      </w:r>
    </w:p>
    <w:p>
      <w:r>
        <w:rPr>
          <w:rFonts w:ascii="Arial" w:hAnsi="Arial"/>
          <w:sz w:val="22"/>
        </w:rPr>
        <w:t>With the translation pattern validated on auth-service, roll out gRPC servers to the remaining services in priority order. Each service follows the same pattern established in Phase 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B4F72"/>
          </w:tcPr>
          <w:p>
            <w:r/>
            <w:r>
              <w:rPr>
                <w:rFonts w:ascii="Arial" w:hAnsi="Arial"/>
                <w:b/>
                <w:color w:val="FFFFFF"/>
                <w:sz w:val="20"/>
              </w:rPr>
              <w:t>Priority</w:t>
            </w:r>
          </w:p>
        </w:tc>
        <w:tc>
          <w:tcPr>
            <w:tcW w:type="dxa" w:w="2592"/>
            <w:shd w:fill="1B4F72"/>
          </w:tcPr>
          <w:p>
            <w:r/>
            <w:r>
              <w:rPr>
                <w:rFonts w:ascii="Arial" w:hAnsi="Arial"/>
                <w:b/>
                <w:color w:val="FFFFFF"/>
                <w:sz w:val="20"/>
              </w:rPr>
              <w:t>Service</w:t>
            </w:r>
          </w:p>
        </w:tc>
        <w:tc>
          <w:tcPr>
            <w:tcW w:type="dxa" w:w="1152"/>
            <w:shd w:fill="1B4F72"/>
          </w:tcPr>
          <w:p>
            <w:r/>
            <w:r>
              <w:rPr>
                <w:rFonts w:ascii="Arial" w:hAnsi="Arial"/>
                <w:b/>
                <w:color w:val="FFFFFF"/>
                <w:sz w:val="20"/>
              </w:rPr>
              <w:t>Week</w:t>
            </w:r>
          </w:p>
        </w:tc>
        <w:tc>
          <w:tcPr>
            <w:tcW w:type="dxa" w:w="4464"/>
            <w:shd w:fill="1B4F72"/>
          </w:tcPr>
          <w:p>
            <w:r/>
            <w:r>
              <w:rPr>
                <w:rFonts w:ascii="Arial" w:hAnsi="Arial"/>
                <w:b/>
                <w:color w:val="FFFFFF"/>
                <w:sz w:val="20"/>
              </w:rPr>
              <w:t>Rationale</w:t>
            </w:r>
          </w:p>
        </w:tc>
      </w:tr>
      <w:tr>
        <w:tc>
          <w:tcPr>
            <w:tcW w:type="dxa" w:w="1008"/>
            <w:shd w:fill="F2F8FD"/>
          </w:tcPr>
          <w:p>
            <w:r/>
            <w:r>
              <w:rPr>
                <w:rFonts w:ascii="Arial" w:hAnsi="Arial"/>
                <w:sz w:val="20"/>
              </w:rPr>
              <w:t>1</w:t>
            </w:r>
          </w:p>
        </w:tc>
        <w:tc>
          <w:tcPr>
            <w:tcW w:type="dxa" w:w="2592"/>
            <w:shd w:fill="F2F8FD"/>
          </w:tcPr>
          <w:p>
            <w:r/>
            <w:r>
              <w:rPr>
                <w:rFonts w:ascii="Arial" w:hAnsi="Arial"/>
                <w:sz w:val="20"/>
              </w:rPr>
              <w:t>user-service</w:t>
            </w:r>
          </w:p>
        </w:tc>
        <w:tc>
          <w:tcPr>
            <w:tcW w:type="dxa" w:w="1152"/>
            <w:shd w:fill="F2F8FD"/>
          </w:tcPr>
          <w:p>
            <w:r/>
            <w:r>
              <w:rPr>
                <w:rFonts w:ascii="Arial" w:hAnsi="Arial"/>
                <w:sz w:val="20"/>
              </w:rPr>
              <w:t>8–9</w:t>
            </w:r>
          </w:p>
        </w:tc>
        <w:tc>
          <w:tcPr>
            <w:tcW w:type="dxa" w:w="4464"/>
            <w:shd w:fill="F2F8FD"/>
          </w:tcPr>
          <w:p>
            <w:r/>
            <w:r>
              <w:rPr>
                <w:rFonts w:ascii="Arial" w:hAnsi="Arial"/>
                <w:sz w:val="20"/>
              </w:rPr>
              <w:t>Already has gRPC server (RBAC); extend to full User API</w:t>
            </w:r>
          </w:p>
        </w:tc>
      </w:tr>
      <w:tr>
        <w:tc>
          <w:tcPr>
            <w:tcW w:type="dxa" w:w="1008"/>
          </w:tcPr>
          <w:p>
            <w:r/>
            <w:r>
              <w:rPr>
                <w:rFonts w:ascii="Arial" w:hAnsi="Arial"/>
                <w:sz w:val="20"/>
              </w:rPr>
              <w:t>2</w:t>
            </w:r>
          </w:p>
        </w:tc>
        <w:tc>
          <w:tcPr>
            <w:tcW w:type="dxa" w:w="2592"/>
          </w:tcPr>
          <w:p>
            <w:r/>
            <w:r>
              <w:rPr>
                <w:rFonts w:ascii="Arial" w:hAnsi="Arial"/>
                <w:sz w:val="20"/>
              </w:rPr>
              <w:t>payment-service</w:t>
            </w:r>
          </w:p>
        </w:tc>
        <w:tc>
          <w:tcPr>
            <w:tcW w:type="dxa" w:w="1152"/>
          </w:tcPr>
          <w:p>
            <w:r/>
            <w:r>
              <w:rPr>
                <w:rFonts w:ascii="Arial" w:hAnsi="Arial"/>
                <w:sz w:val="20"/>
              </w:rPr>
              <w:t>9–10</w:t>
            </w:r>
          </w:p>
        </w:tc>
        <w:tc>
          <w:tcPr>
            <w:tcW w:type="dxa" w:w="4464"/>
          </w:tcPr>
          <w:p>
            <w:r/>
            <w:r>
              <w:rPr>
                <w:rFonts w:ascii="Arial" w:hAnsi="Arial"/>
                <w:sz w:val="20"/>
              </w:rPr>
              <w:t>Critical path for charging sessions. Benefits from lower latency</w:t>
            </w:r>
          </w:p>
        </w:tc>
      </w:tr>
      <w:tr>
        <w:tc>
          <w:tcPr>
            <w:tcW w:type="dxa" w:w="1008"/>
            <w:shd w:fill="F2F8FD"/>
          </w:tcPr>
          <w:p>
            <w:r/>
            <w:r>
              <w:rPr>
                <w:rFonts w:ascii="Arial" w:hAnsi="Arial"/>
                <w:sz w:val="20"/>
              </w:rPr>
              <w:t>3</w:t>
            </w:r>
          </w:p>
        </w:tc>
        <w:tc>
          <w:tcPr>
            <w:tcW w:type="dxa" w:w="2592"/>
            <w:shd w:fill="F2F8FD"/>
          </w:tcPr>
          <w:p>
            <w:r/>
            <w:r>
              <w:rPr>
                <w:rFonts w:ascii="Arial" w:hAnsi="Arial"/>
                <w:sz w:val="20"/>
              </w:rPr>
              <w:t>subscription-service</w:t>
            </w:r>
          </w:p>
        </w:tc>
        <w:tc>
          <w:tcPr>
            <w:tcW w:type="dxa" w:w="1152"/>
            <w:shd w:fill="F2F8FD"/>
          </w:tcPr>
          <w:p>
            <w:r/>
            <w:r>
              <w:rPr>
                <w:rFonts w:ascii="Arial" w:hAnsi="Arial"/>
                <w:sz w:val="20"/>
              </w:rPr>
              <w:t>10–11</w:t>
            </w:r>
          </w:p>
        </w:tc>
        <w:tc>
          <w:tcPr>
            <w:tcW w:type="dxa" w:w="4464"/>
            <w:shd w:fill="F2F8FD"/>
          </w:tcPr>
          <w:p>
            <w:r/>
            <w:r>
              <w:rPr>
                <w:rFonts w:ascii="Arial" w:hAnsi="Arial"/>
                <w:sz w:val="20"/>
              </w:rPr>
              <w:t>Moderate complexity, moderate traffic. Good for parallel work</w:t>
            </w:r>
          </w:p>
        </w:tc>
      </w:tr>
      <w:tr>
        <w:tc>
          <w:tcPr>
            <w:tcW w:type="dxa" w:w="1008"/>
          </w:tcPr>
          <w:p>
            <w:r/>
            <w:r>
              <w:rPr>
                <w:rFonts w:ascii="Arial" w:hAnsi="Arial"/>
                <w:sz w:val="20"/>
              </w:rPr>
              <w:t>4</w:t>
            </w:r>
          </w:p>
        </w:tc>
        <w:tc>
          <w:tcPr>
            <w:tcW w:type="dxa" w:w="2592"/>
          </w:tcPr>
          <w:p>
            <w:r/>
            <w:r>
              <w:rPr>
                <w:rFonts w:ascii="Arial" w:hAnsi="Arial"/>
                <w:sz w:val="20"/>
              </w:rPr>
              <w:t>charger-mgmt-service</w:t>
            </w:r>
          </w:p>
        </w:tc>
        <w:tc>
          <w:tcPr>
            <w:tcW w:type="dxa" w:w="1152"/>
          </w:tcPr>
          <w:p>
            <w:r/>
            <w:r>
              <w:rPr>
                <w:rFonts w:ascii="Arial" w:hAnsi="Arial"/>
                <w:sz w:val="20"/>
              </w:rPr>
              <w:t>11–12</w:t>
            </w:r>
          </w:p>
        </w:tc>
        <w:tc>
          <w:tcPr>
            <w:tcW w:type="dxa" w:w="4464"/>
          </w:tcPr>
          <w:p>
            <w:r/>
            <w:r>
              <w:rPr>
                <w:rFonts w:ascii="Arial" w:hAnsi="Arial"/>
                <w:sz w:val="20"/>
              </w:rPr>
              <w:t>Dual route prefixes need careful handling</w:t>
            </w:r>
          </w:p>
        </w:tc>
      </w:tr>
      <w:tr>
        <w:tc>
          <w:tcPr>
            <w:tcW w:type="dxa" w:w="1008"/>
            <w:shd w:fill="F2F8FD"/>
          </w:tcPr>
          <w:p>
            <w:r/>
            <w:r>
              <w:rPr>
                <w:rFonts w:ascii="Arial" w:hAnsi="Arial"/>
                <w:sz w:val="20"/>
              </w:rPr>
              <w:t>5</w:t>
            </w:r>
          </w:p>
        </w:tc>
        <w:tc>
          <w:tcPr>
            <w:tcW w:type="dxa" w:w="2592"/>
            <w:shd w:fill="F2F8FD"/>
          </w:tcPr>
          <w:p>
            <w:r/>
            <w:r>
              <w:rPr>
                <w:rFonts w:ascii="Arial" w:hAnsi="Arial"/>
                <w:sz w:val="20"/>
              </w:rPr>
              <w:t>pricing-service</w:t>
            </w:r>
          </w:p>
        </w:tc>
        <w:tc>
          <w:tcPr>
            <w:tcW w:type="dxa" w:w="1152"/>
            <w:shd w:fill="F2F8FD"/>
          </w:tcPr>
          <w:p>
            <w:r/>
            <w:r>
              <w:rPr>
                <w:rFonts w:ascii="Arial" w:hAnsi="Arial"/>
                <w:sz w:val="20"/>
              </w:rPr>
              <w:t>12–13</w:t>
            </w:r>
          </w:p>
        </w:tc>
        <w:tc>
          <w:tcPr>
            <w:tcW w:type="dxa" w:w="4464"/>
            <w:shd w:fill="F2F8FD"/>
          </w:tcPr>
          <w:p>
            <w:r/>
            <w:r>
              <w:rPr>
                <w:rFonts w:ascii="Arial" w:hAnsi="Arial"/>
                <w:sz w:val="20"/>
              </w:rPr>
              <w:t>Complex query patterns. Validates gRPC with rich request models</w:t>
            </w:r>
          </w:p>
        </w:tc>
      </w:tr>
      <w:tr>
        <w:tc>
          <w:tcPr>
            <w:tcW w:type="dxa" w:w="1008"/>
          </w:tcPr>
          <w:p>
            <w:r/>
            <w:r>
              <w:rPr>
                <w:rFonts w:ascii="Arial" w:hAnsi="Arial"/>
                <w:sz w:val="20"/>
              </w:rPr>
              <w:t>6</w:t>
            </w:r>
          </w:p>
        </w:tc>
        <w:tc>
          <w:tcPr>
            <w:tcW w:type="dxa" w:w="2592"/>
          </w:tcPr>
          <w:p>
            <w:r/>
            <w:r>
              <w:rPr>
                <w:rFonts w:ascii="Arial" w:hAnsi="Arial"/>
                <w:sz w:val="20"/>
              </w:rPr>
              <w:t>web-socket-connector</w:t>
            </w:r>
          </w:p>
        </w:tc>
        <w:tc>
          <w:tcPr>
            <w:tcW w:type="dxa" w:w="1152"/>
          </w:tcPr>
          <w:p>
            <w:r/>
            <w:r>
              <w:rPr>
                <w:rFonts w:ascii="Arial" w:hAnsi="Arial"/>
                <w:sz w:val="20"/>
              </w:rPr>
              <w:t>14 (opt)</w:t>
            </w:r>
          </w:p>
        </w:tc>
        <w:tc>
          <w:tcPr>
            <w:tcW w:type="dxa" w:w="4464"/>
          </w:tcPr>
          <w:p>
            <w:r/>
            <w:r>
              <w:rPr>
                <w:rFonts w:ascii="Arial" w:hAnsi="Arial"/>
                <w:sz w:val="20"/>
              </w:rPr>
              <w:t>Evaluate gRPC streaming as alternative. May remain REST</w:t>
            </w:r>
          </w:p>
        </w:tc>
      </w:tr>
    </w:tbl>
    <w:p/>
    <w:p>
      <w:r>
        <w:rPr>
          <w:rFonts w:ascii="Arial" w:hAnsi="Arial"/>
          <w:sz w:val="22"/>
        </w:rPr>
        <w:t>For each service, the steps are: (1) define .proto, (2) implement gRPC server, (3) create gateway forwarder, (4) feature-flag deploy, (5) validate and promote.</w:t>
      </w:r>
    </w:p>
    <w:p>
      <w:pPr>
        <w:pStyle w:val="Heading2"/>
      </w:pPr>
      <w:r>
        <w:t>Phase 4: Decommission REST Internals (Week 15–18)</w:t>
      </w:r>
    </w:p>
    <w:p>
      <w:r>
        <w:rPr>
          <w:rFonts w:ascii="Arial" w:hAnsi="Arial"/>
          <w:sz w:val="22"/>
        </w:rPr>
        <w:t>Once all services are stable on gRPC with feature flags set to gRPC in production:</w:t>
      </w:r>
    </w:p>
    <w:p>
      <w:pPr>
        <w:pStyle w:val="ListBullet"/>
      </w:pPr>
      <w:r>
        <w:rPr>
          <w:rFonts w:ascii="Arial" w:hAnsi="Arial"/>
          <w:sz w:val="22"/>
        </w:rPr>
        <w:t>Remove REST controllers that were only used for internal gateway traffic (keep external-facing ones if any exist).</w:t>
      </w:r>
    </w:p>
    <w:p>
      <w:pPr>
        <w:pStyle w:val="ListBullet"/>
      </w:pPr>
      <w:r>
        <w:rPr>
          <w:rFonts w:ascii="Arial" w:hAnsi="Arial"/>
          <w:sz w:val="22"/>
        </w:rPr>
        <w:t xml:space="preserve">Remove the generic </w:t>
      </w:r>
      <w:r>
        <w:rPr>
          <w:rFonts w:ascii="Arial" w:hAnsi="Arial"/>
          <w:b/>
          <w:sz w:val="22"/>
        </w:rPr>
        <w:t>GatewayProxyController</w:t>
      </w:r>
      <w:r>
        <w:rPr>
          <w:rFonts w:ascii="Arial" w:hAnsi="Arial"/>
          <w:sz w:val="22"/>
        </w:rPr>
        <w:t xml:space="preserve"> transparent proxy (replaced by service-specific gRPC forwarders).</w:t>
      </w:r>
    </w:p>
    <w:p>
      <w:pPr>
        <w:pStyle w:val="ListBullet"/>
      </w:pPr>
      <w:r>
        <w:rPr>
          <w:rFonts w:ascii="Arial" w:hAnsi="Arial"/>
          <w:sz w:val="22"/>
        </w:rPr>
        <w:t xml:space="preserve">Remove </w:t>
      </w:r>
      <w:r>
        <w:rPr>
          <w:rFonts w:ascii="Arial" w:hAnsi="Arial"/>
          <w:b/>
          <w:sz w:val="22"/>
        </w:rPr>
        <w:t>RestClient</w:t>
      </w:r>
      <w:r>
        <w:rPr>
          <w:rFonts w:ascii="Arial" w:hAnsi="Arial"/>
          <w:sz w:val="22"/>
        </w:rPr>
        <w:t xml:space="preserve"> and </w:t>
      </w:r>
      <w:r>
        <w:rPr>
          <w:rFonts w:ascii="Arial" w:hAnsi="Arial"/>
          <w:b/>
          <w:sz w:val="22"/>
        </w:rPr>
        <w:t>HttpClientConfig</w:t>
      </w:r>
      <w:r>
        <w:rPr>
          <w:rFonts w:ascii="Arial" w:hAnsi="Arial"/>
          <w:sz w:val="22"/>
        </w:rPr>
        <w:t xml:space="preserve"> from the gateway.</w:t>
      </w:r>
    </w:p>
    <w:p>
      <w:pPr>
        <w:pStyle w:val="ListBullet"/>
      </w:pPr>
      <w:r>
        <w:rPr>
          <w:rFonts w:ascii="Arial" w:hAnsi="Arial"/>
          <w:sz w:val="22"/>
        </w:rPr>
        <w:t>Remove feature flags and dual-stack configuration.</w:t>
      </w:r>
    </w:p>
    <w:p>
      <w:pPr>
        <w:pStyle w:val="ListBullet"/>
      </w:pPr>
      <w:r>
        <w:rPr>
          <w:rFonts w:ascii="Arial" w:hAnsi="Arial"/>
          <w:sz w:val="22"/>
        </w:rPr>
        <w:t>Update Swagger/OpenAPI documentation to reflect internal APIs are now gRPC (external API docs remain REST).</w:t>
      </w:r>
    </w:p>
    <w:p>
      <w:pPr>
        <w:pStyle w:val="ListBullet"/>
      </w:pPr>
      <w:r>
        <w:rPr>
          <w:rFonts w:ascii="Arial" w:hAnsi="Arial"/>
          <w:sz w:val="22"/>
        </w:rPr>
        <w:t>Archive REST integration tests; ensure gRPC integration tests provide equivalent coverage.</w:t>
      </w:r>
    </w:p>
    <w:p>
      <w:r>
        <w:br w:type="page"/>
      </w:r>
    </w:p>
    <w:p>
      <w:pPr>
        <w:pStyle w:val="Heading1"/>
      </w:pPr>
      <w:r>
        <w:t>5. Technical Implementation Details</w:t>
      </w:r>
    </w:p>
    <w:p>
      <w:pPr>
        <w:pStyle w:val="Heading2"/>
      </w:pPr>
      <w:r>
        <w:t>5.1 Maven Dependencies</w:t>
      </w:r>
    </w:p>
    <w:p>
      <w:r>
        <w:rPr>
          <w:rFonts w:ascii="Arial" w:hAnsi="Arial"/>
          <w:sz w:val="22"/>
        </w:rPr>
        <w:t>The following dependencies are needed across the platform:</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fill="1B4F72"/>
          </w:tcPr>
          <w:p>
            <w:r/>
            <w:r>
              <w:rPr>
                <w:rFonts w:ascii="Arial" w:hAnsi="Arial"/>
                <w:b/>
                <w:color w:val="FFFFFF"/>
                <w:sz w:val="20"/>
              </w:rPr>
              <w:t>Artifact</w:t>
            </w:r>
          </w:p>
        </w:tc>
        <w:tc>
          <w:tcPr>
            <w:tcW w:type="dxa" w:w="2160"/>
            <w:shd w:fill="1B4F72"/>
          </w:tcPr>
          <w:p>
            <w:r/>
            <w:r>
              <w:rPr>
                <w:rFonts w:ascii="Arial" w:hAnsi="Arial"/>
                <w:b/>
                <w:color w:val="FFFFFF"/>
                <w:sz w:val="20"/>
              </w:rPr>
              <w:t>Where</w:t>
            </w:r>
          </w:p>
        </w:tc>
        <w:tc>
          <w:tcPr>
            <w:tcW w:type="dxa" w:w="3312"/>
            <w:shd w:fill="1B4F72"/>
          </w:tcPr>
          <w:p>
            <w:r/>
            <w:r>
              <w:rPr>
                <w:rFonts w:ascii="Arial" w:hAnsi="Arial"/>
                <w:b/>
                <w:color w:val="FFFFFF"/>
                <w:sz w:val="20"/>
              </w:rPr>
              <w:t>Purpose</w:t>
            </w:r>
          </w:p>
        </w:tc>
      </w:tr>
      <w:tr>
        <w:tc>
          <w:tcPr>
            <w:tcW w:type="dxa" w:w="3744"/>
            <w:shd w:fill="F2F8FD"/>
          </w:tcPr>
          <w:p>
            <w:r/>
            <w:r>
              <w:rPr>
                <w:rFonts w:ascii="Arial" w:hAnsi="Arial"/>
                <w:sz w:val="20"/>
              </w:rPr>
              <w:t>io.grpc:grpc-netty-shaded</w:t>
            </w:r>
          </w:p>
        </w:tc>
        <w:tc>
          <w:tcPr>
            <w:tcW w:type="dxa" w:w="2160"/>
            <w:shd w:fill="F2F8FD"/>
          </w:tcPr>
          <w:p>
            <w:r/>
            <w:r>
              <w:rPr>
                <w:rFonts w:ascii="Arial" w:hAnsi="Arial"/>
                <w:sz w:val="20"/>
              </w:rPr>
              <w:t>All services</w:t>
            </w:r>
          </w:p>
        </w:tc>
        <w:tc>
          <w:tcPr>
            <w:tcW w:type="dxa" w:w="3312"/>
            <w:shd w:fill="F2F8FD"/>
          </w:tcPr>
          <w:p>
            <w:r/>
            <w:r>
              <w:rPr>
                <w:rFonts w:ascii="Arial" w:hAnsi="Arial"/>
                <w:sz w:val="20"/>
              </w:rPr>
              <w:t>gRPC transport (Netty-based, shaded to avoid conflicts)</w:t>
            </w:r>
          </w:p>
        </w:tc>
      </w:tr>
      <w:tr>
        <w:tc>
          <w:tcPr>
            <w:tcW w:type="dxa" w:w="3744"/>
          </w:tcPr>
          <w:p>
            <w:r/>
            <w:r>
              <w:rPr>
                <w:rFonts w:ascii="Arial" w:hAnsi="Arial"/>
                <w:sz w:val="20"/>
              </w:rPr>
              <w:t>io.grpc:grpc-protobuf</w:t>
            </w:r>
          </w:p>
        </w:tc>
        <w:tc>
          <w:tcPr>
            <w:tcW w:type="dxa" w:w="2160"/>
          </w:tcPr>
          <w:p>
            <w:r/>
            <w:r>
              <w:rPr>
                <w:rFonts w:ascii="Arial" w:hAnsi="Arial"/>
                <w:sz w:val="20"/>
              </w:rPr>
              <w:t>Via electrahub-proto</w:t>
            </w:r>
          </w:p>
        </w:tc>
        <w:tc>
          <w:tcPr>
            <w:tcW w:type="dxa" w:w="3312"/>
          </w:tcPr>
          <w:p>
            <w:r/>
            <w:r>
              <w:rPr>
                <w:rFonts w:ascii="Arial" w:hAnsi="Arial"/>
                <w:sz w:val="20"/>
              </w:rPr>
              <w:t>Protobuf serialization for gRPC</w:t>
            </w:r>
          </w:p>
        </w:tc>
      </w:tr>
      <w:tr>
        <w:tc>
          <w:tcPr>
            <w:tcW w:type="dxa" w:w="3744"/>
            <w:shd w:fill="F2F8FD"/>
          </w:tcPr>
          <w:p>
            <w:r/>
            <w:r>
              <w:rPr>
                <w:rFonts w:ascii="Arial" w:hAnsi="Arial"/>
                <w:sz w:val="20"/>
              </w:rPr>
              <w:t>io.grpc:grpc-stub</w:t>
            </w:r>
          </w:p>
        </w:tc>
        <w:tc>
          <w:tcPr>
            <w:tcW w:type="dxa" w:w="2160"/>
            <w:shd w:fill="F2F8FD"/>
          </w:tcPr>
          <w:p>
            <w:r/>
            <w:r>
              <w:rPr>
                <w:rFonts w:ascii="Arial" w:hAnsi="Arial"/>
                <w:sz w:val="20"/>
              </w:rPr>
              <w:t>Via electrahub-proto</w:t>
            </w:r>
          </w:p>
        </w:tc>
        <w:tc>
          <w:tcPr>
            <w:tcW w:type="dxa" w:w="3312"/>
            <w:shd w:fill="F2F8FD"/>
          </w:tcPr>
          <w:p>
            <w:r/>
            <w:r>
              <w:rPr>
                <w:rFonts w:ascii="Arial" w:hAnsi="Arial"/>
                <w:sz w:val="20"/>
              </w:rPr>
              <w:t>Generated stub base classes</w:t>
            </w:r>
          </w:p>
        </w:tc>
      </w:tr>
      <w:tr>
        <w:tc>
          <w:tcPr>
            <w:tcW w:type="dxa" w:w="3744"/>
          </w:tcPr>
          <w:p>
            <w:r/>
            <w:r>
              <w:rPr>
                <w:rFonts w:ascii="Arial" w:hAnsi="Arial"/>
                <w:sz w:val="20"/>
              </w:rPr>
              <w:t>net.devh:grpc-server-spring-boot-starter</w:t>
            </w:r>
          </w:p>
        </w:tc>
        <w:tc>
          <w:tcPr>
            <w:tcW w:type="dxa" w:w="2160"/>
          </w:tcPr>
          <w:p>
            <w:r/>
            <w:r>
              <w:rPr>
                <w:rFonts w:ascii="Arial" w:hAnsi="Arial"/>
                <w:sz w:val="20"/>
              </w:rPr>
              <w:t>Backend services</w:t>
            </w:r>
          </w:p>
        </w:tc>
        <w:tc>
          <w:tcPr>
            <w:tcW w:type="dxa" w:w="3312"/>
          </w:tcPr>
          <w:p>
            <w:r/>
            <w:r>
              <w:rPr>
                <w:rFonts w:ascii="Arial" w:hAnsi="Arial"/>
                <w:sz w:val="20"/>
              </w:rPr>
              <w:t>Auto-configures gRPC server with Spring Boot</w:t>
            </w:r>
          </w:p>
        </w:tc>
      </w:tr>
      <w:tr>
        <w:tc>
          <w:tcPr>
            <w:tcW w:type="dxa" w:w="3744"/>
            <w:shd w:fill="F2F8FD"/>
          </w:tcPr>
          <w:p>
            <w:r/>
            <w:r>
              <w:rPr>
                <w:rFonts w:ascii="Arial" w:hAnsi="Arial"/>
                <w:sz w:val="20"/>
              </w:rPr>
              <w:t>net.devh:grpc-client-spring-boot-starter</w:t>
            </w:r>
          </w:p>
        </w:tc>
        <w:tc>
          <w:tcPr>
            <w:tcW w:type="dxa" w:w="2160"/>
            <w:shd w:fill="F2F8FD"/>
          </w:tcPr>
          <w:p>
            <w:r/>
            <w:r>
              <w:rPr>
                <w:rFonts w:ascii="Arial" w:hAnsi="Arial"/>
                <w:sz w:val="20"/>
              </w:rPr>
              <w:t>api-gateway</w:t>
            </w:r>
          </w:p>
        </w:tc>
        <w:tc>
          <w:tcPr>
            <w:tcW w:type="dxa" w:w="3312"/>
            <w:shd w:fill="F2F8FD"/>
          </w:tcPr>
          <w:p>
            <w:r/>
            <w:r>
              <w:rPr>
                <w:rFonts w:ascii="Arial" w:hAnsi="Arial"/>
                <w:sz w:val="20"/>
              </w:rPr>
              <w:t>Auto-configures gRPC channels and stubs</w:t>
            </w:r>
          </w:p>
        </w:tc>
      </w:tr>
      <w:tr>
        <w:tc>
          <w:tcPr>
            <w:tcW w:type="dxa" w:w="3744"/>
          </w:tcPr>
          <w:p>
            <w:r/>
            <w:r>
              <w:rPr>
                <w:rFonts w:ascii="Arial" w:hAnsi="Arial"/>
                <w:sz w:val="20"/>
              </w:rPr>
              <w:t>io.grpc:grpc-services</w:t>
            </w:r>
          </w:p>
        </w:tc>
        <w:tc>
          <w:tcPr>
            <w:tcW w:type="dxa" w:w="2160"/>
          </w:tcPr>
          <w:p>
            <w:r/>
            <w:r>
              <w:rPr>
                <w:rFonts w:ascii="Arial" w:hAnsi="Arial"/>
                <w:sz w:val="20"/>
              </w:rPr>
              <w:t>All services</w:t>
            </w:r>
          </w:p>
        </w:tc>
        <w:tc>
          <w:tcPr>
            <w:tcW w:type="dxa" w:w="3312"/>
          </w:tcPr>
          <w:p>
            <w:r/>
            <w:r>
              <w:rPr>
                <w:rFonts w:ascii="Arial" w:hAnsi="Arial"/>
                <w:sz w:val="20"/>
              </w:rPr>
              <w:t>Health check and reflection services</w:t>
            </w:r>
          </w:p>
        </w:tc>
      </w:tr>
    </w:tbl>
    <w:p/>
    <w:p>
      <w:pPr>
        <w:pStyle w:val="Heading2"/>
      </w:pPr>
      <w:r>
        <w:t>5.2 gRPC Channel Configuration (Gateway)</w:t>
      </w:r>
    </w:p>
    <w:p>
      <w:r>
        <w:rPr>
          <w:rFonts w:ascii="Arial" w:hAnsi="Arial"/>
          <w:sz w:val="22"/>
        </w:rPr>
        <w:t>The gateway’s application.yaml will define gRPC channels for each backend service, replacing the current REST route registry:</w:t>
      </w:r>
    </w:p>
    <w:tbl>
      <w:tblPr>
        <w:tblStyle w:val="TableGrid"/>
        <w:tblW w:type="auto" w:w="0"/>
        <w:jc w:val="center"/>
        <w:tblLook w:firstColumn="1" w:firstRow="1" w:lastColumn="0" w:lastRow="0" w:noHBand="0" w:noVBand="1" w:val="04A0"/>
      </w:tblPr>
      <w:tblGrid>
        <w:gridCol w:w="4680"/>
        <w:gridCol w:w="4680"/>
      </w:tblGrid>
      <w:tr>
        <w:tc>
          <w:tcPr>
            <w:tcW w:type="dxa" w:w="4608"/>
            <w:shd w:fill="1B4F72"/>
          </w:tcPr>
          <w:p>
            <w:r/>
            <w:r>
              <w:rPr>
                <w:rFonts w:ascii="Arial" w:hAnsi="Arial"/>
                <w:b/>
                <w:color w:val="FFFFFF"/>
                <w:sz w:val="20"/>
              </w:rPr>
              <w:t>Current REST Config</w:t>
            </w:r>
          </w:p>
        </w:tc>
        <w:tc>
          <w:tcPr>
            <w:tcW w:type="dxa" w:w="4608"/>
            <w:shd w:fill="1B4F72"/>
          </w:tcPr>
          <w:p>
            <w:r/>
            <w:r>
              <w:rPr>
                <w:rFonts w:ascii="Arial" w:hAnsi="Arial"/>
                <w:b/>
                <w:color w:val="FFFFFF"/>
                <w:sz w:val="20"/>
              </w:rPr>
              <w:t>New gRPC Config</w:t>
            </w:r>
          </w:p>
        </w:tc>
      </w:tr>
      <w:tr>
        <w:tc>
          <w:tcPr>
            <w:tcW w:type="dxa" w:w="4608"/>
            <w:shd w:fill="F2F8FD"/>
          </w:tcPr>
          <w:p>
            <w:r/>
            <w:r>
              <w:rPr>
                <w:rFonts w:ascii="Arial" w:hAnsi="Arial"/>
                <w:sz w:val="20"/>
              </w:rPr>
              <w:t>gateway.routes.auth: http://auth-service:8080</w:t>
            </w:r>
          </w:p>
        </w:tc>
        <w:tc>
          <w:tcPr>
            <w:tcW w:type="dxa" w:w="4608"/>
            <w:shd w:fill="F2F8FD"/>
          </w:tcPr>
          <w:p>
            <w:r/>
            <w:r>
              <w:rPr>
                <w:rFonts w:ascii="Arial" w:hAnsi="Arial"/>
                <w:sz w:val="20"/>
              </w:rPr>
              <w:t>grpc.client.auth-service.address: dns:///auth-service:9080</w:t>
            </w:r>
          </w:p>
        </w:tc>
      </w:tr>
      <w:tr>
        <w:tc>
          <w:tcPr>
            <w:tcW w:type="dxa" w:w="4608"/>
          </w:tcPr>
          <w:p>
            <w:r/>
            <w:r>
              <w:rPr>
                <w:rFonts w:ascii="Arial" w:hAnsi="Arial"/>
                <w:sz w:val="20"/>
              </w:rPr>
              <w:t>gateway.routes.user: http://user-service:8082</w:t>
            </w:r>
          </w:p>
        </w:tc>
        <w:tc>
          <w:tcPr>
            <w:tcW w:type="dxa" w:w="4608"/>
          </w:tcPr>
          <w:p>
            <w:r/>
            <w:r>
              <w:rPr>
                <w:rFonts w:ascii="Arial" w:hAnsi="Arial"/>
                <w:sz w:val="20"/>
              </w:rPr>
              <w:t>grpc.client.user-service.address: dns:///user-service:9082</w:t>
            </w:r>
          </w:p>
        </w:tc>
      </w:tr>
      <w:tr>
        <w:tc>
          <w:tcPr>
            <w:tcW w:type="dxa" w:w="4608"/>
            <w:shd w:fill="F2F8FD"/>
          </w:tcPr>
          <w:p>
            <w:r/>
            <w:r>
              <w:rPr>
                <w:rFonts w:ascii="Arial" w:hAnsi="Arial"/>
                <w:sz w:val="20"/>
              </w:rPr>
              <w:t>gateway.routes.payment: http://payment-service:8083</w:t>
            </w:r>
          </w:p>
        </w:tc>
        <w:tc>
          <w:tcPr>
            <w:tcW w:type="dxa" w:w="4608"/>
            <w:shd w:fill="F2F8FD"/>
          </w:tcPr>
          <w:p>
            <w:r/>
            <w:r>
              <w:rPr>
                <w:rFonts w:ascii="Arial" w:hAnsi="Arial"/>
                <w:sz w:val="20"/>
              </w:rPr>
              <w:t>grpc.client.payment-service.address: dns:///payment-service:9083</w:t>
            </w:r>
          </w:p>
        </w:tc>
      </w:tr>
      <w:tr>
        <w:tc>
          <w:tcPr>
            <w:tcW w:type="dxa" w:w="4608"/>
          </w:tcPr>
          <w:p>
            <w:r/>
            <w:r>
              <w:rPr>
                <w:rFonts w:ascii="Arial" w:hAnsi="Arial"/>
                <w:sz w:val="20"/>
              </w:rPr>
              <w:t>gateway.routes.subscription: http://subscription-service:8086</w:t>
            </w:r>
          </w:p>
        </w:tc>
        <w:tc>
          <w:tcPr>
            <w:tcW w:type="dxa" w:w="4608"/>
          </w:tcPr>
          <w:p>
            <w:r/>
            <w:r>
              <w:rPr>
                <w:rFonts w:ascii="Arial" w:hAnsi="Arial"/>
                <w:sz w:val="20"/>
              </w:rPr>
              <w:t>grpc.client.subscription-service.address: dns:///subscription-service:9086</w:t>
            </w:r>
          </w:p>
        </w:tc>
      </w:tr>
      <w:tr>
        <w:tc>
          <w:tcPr>
            <w:tcW w:type="dxa" w:w="4608"/>
            <w:shd w:fill="F2F8FD"/>
          </w:tcPr>
          <w:p>
            <w:r/>
            <w:r>
              <w:rPr>
                <w:rFonts w:ascii="Arial" w:hAnsi="Arial"/>
                <w:sz w:val="20"/>
              </w:rPr>
              <w:t>gateway.routes.charger: http://charger-mgmt-service:8086</w:t>
            </w:r>
          </w:p>
        </w:tc>
        <w:tc>
          <w:tcPr>
            <w:tcW w:type="dxa" w:w="4608"/>
            <w:shd w:fill="F2F8FD"/>
          </w:tcPr>
          <w:p>
            <w:r/>
            <w:r>
              <w:rPr>
                <w:rFonts w:ascii="Arial" w:hAnsi="Arial"/>
                <w:sz w:val="20"/>
              </w:rPr>
              <w:t>grpc.client.charger-service.address: dns:///charger-mgmt-service:9086</w:t>
            </w:r>
          </w:p>
        </w:tc>
      </w:tr>
      <w:tr>
        <w:tc>
          <w:tcPr>
            <w:tcW w:type="dxa" w:w="4608"/>
          </w:tcPr>
          <w:p>
            <w:r/>
            <w:r>
              <w:rPr>
                <w:rFonts w:ascii="Arial" w:hAnsi="Arial"/>
                <w:sz w:val="20"/>
              </w:rPr>
              <w:t>gateway.routes.pricing: http://pricing-service:8092</w:t>
            </w:r>
          </w:p>
        </w:tc>
        <w:tc>
          <w:tcPr>
            <w:tcW w:type="dxa" w:w="4608"/>
          </w:tcPr>
          <w:p>
            <w:r/>
            <w:r>
              <w:rPr>
                <w:rFonts w:ascii="Arial" w:hAnsi="Arial"/>
                <w:sz w:val="20"/>
              </w:rPr>
              <w:t>grpc.client.pricing-service.address: dns:///pricing-service:9092</w:t>
            </w:r>
          </w:p>
        </w:tc>
      </w:tr>
    </w:tbl>
    <w:p/>
    <w:p>
      <w:pPr>
        <w:pStyle w:val="Heading2"/>
      </w:pPr>
      <w:r>
        <w:t>5.3 Error Code Mapping</w:t>
      </w:r>
    </w:p>
    <w:p>
      <w:r>
        <w:rPr>
          <w:rFonts w:ascii="Arial" w:hAnsi="Arial"/>
          <w:sz w:val="22"/>
        </w:rPr>
        <w:t>The gateway’s translation layer must map gRPC status codes back to HTTP for external clients: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B4F72"/>
          </w:tcPr>
          <w:p>
            <w:r/>
            <w:r>
              <w:rPr>
                <w:rFonts w:ascii="Arial" w:hAnsi="Arial"/>
                <w:b/>
                <w:color w:val="FFFFFF"/>
                <w:sz w:val="20"/>
              </w:rPr>
              <w:t>gRPC Status</w:t>
            </w:r>
          </w:p>
        </w:tc>
        <w:tc>
          <w:tcPr>
            <w:tcW w:type="dxa" w:w="1440"/>
            <w:shd w:fill="1B4F72"/>
          </w:tcPr>
          <w:p>
            <w:r/>
            <w:r>
              <w:rPr>
                <w:rFonts w:ascii="Arial" w:hAnsi="Arial"/>
                <w:b/>
                <w:color w:val="FFFFFF"/>
                <w:sz w:val="20"/>
              </w:rPr>
              <w:t>HTTP Status</w:t>
            </w:r>
          </w:p>
        </w:tc>
        <w:tc>
          <w:tcPr>
            <w:tcW w:type="dxa" w:w="4896"/>
            <w:shd w:fill="1B4F72"/>
          </w:tcPr>
          <w:p>
            <w:r/>
            <w:r>
              <w:rPr>
                <w:rFonts w:ascii="Arial" w:hAnsi="Arial"/>
                <w:b/>
                <w:color w:val="FFFFFF"/>
                <w:sz w:val="20"/>
              </w:rPr>
              <w:t>Use Case</w:t>
            </w:r>
          </w:p>
        </w:tc>
      </w:tr>
      <w:tr>
        <w:tc>
          <w:tcPr>
            <w:tcW w:type="dxa" w:w="2880"/>
            <w:shd w:fill="F2F8FD"/>
          </w:tcPr>
          <w:p>
            <w:r/>
            <w:r>
              <w:rPr>
                <w:rFonts w:ascii="Arial" w:hAnsi="Arial"/>
                <w:sz w:val="20"/>
              </w:rPr>
              <w:t>OK</w:t>
            </w:r>
          </w:p>
        </w:tc>
        <w:tc>
          <w:tcPr>
            <w:tcW w:type="dxa" w:w="1440"/>
            <w:shd w:fill="F2F8FD"/>
          </w:tcPr>
          <w:p>
            <w:r/>
            <w:r>
              <w:rPr>
                <w:rFonts w:ascii="Arial" w:hAnsi="Arial"/>
                <w:sz w:val="20"/>
              </w:rPr>
              <w:t>200</w:t>
            </w:r>
          </w:p>
        </w:tc>
        <w:tc>
          <w:tcPr>
            <w:tcW w:type="dxa" w:w="4896"/>
            <w:shd w:fill="F2F8FD"/>
          </w:tcPr>
          <w:p>
            <w:r/>
            <w:r>
              <w:rPr>
                <w:rFonts w:ascii="Arial" w:hAnsi="Arial"/>
                <w:sz w:val="20"/>
              </w:rPr>
              <w:t>Successful response</w:t>
            </w:r>
          </w:p>
        </w:tc>
      </w:tr>
      <w:tr>
        <w:tc>
          <w:tcPr>
            <w:tcW w:type="dxa" w:w="2880"/>
          </w:tcPr>
          <w:p>
            <w:r/>
            <w:r>
              <w:rPr>
                <w:rFonts w:ascii="Arial" w:hAnsi="Arial"/>
                <w:sz w:val="20"/>
              </w:rPr>
              <w:t>INVALID_ARGUMENT</w:t>
            </w:r>
          </w:p>
        </w:tc>
        <w:tc>
          <w:tcPr>
            <w:tcW w:type="dxa" w:w="1440"/>
          </w:tcPr>
          <w:p>
            <w:r/>
            <w:r>
              <w:rPr>
                <w:rFonts w:ascii="Arial" w:hAnsi="Arial"/>
                <w:sz w:val="20"/>
              </w:rPr>
              <w:t>400</w:t>
            </w:r>
          </w:p>
        </w:tc>
        <w:tc>
          <w:tcPr>
            <w:tcW w:type="dxa" w:w="4896"/>
          </w:tcPr>
          <w:p>
            <w:r/>
            <w:r>
              <w:rPr>
                <w:rFonts w:ascii="Arial" w:hAnsi="Arial"/>
                <w:sz w:val="20"/>
              </w:rPr>
              <w:t>Validation errors, malformed requests</w:t>
            </w:r>
          </w:p>
        </w:tc>
      </w:tr>
      <w:tr>
        <w:tc>
          <w:tcPr>
            <w:tcW w:type="dxa" w:w="2880"/>
            <w:shd w:fill="F2F8FD"/>
          </w:tcPr>
          <w:p>
            <w:r/>
            <w:r>
              <w:rPr>
                <w:rFonts w:ascii="Arial" w:hAnsi="Arial"/>
                <w:sz w:val="20"/>
              </w:rPr>
              <w:t>UNAUTHENTICATED</w:t>
            </w:r>
          </w:p>
        </w:tc>
        <w:tc>
          <w:tcPr>
            <w:tcW w:type="dxa" w:w="1440"/>
            <w:shd w:fill="F2F8FD"/>
          </w:tcPr>
          <w:p>
            <w:r/>
            <w:r>
              <w:rPr>
                <w:rFonts w:ascii="Arial" w:hAnsi="Arial"/>
                <w:sz w:val="20"/>
              </w:rPr>
              <w:t>401</w:t>
            </w:r>
          </w:p>
        </w:tc>
        <w:tc>
          <w:tcPr>
            <w:tcW w:type="dxa" w:w="4896"/>
            <w:shd w:fill="F2F8FD"/>
          </w:tcPr>
          <w:p>
            <w:r/>
            <w:r>
              <w:rPr>
                <w:rFonts w:ascii="Arial" w:hAnsi="Arial"/>
                <w:sz w:val="20"/>
              </w:rPr>
              <w:t>Missing or invalid JWT</w:t>
            </w:r>
          </w:p>
        </w:tc>
      </w:tr>
      <w:tr>
        <w:tc>
          <w:tcPr>
            <w:tcW w:type="dxa" w:w="2880"/>
          </w:tcPr>
          <w:p>
            <w:r/>
            <w:r>
              <w:rPr>
                <w:rFonts w:ascii="Arial" w:hAnsi="Arial"/>
                <w:sz w:val="20"/>
              </w:rPr>
              <w:t>PERMISSION_DENIED</w:t>
            </w:r>
          </w:p>
        </w:tc>
        <w:tc>
          <w:tcPr>
            <w:tcW w:type="dxa" w:w="1440"/>
          </w:tcPr>
          <w:p>
            <w:r/>
            <w:r>
              <w:rPr>
                <w:rFonts w:ascii="Arial" w:hAnsi="Arial"/>
                <w:sz w:val="20"/>
              </w:rPr>
              <w:t>403</w:t>
            </w:r>
          </w:p>
        </w:tc>
        <w:tc>
          <w:tcPr>
            <w:tcW w:type="dxa" w:w="4896"/>
          </w:tcPr>
          <w:p>
            <w:r/>
            <w:r>
              <w:rPr>
                <w:rFonts w:ascii="Arial" w:hAnsi="Arial"/>
                <w:sz w:val="20"/>
              </w:rPr>
              <w:t>RBAC authorization failure</w:t>
            </w:r>
          </w:p>
        </w:tc>
      </w:tr>
      <w:tr>
        <w:tc>
          <w:tcPr>
            <w:tcW w:type="dxa" w:w="2880"/>
            <w:shd w:fill="F2F8FD"/>
          </w:tcPr>
          <w:p>
            <w:r/>
            <w:r>
              <w:rPr>
                <w:rFonts w:ascii="Arial" w:hAnsi="Arial"/>
                <w:sz w:val="20"/>
              </w:rPr>
              <w:t>NOT_FOUND</w:t>
            </w:r>
          </w:p>
        </w:tc>
        <w:tc>
          <w:tcPr>
            <w:tcW w:type="dxa" w:w="1440"/>
            <w:shd w:fill="F2F8FD"/>
          </w:tcPr>
          <w:p>
            <w:r/>
            <w:r>
              <w:rPr>
                <w:rFonts w:ascii="Arial" w:hAnsi="Arial"/>
                <w:sz w:val="20"/>
              </w:rPr>
              <w:t>404</w:t>
            </w:r>
          </w:p>
        </w:tc>
        <w:tc>
          <w:tcPr>
            <w:tcW w:type="dxa" w:w="4896"/>
            <w:shd w:fill="F2F8FD"/>
          </w:tcPr>
          <w:p>
            <w:r/>
            <w:r>
              <w:rPr>
                <w:rFonts w:ascii="Arial" w:hAnsi="Arial"/>
                <w:sz w:val="20"/>
              </w:rPr>
              <w:t>Resource not found</w:t>
            </w:r>
          </w:p>
        </w:tc>
      </w:tr>
      <w:tr>
        <w:tc>
          <w:tcPr>
            <w:tcW w:type="dxa" w:w="2880"/>
          </w:tcPr>
          <w:p>
            <w:r/>
            <w:r>
              <w:rPr>
                <w:rFonts w:ascii="Arial" w:hAnsi="Arial"/>
                <w:sz w:val="20"/>
              </w:rPr>
              <w:t>ALREADY_EXISTS</w:t>
            </w:r>
          </w:p>
        </w:tc>
        <w:tc>
          <w:tcPr>
            <w:tcW w:type="dxa" w:w="1440"/>
          </w:tcPr>
          <w:p>
            <w:r/>
            <w:r>
              <w:rPr>
                <w:rFonts w:ascii="Arial" w:hAnsi="Arial"/>
                <w:sz w:val="20"/>
              </w:rPr>
              <w:t>409</w:t>
            </w:r>
          </w:p>
        </w:tc>
        <w:tc>
          <w:tcPr>
            <w:tcW w:type="dxa" w:w="4896"/>
          </w:tcPr>
          <w:p>
            <w:r/>
            <w:r>
              <w:rPr>
                <w:rFonts w:ascii="Arial" w:hAnsi="Arial"/>
                <w:sz w:val="20"/>
              </w:rPr>
              <w:t>Duplicate registration, conflict</w:t>
            </w:r>
          </w:p>
        </w:tc>
      </w:tr>
      <w:tr>
        <w:tc>
          <w:tcPr>
            <w:tcW w:type="dxa" w:w="2880"/>
            <w:shd w:fill="F2F8FD"/>
          </w:tcPr>
          <w:p>
            <w:r/>
            <w:r>
              <w:rPr>
                <w:rFonts w:ascii="Arial" w:hAnsi="Arial"/>
                <w:sz w:val="20"/>
              </w:rPr>
              <w:t>RESOURCE_EXHAUSTED</w:t>
            </w:r>
          </w:p>
        </w:tc>
        <w:tc>
          <w:tcPr>
            <w:tcW w:type="dxa" w:w="1440"/>
            <w:shd w:fill="F2F8FD"/>
          </w:tcPr>
          <w:p>
            <w:r/>
            <w:r>
              <w:rPr>
                <w:rFonts w:ascii="Arial" w:hAnsi="Arial"/>
                <w:sz w:val="20"/>
              </w:rPr>
              <w:t>429</w:t>
            </w:r>
          </w:p>
        </w:tc>
        <w:tc>
          <w:tcPr>
            <w:tcW w:type="dxa" w:w="4896"/>
            <w:shd w:fill="F2F8FD"/>
          </w:tcPr>
          <w:p>
            <w:r/>
            <w:r>
              <w:rPr>
                <w:rFonts w:ascii="Arial" w:hAnsi="Arial"/>
                <w:sz w:val="20"/>
              </w:rPr>
              <w:t>Rate limiting</w:t>
            </w:r>
          </w:p>
        </w:tc>
      </w:tr>
      <w:tr>
        <w:tc>
          <w:tcPr>
            <w:tcW w:type="dxa" w:w="2880"/>
          </w:tcPr>
          <w:p>
            <w:r/>
            <w:r>
              <w:rPr>
                <w:rFonts w:ascii="Arial" w:hAnsi="Arial"/>
                <w:sz w:val="20"/>
              </w:rPr>
              <w:t>INTERNAL</w:t>
            </w:r>
          </w:p>
        </w:tc>
        <w:tc>
          <w:tcPr>
            <w:tcW w:type="dxa" w:w="1440"/>
          </w:tcPr>
          <w:p>
            <w:r/>
            <w:r>
              <w:rPr>
                <w:rFonts w:ascii="Arial" w:hAnsi="Arial"/>
                <w:sz w:val="20"/>
              </w:rPr>
              <w:t>500</w:t>
            </w:r>
          </w:p>
        </w:tc>
        <w:tc>
          <w:tcPr>
            <w:tcW w:type="dxa" w:w="4896"/>
          </w:tcPr>
          <w:p>
            <w:r/>
            <w:r>
              <w:rPr>
                <w:rFonts w:ascii="Arial" w:hAnsi="Arial"/>
                <w:sz w:val="20"/>
              </w:rPr>
              <w:t>Unexpected server errors</w:t>
            </w:r>
          </w:p>
        </w:tc>
      </w:tr>
      <w:tr>
        <w:tc>
          <w:tcPr>
            <w:tcW w:type="dxa" w:w="2880"/>
            <w:shd w:fill="F2F8FD"/>
          </w:tcPr>
          <w:p>
            <w:r/>
            <w:r>
              <w:rPr>
                <w:rFonts w:ascii="Arial" w:hAnsi="Arial"/>
                <w:sz w:val="20"/>
              </w:rPr>
              <w:t>UNAVAILABLE</w:t>
            </w:r>
          </w:p>
        </w:tc>
        <w:tc>
          <w:tcPr>
            <w:tcW w:type="dxa" w:w="1440"/>
            <w:shd w:fill="F2F8FD"/>
          </w:tcPr>
          <w:p>
            <w:r/>
            <w:r>
              <w:rPr>
                <w:rFonts w:ascii="Arial" w:hAnsi="Arial"/>
                <w:sz w:val="20"/>
              </w:rPr>
              <w:t>503</w:t>
            </w:r>
          </w:p>
        </w:tc>
        <w:tc>
          <w:tcPr>
            <w:tcW w:type="dxa" w:w="4896"/>
            <w:shd w:fill="F2F8FD"/>
          </w:tcPr>
          <w:p>
            <w:r/>
            <w:r>
              <w:rPr>
                <w:rFonts w:ascii="Arial" w:hAnsi="Arial"/>
                <w:sz w:val="20"/>
              </w:rPr>
              <w:t>Service temporarily unavailable</w:t>
            </w:r>
          </w:p>
        </w:tc>
      </w:tr>
      <w:tr>
        <w:tc>
          <w:tcPr>
            <w:tcW w:type="dxa" w:w="2880"/>
          </w:tcPr>
          <w:p>
            <w:r/>
            <w:r>
              <w:rPr>
                <w:rFonts w:ascii="Arial" w:hAnsi="Arial"/>
                <w:sz w:val="20"/>
              </w:rPr>
              <w:t>DEADLINE_EXCEEDED</w:t>
            </w:r>
          </w:p>
        </w:tc>
        <w:tc>
          <w:tcPr>
            <w:tcW w:type="dxa" w:w="1440"/>
          </w:tcPr>
          <w:p>
            <w:r/>
            <w:r>
              <w:rPr>
                <w:rFonts w:ascii="Arial" w:hAnsi="Arial"/>
                <w:sz w:val="20"/>
              </w:rPr>
              <w:t>504</w:t>
            </w:r>
          </w:p>
        </w:tc>
        <w:tc>
          <w:tcPr>
            <w:tcW w:type="dxa" w:w="4896"/>
          </w:tcPr>
          <w:p>
            <w:r/>
            <w:r>
              <w:rPr>
                <w:rFonts w:ascii="Arial" w:hAnsi="Arial"/>
                <w:sz w:val="20"/>
              </w:rPr>
              <w:t>Request timeout</w:t>
            </w:r>
          </w:p>
        </w:tc>
      </w:tr>
    </w:tbl>
    <w:p/>
    <w:p>
      <w:pPr>
        <w:pStyle w:val="Heading2"/>
      </w:pPr>
      <w:r>
        <w:t>5.4 Observability</w:t>
      </w:r>
    </w:p>
    <w:p>
      <w:pPr>
        <w:pStyle w:val="ListBullet"/>
      </w:pPr>
      <w:r>
        <w:rPr>
          <w:rFonts w:ascii="Arial" w:hAnsi="Arial"/>
          <w:sz w:val="22"/>
        </w:rPr>
      </w:r>
      <w:r>
        <w:rPr>
          <w:rFonts w:ascii="Arial" w:hAnsi="Arial"/>
          <w:b/>
          <w:sz w:val="22"/>
        </w:rPr>
        <w:t>Metrics</w:t>
      </w:r>
      <w:r>
        <w:rPr>
          <w:rFonts w:ascii="Arial" w:hAnsi="Arial"/>
          <w:sz w:val="22"/>
        </w:rPr>
        <w:t>: grpc-spring-boot-starter auto-registers Micrometer metrics (grpc.server.*, grpc.client.*) for request count, latency histograms, and status code distribution. These feed into existing Prometheus/Grafana dashboards.</w:t>
      </w:r>
    </w:p>
    <w:p>
      <w:pPr>
        <w:pStyle w:val="ListBullet"/>
      </w:pPr>
      <w:r>
        <w:rPr>
          <w:rFonts w:ascii="Arial" w:hAnsi="Arial"/>
          <w:sz w:val="22"/>
        </w:rPr>
      </w:r>
      <w:r>
        <w:rPr>
          <w:rFonts w:ascii="Arial" w:hAnsi="Arial"/>
          <w:b/>
          <w:sz w:val="22"/>
        </w:rPr>
        <w:t>Tracing</w:t>
      </w:r>
      <w:r>
        <w:rPr>
          <w:rFonts w:ascii="Arial" w:hAnsi="Arial"/>
          <w:sz w:val="22"/>
        </w:rPr>
        <w:t>: Propagate trace context (W3C Trace Context or B3) via gRPC metadata using interceptors. Integrate with existing distributed tracing.</w:t>
      </w:r>
    </w:p>
    <w:p>
      <w:pPr>
        <w:pStyle w:val="ListBullet"/>
      </w:pPr>
      <w:r>
        <w:rPr>
          <w:rFonts w:ascii="Arial" w:hAnsi="Arial"/>
          <w:sz w:val="22"/>
        </w:rPr>
      </w:r>
      <w:r>
        <w:rPr>
          <w:rFonts w:ascii="Arial" w:hAnsi="Arial"/>
          <w:b/>
          <w:sz w:val="22"/>
        </w:rPr>
        <w:t>Health checks</w:t>
      </w:r>
      <w:r>
        <w:rPr>
          <w:rFonts w:ascii="Arial" w:hAnsi="Arial"/>
          <w:sz w:val="22"/>
        </w:rPr>
        <w:t>: Each gRPC server registers a standard gRPC health service. K8s probes use grpc-health-probe binary or Spring Boot Actuator health indicators.</w:t>
      </w:r>
    </w:p>
    <w:p>
      <w:pPr>
        <w:pStyle w:val="ListBullet"/>
      </w:pPr>
      <w:r>
        <w:rPr>
          <w:rFonts w:ascii="Arial" w:hAnsi="Arial"/>
          <w:sz w:val="22"/>
        </w:rPr>
      </w:r>
      <w:r>
        <w:rPr>
          <w:rFonts w:ascii="Arial" w:hAnsi="Arial"/>
          <w:b/>
          <w:sz w:val="22"/>
        </w:rPr>
        <w:t>Logging</w:t>
      </w:r>
      <w:r>
        <w:rPr>
          <w:rFonts w:ascii="Arial" w:hAnsi="Arial"/>
          <w:sz w:val="22"/>
        </w:rPr>
        <w:t>: gRPC interceptors log method name, duration, and status code at DEBUG level, matching the existing ObservabilityAspect pattern.</w:t>
      </w:r>
    </w:p>
    <w:p>
      <w:pPr>
        <w:pStyle w:val="Heading2"/>
      </w:pPr>
      <w:r>
        <w:t>5.5 Kubernetes Changes</w:t>
      </w:r>
    </w:p>
    <w:p>
      <w:pPr>
        <w:pStyle w:val="ListBullet"/>
      </w:pPr>
      <w:r>
        <w:rPr>
          <w:rFonts w:ascii="Arial" w:hAnsi="Arial"/>
          <w:sz w:val="22"/>
        </w:rPr>
        <w:t>Add a new container port (e.g., 9080) for gRPC in each Deployment spec.</w:t>
      </w:r>
    </w:p>
    <w:p>
      <w:pPr>
        <w:pStyle w:val="ListBullet"/>
      </w:pPr>
      <w:r>
        <w:rPr>
          <w:rFonts w:ascii="Arial" w:hAnsi="Arial"/>
          <w:sz w:val="22"/>
        </w:rPr>
        <w:t>Create new K8s Services or add a named port (grpc) to existing Services targeting the gRPC port.</w:t>
      </w:r>
    </w:p>
    <w:p>
      <w:pPr>
        <w:pStyle w:val="ListBullet"/>
      </w:pPr>
      <w:r>
        <w:rPr>
          <w:rFonts w:ascii="Arial" w:hAnsi="Arial"/>
          <w:sz w:val="22"/>
        </w:rPr>
        <w:t>Update liveness/readiness probes to include gRPC health checks.</w:t>
      </w:r>
    </w:p>
    <w:p>
      <w:pPr>
        <w:pStyle w:val="ListBullet"/>
      </w:pPr>
      <w:r>
        <w:rPr>
          <w:rFonts w:ascii="Arial" w:hAnsi="Arial"/>
          <w:sz w:val="22"/>
        </w:rPr>
        <w:t>No changes to Ingress/external load balancers (external traffic remains REST via the gateway).</w:t>
      </w:r>
    </w:p>
    <w:p>
      <w:r>
        <w:br w:type="page"/>
      </w:r>
    </w:p>
    <w:p>
      <w:pPr>
        <w:pStyle w:val="Heading1"/>
      </w:pPr>
      <w:r>
        <w:t>6. Risk Mitigation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B4F72"/>
          </w:tcPr>
          <w:p>
            <w:r/>
            <w:r>
              <w:rPr>
                <w:rFonts w:ascii="Arial" w:hAnsi="Arial"/>
                <w:b/>
                <w:color w:val="FFFFFF"/>
                <w:sz w:val="20"/>
              </w:rPr>
              <w:t>Risk</w:t>
            </w:r>
          </w:p>
        </w:tc>
        <w:tc>
          <w:tcPr>
            <w:tcW w:type="dxa" w:w="1008"/>
            <w:shd w:fill="1B4F72"/>
          </w:tcPr>
          <w:p>
            <w:r/>
            <w:r>
              <w:rPr>
                <w:rFonts w:ascii="Arial" w:hAnsi="Arial"/>
                <w:b/>
                <w:color w:val="FFFFFF"/>
                <w:sz w:val="20"/>
              </w:rPr>
              <w:t>Impact</w:t>
            </w:r>
          </w:p>
        </w:tc>
        <w:tc>
          <w:tcPr>
            <w:tcW w:type="dxa" w:w="5040"/>
            <w:shd w:fill="1B4F72"/>
          </w:tcPr>
          <w:p>
            <w:r/>
            <w:r>
              <w:rPr>
                <w:rFonts w:ascii="Arial" w:hAnsi="Arial"/>
                <w:b/>
                <w:color w:val="FFFFFF"/>
                <w:sz w:val="20"/>
              </w:rPr>
              <w:t>Mitigation</w:t>
            </w:r>
          </w:p>
        </w:tc>
      </w:tr>
      <w:tr>
        <w:tc>
          <w:tcPr>
            <w:tcW w:type="dxa" w:w="3168"/>
            <w:shd w:fill="F2F8FD"/>
          </w:tcPr>
          <w:p>
            <w:r/>
            <w:r>
              <w:rPr>
                <w:rFonts w:ascii="Arial" w:hAnsi="Arial"/>
                <w:sz w:val="20"/>
              </w:rPr>
              <w:t>Proto schema evolution breaks clients</w:t>
            </w:r>
          </w:p>
        </w:tc>
        <w:tc>
          <w:tcPr>
            <w:tcW w:type="dxa" w:w="1008"/>
            <w:shd w:fill="F2F8FD"/>
          </w:tcPr>
          <w:p>
            <w:r/>
            <w:r>
              <w:rPr>
                <w:rFonts w:ascii="Arial" w:hAnsi="Arial"/>
                <w:sz w:val="20"/>
              </w:rPr>
              <w:t>High</w:t>
            </w:r>
          </w:p>
        </w:tc>
        <w:tc>
          <w:tcPr>
            <w:tcW w:type="dxa" w:w="5040"/>
            <w:shd w:fill="F2F8FD"/>
          </w:tcPr>
          <w:p>
            <w:r/>
            <w:r>
              <w:rPr>
                <w:rFonts w:ascii="Arial" w:hAnsi="Arial"/>
                <w:sz w:val="20"/>
              </w:rPr>
              <w:t>Use buf breaking-change checks in CI. Follow proto3 backward-compatible evolution rules.</w:t>
            </w:r>
          </w:p>
        </w:tc>
      </w:tr>
      <w:tr>
        <w:tc>
          <w:tcPr>
            <w:tcW w:type="dxa" w:w="3168"/>
          </w:tcPr>
          <w:p>
            <w:r/>
            <w:r>
              <w:rPr>
                <w:rFonts w:ascii="Arial" w:hAnsi="Arial"/>
                <w:sz w:val="20"/>
              </w:rPr>
              <w:t>gRPC adds complexity to debugging</w:t>
            </w:r>
          </w:p>
        </w:tc>
        <w:tc>
          <w:tcPr>
            <w:tcW w:type="dxa" w:w="1008"/>
          </w:tcPr>
          <w:p>
            <w:r/>
            <w:r>
              <w:rPr>
                <w:rFonts w:ascii="Arial" w:hAnsi="Arial"/>
                <w:sz w:val="20"/>
              </w:rPr>
              <w:t>Medium</w:t>
            </w:r>
          </w:p>
        </w:tc>
        <w:tc>
          <w:tcPr>
            <w:tcW w:type="dxa" w:w="5040"/>
          </w:tcPr>
          <w:p>
            <w:r/>
            <w:r>
              <w:rPr>
                <w:rFonts w:ascii="Arial" w:hAnsi="Arial"/>
                <w:sz w:val="20"/>
              </w:rPr>
              <w:t>Enable gRPC reflection service in dev/staging for grpcurl. Add structured logging interceptors.</w:t>
            </w:r>
          </w:p>
        </w:tc>
      </w:tr>
      <w:tr>
        <w:tc>
          <w:tcPr>
            <w:tcW w:type="dxa" w:w="3168"/>
            <w:shd w:fill="F2F8FD"/>
          </w:tcPr>
          <w:p>
            <w:r/>
            <w:r>
              <w:rPr>
                <w:rFonts w:ascii="Arial" w:hAnsi="Arial"/>
                <w:sz w:val="20"/>
              </w:rPr>
              <w:t>Performance regression during dual-stack</w:t>
            </w:r>
          </w:p>
        </w:tc>
        <w:tc>
          <w:tcPr>
            <w:tcW w:type="dxa" w:w="1008"/>
            <w:shd w:fill="F2F8FD"/>
          </w:tcPr>
          <w:p>
            <w:r/>
            <w:r>
              <w:rPr>
                <w:rFonts w:ascii="Arial" w:hAnsi="Arial"/>
                <w:sz w:val="20"/>
              </w:rPr>
              <w:t>Medium</w:t>
            </w:r>
          </w:p>
        </w:tc>
        <w:tc>
          <w:tcPr>
            <w:tcW w:type="dxa" w:w="5040"/>
            <w:shd w:fill="F2F8FD"/>
          </w:tcPr>
          <w:p>
            <w:r/>
            <w:r>
              <w:rPr>
                <w:rFonts w:ascii="Arial" w:hAnsi="Arial"/>
                <w:sz w:val="20"/>
              </w:rPr>
              <w:t>Load test both stacks before cutover. Feature flags allow instant rollback to REST.</w:t>
            </w:r>
          </w:p>
        </w:tc>
      </w:tr>
      <w:tr>
        <w:tc>
          <w:tcPr>
            <w:tcW w:type="dxa" w:w="3168"/>
          </w:tcPr>
          <w:p>
            <w:r/>
            <w:r>
              <w:rPr>
                <w:rFonts w:ascii="Arial" w:hAnsi="Arial"/>
                <w:sz w:val="20"/>
              </w:rPr>
              <w:t>Team unfamiliarity with gRPC/protobuf</w:t>
            </w:r>
          </w:p>
        </w:tc>
        <w:tc>
          <w:tcPr>
            <w:tcW w:type="dxa" w:w="1008"/>
          </w:tcPr>
          <w:p>
            <w:r/>
            <w:r>
              <w:rPr>
                <w:rFonts w:ascii="Arial" w:hAnsi="Arial"/>
                <w:sz w:val="20"/>
              </w:rPr>
              <w:t>Medium</w:t>
            </w:r>
          </w:p>
        </w:tc>
        <w:tc>
          <w:tcPr>
            <w:tcW w:type="dxa" w:w="5040"/>
          </w:tcPr>
          <w:p>
            <w:r/>
            <w:r>
              <w:rPr>
                <w:rFonts w:ascii="Arial" w:hAnsi="Arial"/>
                <w:sz w:val="20"/>
              </w:rPr>
              <w:t>Conduct half-day workshop in Week 1. Pilot (Phase 1) is intentionally small for learning.</w:t>
            </w:r>
          </w:p>
        </w:tc>
      </w:tr>
      <w:tr>
        <w:tc>
          <w:tcPr>
            <w:tcW w:type="dxa" w:w="3168"/>
            <w:shd w:fill="F2F8FD"/>
          </w:tcPr>
          <w:p>
            <w:r/>
            <w:r>
              <w:rPr>
                <w:rFonts w:ascii="Arial" w:hAnsi="Arial"/>
                <w:sz w:val="20"/>
              </w:rPr>
              <w:t>JSON-to-protobuf translation overhead</w:t>
            </w:r>
          </w:p>
        </w:tc>
        <w:tc>
          <w:tcPr>
            <w:tcW w:type="dxa" w:w="1008"/>
            <w:shd w:fill="F2F8FD"/>
          </w:tcPr>
          <w:p>
            <w:r/>
            <w:r>
              <w:rPr>
                <w:rFonts w:ascii="Arial" w:hAnsi="Arial"/>
                <w:sz w:val="20"/>
              </w:rPr>
              <w:t>Low</w:t>
            </w:r>
          </w:p>
        </w:tc>
        <w:tc>
          <w:tcPr>
            <w:tcW w:type="dxa" w:w="5040"/>
            <w:shd w:fill="F2F8FD"/>
          </w:tcPr>
          <w:p>
            <w:r/>
            <w:r>
              <w:rPr>
                <w:rFonts w:ascii="Arial" w:hAnsi="Arial"/>
                <w:sz w:val="20"/>
              </w:rPr>
              <w:t>Benchmark translation layer. JsonFormat (protobuf-java-util) is optimized.</w:t>
            </w:r>
          </w:p>
        </w:tc>
      </w:tr>
      <w:tr>
        <w:tc>
          <w:tcPr>
            <w:tcW w:type="dxa" w:w="3168"/>
          </w:tcPr>
          <w:p>
            <w:r/>
            <w:r>
              <w:rPr>
                <w:rFonts w:ascii="Arial" w:hAnsi="Arial"/>
                <w:sz w:val="20"/>
              </w:rPr>
              <w:t>K8s service mesh gRPC support gaps</w:t>
            </w:r>
          </w:p>
        </w:tc>
        <w:tc>
          <w:tcPr>
            <w:tcW w:type="dxa" w:w="1008"/>
          </w:tcPr>
          <w:p>
            <w:r/>
            <w:r>
              <w:rPr>
                <w:rFonts w:ascii="Arial" w:hAnsi="Arial"/>
                <w:sz w:val="20"/>
              </w:rPr>
              <w:t>Low</w:t>
            </w:r>
          </w:p>
        </w:tc>
        <w:tc>
          <w:tcPr>
            <w:tcW w:type="dxa" w:w="5040"/>
          </w:tcPr>
          <w:p>
            <w:r/>
            <w:r>
              <w:rPr>
                <w:rFonts w:ascii="Arial" w:hAnsi="Arial"/>
                <w:sz w:val="20"/>
              </w:rPr>
              <w:t>Modern service meshes fully support gRPC/HTTP2. Verify mTLS and load balancing.</w:t>
            </w:r>
          </w:p>
        </w:tc>
      </w:tr>
      <w:tr>
        <w:tc>
          <w:tcPr>
            <w:tcW w:type="dxa" w:w="3168"/>
            <w:shd w:fill="F2F8FD"/>
          </w:tcPr>
          <w:p>
            <w:r/>
            <w:r>
              <w:rPr>
                <w:rFonts w:ascii="Arial" w:hAnsi="Arial"/>
                <w:sz w:val="20"/>
              </w:rPr>
              <w:t>WebSocket connector migration complexity</w:t>
            </w:r>
          </w:p>
        </w:tc>
        <w:tc>
          <w:tcPr>
            <w:tcW w:type="dxa" w:w="1008"/>
            <w:shd w:fill="F2F8FD"/>
          </w:tcPr>
          <w:p>
            <w:r/>
            <w:r>
              <w:rPr>
                <w:rFonts w:ascii="Arial" w:hAnsi="Arial"/>
                <w:sz w:val="20"/>
              </w:rPr>
              <w:t>Low</w:t>
            </w:r>
          </w:p>
        </w:tc>
        <w:tc>
          <w:tcPr>
            <w:tcW w:type="dxa" w:w="5040"/>
            <w:shd w:fill="F2F8FD"/>
          </w:tcPr>
          <w:p>
            <w:r/>
            <w:r>
              <w:rPr>
                <w:rFonts w:ascii="Arial" w:hAnsi="Arial"/>
                <w:sz w:val="20"/>
              </w:rPr>
              <w:t>Explicitly out of scope for initial rollout. Evaluate in Phase 3 only if beneficial.</w:t>
            </w:r>
          </w:p>
        </w:tc>
      </w:tr>
    </w:tbl>
    <w:p/>
    <w:p>
      <w:pPr>
        <w:pStyle w:val="Heading1"/>
      </w:pPr>
      <w:r>
        <w:t>7. Testing Strategy</w:t>
      </w:r>
    </w:p>
    <w:p>
      <w:pPr>
        <w:pStyle w:val="Heading2"/>
      </w:pPr>
      <w:r>
        <w:t>7.1 Unit Tests</w:t>
      </w:r>
    </w:p>
    <w:p>
      <w:pPr>
        <w:pStyle w:val="ListBullet"/>
      </w:pPr>
      <w:r>
        <w:rPr>
          <w:rFonts w:ascii="Arial" w:hAnsi="Arial"/>
          <w:sz w:val="22"/>
        </w:rPr>
        <w:t xml:space="preserve">Test each gRPC service implementation using </w:t>
      </w:r>
      <w:r>
        <w:rPr>
          <w:rFonts w:ascii="Arial" w:hAnsi="Arial"/>
          <w:b/>
          <w:sz w:val="22"/>
        </w:rPr>
        <w:t>grpc-testing</w:t>
      </w:r>
      <w:r>
        <w:rPr>
          <w:rFonts w:ascii="Arial" w:hAnsi="Arial"/>
          <w:sz w:val="22"/>
        </w:rPr>
        <w:t xml:space="preserve"> (InProcessServer) for fast, in-memory gRPC calls.</w:t>
      </w:r>
    </w:p>
    <w:p>
      <w:pPr>
        <w:pStyle w:val="ListBullet"/>
      </w:pPr>
      <w:r>
        <w:rPr>
          <w:rFonts w:ascii="Arial" w:hAnsi="Arial"/>
          <w:sz w:val="22"/>
        </w:rPr>
        <w:t>Test proto message serialization/deserialization round-trips.</w:t>
      </w:r>
    </w:p>
    <w:p>
      <w:pPr>
        <w:pStyle w:val="ListBullet"/>
      </w:pPr>
      <w:r>
        <w:rPr>
          <w:rFonts w:ascii="Arial" w:hAnsi="Arial"/>
          <w:sz w:val="22"/>
        </w:rPr>
        <w:t>Test gateway translation layer: JSON → protobuf → JSON with edge cases (null fields, large payloads, unicode).</w:t>
      </w:r>
    </w:p>
    <w:p>
      <w:pPr>
        <w:pStyle w:val="Heading2"/>
      </w:pPr>
      <w:r>
        <w:t>7.2 Integration Tests</w:t>
      </w:r>
    </w:p>
    <w:p>
      <w:pPr>
        <w:pStyle w:val="ListBullet"/>
      </w:pPr>
      <w:r>
        <w:rPr>
          <w:rFonts w:ascii="Arial" w:hAnsi="Arial"/>
          <w:sz w:val="22"/>
        </w:rPr>
        <w:t xml:space="preserve">Use </w:t>
      </w:r>
      <w:r>
        <w:rPr>
          <w:rFonts w:ascii="Arial" w:hAnsi="Arial"/>
          <w:b/>
          <w:sz w:val="22"/>
        </w:rPr>
        <w:t>@SpringBootTest</w:t>
      </w:r>
      <w:r>
        <w:rPr>
          <w:rFonts w:ascii="Arial" w:hAnsi="Arial"/>
          <w:sz w:val="22"/>
        </w:rPr>
        <w:t xml:space="preserve"> with embedded gRPC server to test full request flow.</w:t>
      </w:r>
    </w:p>
    <w:p>
      <w:pPr>
        <w:pStyle w:val="ListBullet"/>
      </w:pPr>
      <w:r>
        <w:rPr>
          <w:rFonts w:ascii="Arial" w:hAnsi="Arial"/>
          <w:sz w:val="22"/>
        </w:rPr>
        <w:t>Verify error mapping: trigger each gRPC status code and validate the corresponding HTTP response.</w:t>
      </w:r>
    </w:p>
    <w:p>
      <w:pPr>
        <w:pStyle w:val="ListBullet"/>
      </w:pPr>
      <w:r>
        <w:rPr>
          <w:rFonts w:ascii="Arial" w:hAnsi="Arial"/>
          <w:sz w:val="22"/>
        </w:rPr>
        <w:t>Test feature flag toggling: switch between REST and gRPC mid-test and verify identical behavior.</w:t>
      </w:r>
    </w:p>
    <w:p>
      <w:pPr>
        <w:pStyle w:val="Heading2"/>
      </w:pPr>
      <w:r>
        <w:t>7.3 Contract Tests</w:t>
      </w:r>
    </w:p>
    <w:p>
      <w:pPr>
        <w:pStyle w:val="ListBullet"/>
      </w:pPr>
      <w:r>
        <w:rPr>
          <w:rFonts w:ascii="Arial" w:hAnsi="Arial"/>
          <w:sz w:val="22"/>
        </w:rPr>
        <w:t xml:space="preserve">Use </w:t>
      </w:r>
      <w:r>
        <w:rPr>
          <w:rFonts w:ascii="Arial" w:hAnsi="Arial"/>
          <w:b/>
          <w:sz w:val="22"/>
        </w:rPr>
        <w:t>buf breaking</w:t>
      </w:r>
      <w:r>
        <w:rPr>
          <w:rFonts w:ascii="Arial" w:hAnsi="Arial"/>
          <w:sz w:val="22"/>
        </w:rPr>
        <w:t xml:space="preserve"> in CI to catch backward-incompatible proto changes.</w:t>
      </w:r>
    </w:p>
    <w:p>
      <w:pPr>
        <w:pStyle w:val="ListBullet"/>
      </w:pPr>
      <w:r>
        <w:rPr>
          <w:rFonts w:ascii="Arial" w:hAnsi="Arial"/>
          <w:sz w:val="22"/>
        </w:rPr>
        <w:t>Validate generated stubs match deployed service implementations via reflection.</w:t>
      </w:r>
    </w:p>
    <w:p>
      <w:pPr>
        <w:pStyle w:val="Heading2"/>
      </w:pPr>
      <w:r>
        <w:t>7.4 Performance Tests</w:t>
      </w:r>
    </w:p>
    <w:p>
      <w:pPr>
        <w:pStyle w:val="ListBullet"/>
      </w:pPr>
      <w:r>
        <w:rPr>
          <w:rFonts w:ascii="Arial" w:hAnsi="Arial"/>
          <w:sz w:val="22"/>
        </w:rPr>
        <w:t>Extend existing JMeter regression suite (jmeter-regression) to measure latency delta post-migration.</w:t>
      </w:r>
    </w:p>
    <w:p>
      <w:pPr>
        <w:pStyle w:val="ListBullet"/>
      </w:pPr>
      <w:r>
        <w:rPr>
          <w:rFonts w:ascii="Arial" w:hAnsi="Arial"/>
          <w:sz w:val="22"/>
        </w:rPr>
        <w:t>Benchmark: REST proxy vs. gRPC forwarder for identical request/response patterns.</w:t>
      </w:r>
    </w:p>
    <w:p>
      <w:pPr>
        <w:pStyle w:val="ListBullet"/>
      </w:pPr>
      <w:r>
        <w:rPr>
          <w:rFonts w:ascii="Arial" w:hAnsi="Arial"/>
          <w:sz w:val="22"/>
        </w:rPr>
        <w:t>Load test gRPC channel connection pooling under concurrent requests.</w:t>
      </w:r>
    </w:p>
    <w:p>
      <w:r>
        <w:br w:type="page"/>
      </w:r>
    </w:p>
    <w:p>
      <w:pPr>
        <w:pStyle w:val="Heading1"/>
      </w:pPr>
      <w:r>
        <w:t>8. Timeline Summary</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B4F72"/>
          </w:tcPr>
          <w:p>
            <w:r/>
            <w:r>
              <w:rPr>
                <w:rFonts w:ascii="Arial" w:hAnsi="Arial"/>
                <w:b/>
                <w:color w:val="FFFFFF"/>
                <w:sz w:val="20"/>
              </w:rPr>
              <w:t>Phase</w:t>
            </w:r>
          </w:p>
        </w:tc>
        <w:tc>
          <w:tcPr>
            <w:tcW w:type="dxa" w:w="1728"/>
            <w:shd w:fill="1B4F72"/>
          </w:tcPr>
          <w:p>
            <w:r/>
            <w:r>
              <w:rPr>
                <w:rFonts w:ascii="Arial" w:hAnsi="Arial"/>
                <w:b/>
                <w:color w:val="FFFFFF"/>
                <w:sz w:val="20"/>
              </w:rPr>
              <w:t>Duration</w:t>
            </w:r>
          </w:p>
        </w:tc>
        <w:tc>
          <w:tcPr>
            <w:tcW w:type="dxa" w:w="4608"/>
            <w:shd w:fill="1B4F72"/>
          </w:tcPr>
          <w:p>
            <w:r/>
            <w:r>
              <w:rPr>
                <w:rFonts w:ascii="Arial" w:hAnsi="Arial"/>
                <w:b/>
                <w:color w:val="FFFFFF"/>
                <w:sz w:val="20"/>
              </w:rPr>
              <w:t>Milestone</w:t>
            </w:r>
          </w:p>
        </w:tc>
      </w:tr>
      <w:tr>
        <w:tc>
          <w:tcPr>
            <w:tcW w:type="dxa" w:w="2880"/>
            <w:shd w:fill="F2F8FD"/>
          </w:tcPr>
          <w:p>
            <w:r/>
            <w:r>
              <w:rPr>
                <w:rFonts w:ascii="Arial" w:hAnsi="Arial"/>
                <w:sz w:val="20"/>
              </w:rPr>
              <w:t>Phase 0: Foundation</w:t>
            </w:r>
          </w:p>
        </w:tc>
        <w:tc>
          <w:tcPr>
            <w:tcW w:type="dxa" w:w="1728"/>
            <w:shd w:fill="F2F8FD"/>
          </w:tcPr>
          <w:p>
            <w:r/>
            <w:r>
              <w:rPr>
                <w:rFonts w:ascii="Arial" w:hAnsi="Arial"/>
                <w:sz w:val="20"/>
              </w:rPr>
              <w:t>Week 1–2</w:t>
            </w:r>
          </w:p>
        </w:tc>
        <w:tc>
          <w:tcPr>
            <w:tcW w:type="dxa" w:w="4608"/>
            <w:shd w:fill="F2F8FD"/>
          </w:tcPr>
          <w:p>
            <w:r/>
            <w:r>
              <w:rPr>
                <w:rFonts w:ascii="Arial" w:hAnsi="Arial"/>
                <w:sz w:val="20"/>
              </w:rPr>
              <w:t>Proto module builds, gateway compiles with gRPC client deps</w:t>
            </w:r>
          </w:p>
        </w:tc>
      </w:tr>
      <w:tr>
        <w:tc>
          <w:tcPr>
            <w:tcW w:type="dxa" w:w="2880"/>
          </w:tcPr>
          <w:p>
            <w:r/>
            <w:r>
              <w:rPr>
                <w:rFonts w:ascii="Arial" w:hAnsi="Arial"/>
                <w:sz w:val="20"/>
              </w:rPr>
              <w:t>Phase 1: Pilot (RBAC)</w:t>
            </w:r>
          </w:p>
        </w:tc>
        <w:tc>
          <w:tcPr>
            <w:tcW w:type="dxa" w:w="1728"/>
          </w:tcPr>
          <w:p>
            <w:r/>
            <w:r>
              <w:rPr>
                <w:rFonts w:ascii="Arial" w:hAnsi="Arial"/>
                <w:sz w:val="20"/>
              </w:rPr>
              <w:t>Week 3–4</w:t>
            </w:r>
          </w:p>
        </w:tc>
        <w:tc>
          <w:tcPr>
            <w:tcW w:type="dxa" w:w="4608"/>
          </w:tcPr>
          <w:p>
            <w:r/>
            <w:r>
              <w:rPr>
                <w:rFonts w:ascii="Arial" w:hAnsi="Arial"/>
                <w:sz w:val="20"/>
              </w:rPr>
              <w:t>RBAC policy fetch over gRPC in staging, streaming evaluated</w:t>
            </w:r>
          </w:p>
        </w:tc>
      </w:tr>
      <w:tr>
        <w:tc>
          <w:tcPr>
            <w:tcW w:type="dxa" w:w="2880"/>
            <w:shd w:fill="F2F8FD"/>
          </w:tcPr>
          <w:p>
            <w:r/>
            <w:r>
              <w:rPr>
                <w:rFonts w:ascii="Arial" w:hAnsi="Arial"/>
                <w:sz w:val="20"/>
              </w:rPr>
              <w:t>Phase 2: auth-service</w:t>
            </w:r>
          </w:p>
        </w:tc>
        <w:tc>
          <w:tcPr>
            <w:tcW w:type="dxa" w:w="1728"/>
            <w:shd w:fill="F2F8FD"/>
          </w:tcPr>
          <w:p>
            <w:r/>
            <w:r>
              <w:rPr>
                <w:rFonts w:ascii="Arial" w:hAnsi="Arial"/>
                <w:sz w:val="20"/>
              </w:rPr>
              <w:t>Week 5–7</w:t>
            </w:r>
          </w:p>
        </w:tc>
        <w:tc>
          <w:tcPr>
            <w:tcW w:type="dxa" w:w="4608"/>
            <w:shd w:fill="F2F8FD"/>
          </w:tcPr>
          <w:p>
            <w:r/>
            <w:r>
              <w:rPr>
                <w:rFonts w:ascii="Arial" w:hAnsi="Arial"/>
                <w:sz w:val="20"/>
              </w:rPr>
              <w:t>First full proxied service on gRPC, translation layer proven</w:t>
            </w:r>
          </w:p>
        </w:tc>
      </w:tr>
      <w:tr>
        <w:tc>
          <w:tcPr>
            <w:tcW w:type="dxa" w:w="2880"/>
          </w:tcPr>
          <w:p>
            <w:r/>
            <w:r>
              <w:rPr>
                <w:rFonts w:ascii="Arial" w:hAnsi="Arial"/>
                <w:sz w:val="20"/>
              </w:rPr>
              <w:t>Phase 3: Remaining services</w:t>
            </w:r>
          </w:p>
        </w:tc>
        <w:tc>
          <w:tcPr>
            <w:tcW w:type="dxa" w:w="1728"/>
          </w:tcPr>
          <w:p>
            <w:r/>
            <w:r>
              <w:rPr>
                <w:rFonts w:ascii="Arial" w:hAnsi="Arial"/>
                <w:sz w:val="20"/>
              </w:rPr>
              <w:t>Week 8–14</w:t>
            </w:r>
          </w:p>
        </w:tc>
        <w:tc>
          <w:tcPr>
            <w:tcW w:type="dxa" w:w="4608"/>
          </w:tcPr>
          <w:p>
            <w:r/>
            <w:r>
              <w:rPr>
                <w:rFonts w:ascii="Arial" w:hAnsi="Arial"/>
                <w:sz w:val="20"/>
              </w:rPr>
              <w:t>All 6 services running gRPC in production</w:t>
            </w:r>
          </w:p>
        </w:tc>
      </w:tr>
      <w:tr>
        <w:tc>
          <w:tcPr>
            <w:tcW w:type="dxa" w:w="2880"/>
            <w:shd w:fill="F2F8FD"/>
          </w:tcPr>
          <w:p>
            <w:r/>
            <w:r>
              <w:rPr>
                <w:rFonts w:ascii="Arial" w:hAnsi="Arial"/>
                <w:sz w:val="20"/>
              </w:rPr>
              <w:t>Phase 4: Decommission REST</w:t>
            </w:r>
          </w:p>
        </w:tc>
        <w:tc>
          <w:tcPr>
            <w:tcW w:type="dxa" w:w="1728"/>
            <w:shd w:fill="F2F8FD"/>
          </w:tcPr>
          <w:p>
            <w:r/>
            <w:r>
              <w:rPr>
                <w:rFonts w:ascii="Arial" w:hAnsi="Arial"/>
                <w:sz w:val="20"/>
              </w:rPr>
              <w:t>Week 15–18</w:t>
            </w:r>
          </w:p>
        </w:tc>
        <w:tc>
          <w:tcPr>
            <w:tcW w:type="dxa" w:w="4608"/>
            <w:shd w:fill="F2F8FD"/>
          </w:tcPr>
          <w:p>
            <w:r/>
            <w:r>
              <w:rPr>
                <w:rFonts w:ascii="Arial" w:hAnsi="Arial"/>
                <w:sz w:val="20"/>
              </w:rPr>
              <w:t>Internal REST removed, single gRPC transport path</w:t>
            </w:r>
          </w:p>
        </w:tc>
      </w:tr>
    </w:tbl>
    <w:p/>
    <w:p>
      <w:r>
        <w:rPr>
          <w:rFonts w:ascii="Arial" w:hAnsi="Arial"/>
          <w:sz w:val="22"/>
        </w:rPr>
      </w:r>
      <w:r>
        <w:rPr>
          <w:rFonts w:ascii="Arial" w:hAnsi="Arial"/>
          <w:b/>
          <w:sz w:val="22"/>
        </w:rPr>
        <w:t>Total estimated duration</w:t>
      </w:r>
      <w:r>
        <w:rPr>
          <w:rFonts w:ascii="Arial" w:hAnsi="Arial"/>
          <w:sz w:val="22"/>
        </w:rPr>
        <w:t>: 18 weeks (4.5 months) from kickoff to full decommission of internal REST. The dual-stack period (Weeks 3–14) ensures zero-downtime and safe rollback at every stage.</w:t>
      </w:r>
    </w:p>
    <w:p>
      <w:pPr>
        <w:pStyle w:val="Heading1"/>
      </w:pPr>
      <w:r>
        <w:t>9. Success Criteria</w:t>
      </w:r>
    </w:p>
    <w:p>
      <w:pPr>
        <w:pStyle w:val="ListNumber"/>
      </w:pPr>
      <w:r>
        <w:rPr>
          <w:rFonts w:ascii="Arial" w:hAnsi="Arial"/>
          <w:sz w:val="22"/>
        </w:rPr>
        <w:t>All internal gateway-to-service traffic routed over gRPC (excluding WebSocket connector).</w:t>
      </w:r>
    </w:p>
    <w:p>
      <w:pPr>
        <w:pStyle w:val="ListNumber"/>
      </w:pPr>
      <w:r>
        <w:rPr>
          <w:rFonts w:ascii="Arial" w:hAnsi="Arial"/>
          <w:sz w:val="22"/>
        </w:rPr>
        <w:t>External REST API responses are byte-identical (status codes, JSON structure, headers) before and after migration.</w:t>
      </w:r>
    </w:p>
    <w:p>
      <w:pPr>
        <w:pStyle w:val="ListNumber"/>
      </w:pPr>
      <w:r>
        <w:rPr>
          <w:rFonts w:ascii="Arial" w:hAnsi="Arial"/>
          <w:sz w:val="22"/>
        </w:rPr>
        <w:t>P99 latency for proxied requests reduced by at least 20% compared to REST baseline.</w:t>
      </w:r>
    </w:p>
    <w:p>
      <w:pPr>
        <w:pStyle w:val="ListNumber"/>
      </w:pPr>
      <w:r>
        <w:rPr>
          <w:rFonts w:ascii="Arial" w:hAnsi="Arial"/>
          <w:sz w:val="22"/>
        </w:rPr>
        <w:t>Zero production incidents caused by the migration.</w:t>
      </w:r>
    </w:p>
    <w:p>
      <w:pPr>
        <w:pStyle w:val="ListNumber"/>
      </w:pPr>
      <w:r>
        <w:rPr>
          <w:rFonts w:ascii="Arial" w:hAnsi="Arial"/>
          <w:sz w:val="22"/>
        </w:rPr>
        <w:t>All services pass existing JMeter regression suite without test modifications.</w:t>
      </w:r>
    </w:p>
    <w:p>
      <w:pPr>
        <w:pStyle w:val="ListNumber"/>
      </w:pPr>
      <w:r>
        <w:rPr>
          <w:rFonts w:ascii="Arial" w:hAnsi="Arial"/>
          <w:sz w:val="22"/>
        </w:rPr>
        <w:t>Feature-flag rollback tested and documented for each service.</w:t>
      </w:r>
    </w:p>
    <w:p>
      <w:pPr>
        <w:pStyle w:val="ListNumber"/>
      </w:pPr>
      <w:r>
        <w:rPr>
          <w:rFonts w:ascii="Arial" w:hAnsi="Arial"/>
          <w:sz w:val="22"/>
        </w:rPr>
        <w:t>Proto backward-compatibility checks running in CI for every pull request.</w:t>
      </w:r>
    </w:p>
    <w:p>
      <w:r>
        <w:br w:type="page"/>
      </w:r>
    </w:p>
    <w:p>
      <w:pPr>
        <w:pStyle w:val="Heading1"/>
      </w:pPr>
      <w:r>
        <w:t>10. Appendix</w:t>
      </w:r>
    </w:p>
    <w:p>
      <w:pPr>
        <w:pStyle w:val="Heading2"/>
      </w:pPr>
      <w:r>
        <w:t>10.1 Sample Proto Definition (RBAC)</w:t>
      </w:r>
    </w:p>
    <w:p>
      <w:r>
        <w:rPr>
          <w:rFonts w:ascii="Arial" w:hAnsi="Arial"/>
          <w:sz w:val="22"/>
        </w:rPr>
        <w:t>Below is an illustrative proto definition for the RBAC policy service, demonstrating the target contract style:</w:t>
      </w:r>
    </w:p>
    <w:p>
      <w:pPr>
        <w:spacing w:before="20" w:after="20"/>
        <w:ind w:left="720"/>
      </w:pPr>
      <w:r>
        <w:rPr>
          <w:rFonts w:ascii="Courier New" w:hAnsi="Courier New"/>
          <w:color w:val="333333"/>
          <w:sz w:val="18"/>
        </w:rPr>
        <w:t>syntax = "proto3";</w:t>
      </w:r>
    </w:p>
    <w:p>
      <w:pPr>
        <w:spacing w:before="20" w:after="20"/>
        <w:ind w:left="720"/>
      </w:pPr>
      <w:r>
        <w:rPr>
          <w:rFonts w:ascii="Courier New" w:hAnsi="Courier New"/>
          <w:color w:val="333333"/>
          <w:sz w:val="18"/>
        </w:rPr>
        <w:t>package electrahub.user.v1;</w:t>
      </w:r>
    </w:p>
    <w:p>
      <w:pPr>
        <w:spacing w:before="20" w:after="20"/>
        <w:ind w:left="720"/>
      </w:pPr>
      <w:r>
        <w:rPr>
          <w:rFonts w:ascii="Courier New" w:hAnsi="Courier New"/>
          <w:color w:val="333333"/>
          <w:sz w:val="18"/>
        </w:rPr>
      </w:r>
    </w:p>
    <w:p>
      <w:pPr>
        <w:spacing w:before="20" w:after="20"/>
        <w:ind w:left="720"/>
      </w:pPr>
      <w:r>
        <w:rPr>
          <w:rFonts w:ascii="Courier New" w:hAnsi="Courier New"/>
          <w:color w:val="333333"/>
          <w:sz w:val="18"/>
        </w:rPr>
        <w:t>service RbacService {</w:t>
      </w:r>
    </w:p>
    <w:p>
      <w:pPr>
        <w:spacing w:before="20" w:after="20"/>
        <w:ind w:left="720"/>
      </w:pPr>
      <w:r>
        <w:rPr>
          <w:rFonts w:ascii="Courier New" w:hAnsi="Courier New"/>
          <w:color w:val="333333"/>
          <w:sz w:val="18"/>
        </w:rPr>
        <w:t xml:space="preserve">  rpc GetPolicy(GetPolicyRequest) returns (RbacPolicyResponse);</w:t>
      </w:r>
    </w:p>
    <w:p>
      <w:pPr>
        <w:spacing w:before="20" w:after="20"/>
        <w:ind w:left="720"/>
      </w:pPr>
      <w:r>
        <w:rPr>
          <w:rFonts w:ascii="Courier New" w:hAnsi="Courier New"/>
          <w:color w:val="333333"/>
          <w:sz w:val="18"/>
        </w:rPr>
        <w:t xml:space="preserve">  rpc StreamPolicy(StreamPolicyRequest) returns (stream RbacPolicyResponse);</w:t>
      </w:r>
    </w:p>
    <w:p>
      <w:pPr>
        <w:spacing w:before="20" w:after="20"/>
        <w:ind w:left="720"/>
      </w:pPr>
      <w:r>
        <w:rPr>
          <w:rFonts w:ascii="Courier New" w:hAnsi="Courier New"/>
          <w:color w:val="333333"/>
          <w:sz w:val="18"/>
        </w:rPr>
        <w:t>}</w:t>
      </w:r>
    </w:p>
    <w:p>
      <w:pPr>
        <w:spacing w:before="20" w:after="20"/>
        <w:ind w:left="720"/>
      </w:pPr>
      <w:r>
        <w:rPr>
          <w:rFonts w:ascii="Courier New" w:hAnsi="Courier New"/>
          <w:color w:val="333333"/>
          <w:sz w:val="18"/>
        </w:rPr>
      </w:r>
    </w:p>
    <w:p>
      <w:pPr>
        <w:spacing w:before="20" w:after="20"/>
        <w:ind w:left="720"/>
      </w:pPr>
      <w:r>
        <w:rPr>
          <w:rFonts w:ascii="Courier New" w:hAnsi="Courier New"/>
          <w:color w:val="333333"/>
          <w:sz w:val="18"/>
        </w:rPr>
        <w:t>message GetPolicyRequest {</w:t>
      </w:r>
    </w:p>
    <w:p>
      <w:pPr>
        <w:spacing w:before="20" w:after="20"/>
        <w:ind w:left="720"/>
      </w:pPr>
      <w:r>
        <w:rPr>
          <w:rFonts w:ascii="Courier New" w:hAnsi="Courier New"/>
          <w:color w:val="333333"/>
          <w:sz w:val="18"/>
        </w:rPr>
        <w:t xml:space="preserve">  string api_key = 1;</w:t>
      </w:r>
    </w:p>
    <w:p>
      <w:pPr>
        <w:spacing w:before="20" w:after="20"/>
        <w:ind w:left="720"/>
      </w:pPr>
      <w:r>
        <w:rPr>
          <w:rFonts w:ascii="Courier New" w:hAnsi="Courier New"/>
          <w:color w:val="333333"/>
          <w:sz w:val="18"/>
        </w:rPr>
        <w:t>}</w:t>
      </w:r>
    </w:p>
    <w:p>
      <w:pPr>
        <w:spacing w:before="20" w:after="20"/>
        <w:ind w:left="720"/>
      </w:pPr>
      <w:r>
        <w:rPr>
          <w:rFonts w:ascii="Courier New" w:hAnsi="Courier New"/>
          <w:color w:val="333333"/>
          <w:sz w:val="18"/>
        </w:rPr>
      </w:r>
    </w:p>
    <w:p>
      <w:pPr>
        <w:spacing w:before="20" w:after="20"/>
        <w:ind w:left="720"/>
      </w:pPr>
      <w:r>
        <w:rPr>
          <w:rFonts w:ascii="Courier New" w:hAnsi="Courier New"/>
          <w:color w:val="333333"/>
          <w:sz w:val="18"/>
        </w:rPr>
        <w:t>message StreamPolicyRequest {</w:t>
      </w:r>
    </w:p>
    <w:p>
      <w:pPr>
        <w:spacing w:before="20" w:after="20"/>
        <w:ind w:left="720"/>
      </w:pPr>
      <w:r>
        <w:rPr>
          <w:rFonts w:ascii="Courier New" w:hAnsi="Courier New"/>
          <w:color w:val="333333"/>
          <w:sz w:val="18"/>
        </w:rPr>
        <w:t xml:space="preserve">  string api_key = 1;</w:t>
      </w:r>
    </w:p>
    <w:p>
      <w:pPr>
        <w:spacing w:before="20" w:after="20"/>
        <w:ind w:left="720"/>
      </w:pPr>
      <w:r>
        <w:rPr>
          <w:rFonts w:ascii="Courier New" w:hAnsi="Courier New"/>
          <w:color w:val="333333"/>
          <w:sz w:val="18"/>
        </w:rPr>
        <w:t>}</w:t>
      </w:r>
    </w:p>
    <w:p>
      <w:pPr>
        <w:spacing w:before="20" w:after="20"/>
        <w:ind w:left="720"/>
      </w:pPr>
      <w:r>
        <w:rPr>
          <w:rFonts w:ascii="Courier New" w:hAnsi="Courier New"/>
          <w:color w:val="333333"/>
          <w:sz w:val="18"/>
        </w:rPr>
      </w:r>
    </w:p>
    <w:p>
      <w:pPr>
        <w:spacing w:before="20" w:after="20"/>
        <w:ind w:left="720"/>
      </w:pPr>
      <w:r>
        <w:rPr>
          <w:rFonts w:ascii="Courier New" w:hAnsi="Courier New"/>
          <w:color w:val="333333"/>
          <w:sz w:val="18"/>
        </w:rPr>
        <w:t>message RbacPolicyResponse {</w:t>
      </w:r>
    </w:p>
    <w:p>
      <w:pPr>
        <w:spacing w:before="20" w:after="20"/>
        <w:ind w:left="720"/>
      </w:pPr>
      <w:r>
        <w:rPr>
          <w:rFonts w:ascii="Courier New" w:hAnsi="Courier New"/>
          <w:color w:val="333333"/>
          <w:sz w:val="18"/>
        </w:rPr>
        <w:t xml:space="preserve">  string version = 1;</w:t>
      </w:r>
    </w:p>
    <w:p>
      <w:pPr>
        <w:spacing w:before="20" w:after="20"/>
        <w:ind w:left="720"/>
      </w:pPr>
      <w:r>
        <w:rPr>
          <w:rFonts w:ascii="Courier New" w:hAnsi="Courier New"/>
          <w:color w:val="333333"/>
          <w:sz w:val="18"/>
        </w:rPr>
        <w:t xml:space="preserve">  string role_hierarchy = 2;</w:t>
      </w:r>
    </w:p>
    <w:p>
      <w:pPr>
        <w:spacing w:before="20" w:after="20"/>
        <w:ind w:left="720"/>
      </w:pPr>
      <w:r>
        <w:rPr>
          <w:rFonts w:ascii="Courier New" w:hAnsi="Courier New"/>
          <w:color w:val="333333"/>
          <w:sz w:val="18"/>
        </w:rPr>
        <w:t xml:space="preserve">  string default_decision = 3;</w:t>
      </w:r>
    </w:p>
    <w:p>
      <w:pPr>
        <w:spacing w:before="20" w:after="20"/>
        <w:ind w:left="720"/>
      </w:pPr>
      <w:r>
        <w:rPr>
          <w:rFonts w:ascii="Courier New" w:hAnsi="Courier New"/>
          <w:color w:val="333333"/>
          <w:sz w:val="18"/>
        </w:rPr>
        <w:t xml:space="preserve">  repeated RbacRule rules = 4;</w:t>
      </w:r>
    </w:p>
    <w:p>
      <w:pPr>
        <w:spacing w:before="20" w:after="20"/>
        <w:ind w:left="720"/>
      </w:pPr>
      <w:r>
        <w:rPr>
          <w:rFonts w:ascii="Courier New" w:hAnsi="Courier New"/>
          <w:color w:val="333333"/>
          <w:sz w:val="18"/>
        </w:rPr>
        <w:t>}</w:t>
      </w:r>
    </w:p>
    <w:p>
      <w:pPr>
        <w:spacing w:before="20" w:after="20"/>
        <w:ind w:left="720"/>
      </w:pPr>
      <w:r>
        <w:rPr>
          <w:rFonts w:ascii="Courier New" w:hAnsi="Courier New"/>
          <w:color w:val="333333"/>
          <w:sz w:val="18"/>
        </w:rPr>
      </w:r>
    </w:p>
    <w:p>
      <w:pPr>
        <w:spacing w:before="20" w:after="20"/>
        <w:ind w:left="720"/>
      </w:pPr>
      <w:r>
        <w:rPr>
          <w:rFonts w:ascii="Courier New" w:hAnsi="Courier New"/>
          <w:color w:val="333333"/>
          <w:sz w:val="18"/>
        </w:rPr>
        <w:t>message RbacRule {</w:t>
      </w:r>
    </w:p>
    <w:p>
      <w:pPr>
        <w:spacing w:before="20" w:after="20"/>
        <w:ind w:left="720"/>
      </w:pPr>
      <w:r>
        <w:rPr>
          <w:rFonts w:ascii="Courier New" w:hAnsi="Courier New"/>
          <w:color w:val="333333"/>
          <w:sz w:val="18"/>
        </w:rPr>
        <w:t xml:space="preserve">  string name = 1;</w:t>
      </w:r>
    </w:p>
    <w:p>
      <w:pPr>
        <w:spacing w:before="20" w:after="20"/>
        <w:ind w:left="720"/>
      </w:pPr>
      <w:r>
        <w:rPr>
          <w:rFonts w:ascii="Courier New" w:hAnsi="Courier New"/>
          <w:color w:val="333333"/>
          <w:sz w:val="18"/>
        </w:rPr>
        <w:t xml:space="preserve">  repeated string methods = 2;</w:t>
      </w:r>
    </w:p>
    <w:p>
      <w:pPr>
        <w:spacing w:before="20" w:after="20"/>
        <w:ind w:left="720"/>
      </w:pPr>
      <w:r>
        <w:rPr>
          <w:rFonts w:ascii="Courier New" w:hAnsi="Courier New"/>
          <w:color w:val="333333"/>
          <w:sz w:val="18"/>
        </w:rPr>
        <w:t xml:space="preserve">  string path_pattern = 3;</w:t>
      </w:r>
    </w:p>
    <w:p>
      <w:pPr>
        <w:spacing w:before="20" w:after="20"/>
        <w:ind w:left="720"/>
      </w:pPr>
      <w:r>
        <w:rPr>
          <w:rFonts w:ascii="Courier New" w:hAnsi="Courier New"/>
          <w:color w:val="333333"/>
          <w:sz w:val="18"/>
        </w:rPr>
        <w:t xml:space="preserve">  string effect = 4;</w:t>
      </w:r>
    </w:p>
    <w:p>
      <w:pPr>
        <w:spacing w:before="20" w:after="20"/>
        <w:ind w:left="720"/>
      </w:pPr>
      <w:r>
        <w:rPr>
          <w:rFonts w:ascii="Courier New" w:hAnsi="Courier New"/>
          <w:color w:val="333333"/>
          <w:sz w:val="18"/>
        </w:rPr>
        <w:t xml:space="preserve">  bool allow_anonymous = 5;</w:t>
      </w:r>
    </w:p>
    <w:p>
      <w:pPr>
        <w:spacing w:before="20" w:after="20"/>
        <w:ind w:left="720"/>
      </w:pPr>
      <w:r>
        <w:rPr>
          <w:rFonts w:ascii="Courier New" w:hAnsi="Courier New"/>
          <w:color w:val="333333"/>
          <w:sz w:val="18"/>
        </w:rPr>
        <w:t xml:space="preserve">  repeated string required_roles = 6;</w:t>
      </w:r>
    </w:p>
    <w:p>
      <w:pPr>
        <w:spacing w:before="20" w:after="20"/>
        <w:ind w:left="720"/>
      </w:pPr>
      <w:r>
        <w:rPr>
          <w:rFonts w:ascii="Courier New" w:hAnsi="Courier New"/>
          <w:color w:val="333333"/>
          <w:sz w:val="18"/>
        </w:rPr>
        <w:t>}</w:t>
      </w:r>
    </w:p>
    <w:p>
      <w:pPr>
        <w:pStyle w:val="Heading2"/>
      </w:pPr>
      <w:r>
        <w:t>10.2 gRPC Status Code Quick Reference</w:t>
      </w:r>
    </w:p>
    <w:p>
      <w:r>
        <w:rPr>
          <w:rFonts w:ascii="Arial" w:hAnsi="Arial"/>
          <w:sz w:val="22"/>
        </w:rPr>
        <w:t>Complete mapping used by the gateway translation layer for converting gRPC errors to HTTP responses. The gateway should include gRPC error details (via Status.getDescription() and rich error model trailers) in the JSON response body for debugging purposes.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