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120" w:line="360" w:lineRule="auto"/>
        <w:contextualSpacing w:val="0"/>
        <w:jc w:val="both"/>
        <w:rPr>
          <w:rFonts w:ascii="Arial" w:cs="Arial" w:eastAsia="Arial" w:hAnsi="Arial"/>
          <w:color w:val="000000"/>
          <w:sz w:val="22"/>
          <w:szCs w:val="22"/>
        </w:rPr>
      </w:pPr>
      <w:bookmarkStart w:colFirst="0" w:colLast="0" w:name="_gjdgxs" w:id="0"/>
      <w:bookmarkEnd w:id="0"/>
      <w:r w:rsidDel="00000000" w:rsidR="00000000" w:rsidRPr="00000000">
        <w:rPr>
          <w:rFonts w:ascii="Arial" w:cs="Arial" w:eastAsia="Arial" w:hAnsi="Arial"/>
          <w:color w:val="000000"/>
          <w:sz w:val="22"/>
          <w:szCs w:val="22"/>
          <w:rtl w:val="0"/>
        </w:rPr>
        <w:t xml:space="preserve">EXPERIMENTO VI: CIRCUITO THÉVENIN Y NORTON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Instrucciones:</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Deben realizar el montaje de cada uno de los circuitos que están en esta práctica en el simulador.</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Deben resolver la práctica de forma teórica-práctica.</w:t>
      </w:r>
    </w:p>
    <w:p w:rsidR="00000000" w:rsidDel="00000000" w:rsidP="00000000" w:rsidRDefault="00000000" w:rsidRPr="00000000">
      <w:pPr>
        <w:keepNext w:val="0"/>
        <w:keepLines w:val="0"/>
        <w:widowControl w:val="0"/>
        <w:numPr>
          <w:ilvl w:val="0"/>
          <w:numId w:val="4"/>
        </w:numPr>
        <w:pBdr/>
        <w:spacing w:after="160" w:before="0" w:line="259"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resultados de cada circuito deben presentarlo en un informe (digital) la próxima semana, dónde se evidencie cada uno de los pasos que siguieron para obtener los resultados (ejemplos, diagrama electrónico, fórmula, ondas, entre otras), así mismo, deben realizar un análisis técnico por cada uno de ellos.</w:t>
      </w:r>
    </w:p>
    <w:p w:rsidR="00000000" w:rsidDel="00000000" w:rsidP="00000000" w:rsidRDefault="00000000" w:rsidRPr="00000000">
      <w:pPr>
        <w:pBdr/>
        <w:contextualSpacing w:val="0"/>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Desarrolle</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Elabore el siguiente circuito de la figura #1 respecto a la siguiente tabla: </w:t>
      </w:r>
    </w:p>
    <w:tbl>
      <w:tblPr>
        <w:tblStyle w:val="Table1"/>
        <w:bidiVisual w:val="0"/>
        <w:tblW w:w="439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63"/>
        <w:gridCol w:w="2127"/>
        <w:tblGridChange w:id="0">
          <w:tblGrid>
            <w:gridCol w:w="2263"/>
            <w:gridCol w:w="2127"/>
          </w:tblGrid>
        </w:tblGridChange>
      </w:tblGrid>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Variables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Generador CA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Vpp / 60 Hz</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vertAlign w:val="subscript"/>
                <w:rtl w:val="0"/>
              </w:rPr>
              <w:t xml:space="preserve">1</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µf</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1</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 Ω</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vertAlign w:val="subscript"/>
                <w:rtl w:val="0"/>
              </w:rPr>
              <w:t xml:space="preserve">2</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 µf</w:t>
            </w:r>
          </w:p>
        </w:tc>
      </w:tr>
      <w:tr>
        <w:trPr>
          <w:trHeight w:val="18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2</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220 Ω</w:t>
            </w:r>
          </w:p>
        </w:tc>
      </w:tr>
    </w:tbl>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margin">
              <wp:posOffset>3052041</wp:posOffset>
            </wp:positionH>
            <wp:positionV relativeFrom="paragraph">
              <wp:posOffset>64135</wp:posOffset>
            </wp:positionV>
            <wp:extent cx="2560089" cy="1247775"/>
            <wp:effectExtent b="0" l="0" r="0" t="0"/>
            <wp:wrapNone/>
            <wp:docPr id="31" name="image4.png"/>
            <a:graphic>
              <a:graphicData uri="http://schemas.openxmlformats.org/drawingml/2006/picture">
                <pic:pic>
                  <pic:nvPicPr>
                    <pic:cNvPr id="0" name="image4.png"/>
                    <pic:cNvPicPr preferRelativeResize="0"/>
                  </pic:nvPicPr>
                  <pic:blipFill>
                    <a:blip r:embed="rId6"/>
                    <a:srcRect b="44334" l="11541" r="48064" t="24168"/>
                    <a:stretch>
                      <a:fillRect/>
                    </a:stretch>
                  </pic:blipFill>
                  <pic:spPr>
                    <a:xfrm>
                      <a:off x="0" y="0"/>
                      <a:ext cx="2560089" cy="1247775"/>
                    </a:xfrm>
                    <a:prstGeom prst="rect"/>
                    <a:ln/>
                  </pic:spPr>
                </pic:pic>
              </a:graphicData>
            </a:graphic>
          </wp:anchor>
        </w:drawing>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Para lo cual se le solicita que realice el análisis por medio del método de Thévenin para la resistencia RL.</w:t>
      </w:r>
    </w:p>
    <w:p w:rsidR="00000000" w:rsidDel="00000000" w:rsidP="00000000" w:rsidRDefault="00000000" w:rsidRPr="00000000">
      <w:pPr>
        <w:keepNext w:val="0"/>
        <w:keepLines w:val="0"/>
        <w:widowControl w:val="0"/>
        <w:numPr>
          <w:ilvl w:val="0"/>
          <w:numId w:val="2"/>
        </w:numPr>
        <w:pBdr/>
        <w:spacing w:after="160" w:before="0" w:line="259"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Realice el circuito equivalente de thévenin y mida el voltaje en V en la RL, para los valores de RL de la siguiente tabla: </w:t>
      </w:r>
    </w:p>
    <w:tbl>
      <w:tblPr>
        <w:tblStyle w:val="Table2"/>
        <w:bidiVisual w:val="0"/>
        <w:tblW w:w="5814.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424"/>
        <w:gridCol w:w="1565"/>
        <w:gridCol w:w="1449"/>
        <w:gridCol w:w="1376"/>
        <w:tblGridChange w:id="0">
          <w:tblGrid>
            <w:gridCol w:w="1424"/>
            <w:gridCol w:w="1565"/>
            <w:gridCol w:w="1449"/>
            <w:gridCol w:w="137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b w:val="1"/>
                <w:sz w:val="24"/>
                <w:szCs w:val="24"/>
                <w:vertAlign w:val="subscript"/>
                <w:rtl w:val="0"/>
              </w:rPr>
              <w:t xml:space="preserve">L</w:t>
            </w:r>
            <w:r w:rsidDel="00000000" w:rsidR="00000000" w:rsidRPr="00000000">
              <w:rPr>
                <w:rtl w:val="0"/>
              </w:rPr>
            </w:r>
          </w:p>
        </w:tc>
        <w:tc>
          <w:tcPr>
            <w:gridSpan w:val="2"/>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w:t>
            </w:r>
            <w:r w:rsidDel="00000000" w:rsidR="00000000" w:rsidRPr="00000000">
              <w:rPr>
                <w:rFonts w:ascii="Arial" w:cs="Arial" w:eastAsia="Arial" w:hAnsi="Arial"/>
                <w:b w:val="1"/>
                <w:sz w:val="24"/>
                <w:szCs w:val="24"/>
                <w:vertAlign w:val="subscript"/>
                <w:rtl w:val="0"/>
              </w:rPr>
              <w:t xml:space="preserve">RL</w:t>
            </w:r>
            <w:r w:rsidDel="00000000" w:rsidR="00000000" w:rsidRPr="00000000">
              <w:rPr>
                <w:rtl w:val="0"/>
              </w:rPr>
            </w:r>
          </w:p>
        </w:tc>
      </w:tr>
      <w:tr>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Teórico</w:t>
            </w:r>
          </w:p>
        </w:tc>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Medido</w:t>
            </w:r>
          </w:p>
        </w:tc>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Teórico</w:t>
            </w:r>
          </w:p>
        </w:tc>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Medido</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59" w:lineRule="auto"/>
        <w:ind w:left="144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59"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Grafique el comportamiento de la tensión en R</w:t>
      </w:r>
      <w:r w:rsidDel="00000000" w:rsidR="00000000" w:rsidRPr="00000000">
        <w:rPr>
          <w:rFonts w:ascii="Arial" w:cs="Arial" w:eastAsia="Arial" w:hAnsi="Arial"/>
          <w:b w:val="0"/>
          <w:i w:val="0"/>
          <w:smallCaps w:val="0"/>
          <w:strike w:val="0"/>
          <w:color w:val="000000"/>
          <w:sz w:val="24"/>
          <w:szCs w:val="24"/>
          <w:u w:val="none"/>
          <w:vertAlign w:val="subscript"/>
          <w:rtl w:val="0"/>
        </w:rPr>
        <w:t xml:space="preserv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en los valores de resistencia 50Ω, 1kΩ 100KΩ.</w:t>
      </w:r>
    </w:p>
    <w:p w:rsidR="00000000" w:rsidDel="00000000" w:rsidP="00000000" w:rsidRDefault="00000000" w:rsidRPr="00000000">
      <w:pPr>
        <w:keepNext w:val="0"/>
        <w:keepLines w:val="0"/>
        <w:widowControl w:val="0"/>
        <w:numPr>
          <w:ilvl w:val="0"/>
          <w:numId w:val="2"/>
        </w:numPr>
        <w:pBdr/>
        <w:spacing w:after="0" w:before="0" w:line="259"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Realice los cálculos matemáticos. </w:t>
      </w:r>
    </w:p>
    <w:p w:rsidR="00000000" w:rsidDel="00000000" w:rsidP="00000000" w:rsidRDefault="00000000" w:rsidRPr="00000000">
      <w:pPr>
        <w:keepNext w:val="0"/>
        <w:keepLines w:val="0"/>
        <w:widowControl w:val="0"/>
        <w:pBdr/>
        <w:spacing w:after="0" w:before="0" w:line="276" w:lineRule="auto"/>
        <w:ind w:left="144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acuerdo con el circuito equivalente de Thévenin con la R</w:t>
      </w:r>
      <w:r w:rsidDel="00000000" w:rsidR="00000000" w:rsidRPr="00000000">
        <w:rPr>
          <w:rFonts w:ascii="Arial" w:cs="Arial" w:eastAsia="Arial" w:hAnsi="Arial"/>
          <w:b w:val="0"/>
          <w:i w:val="0"/>
          <w:smallCaps w:val="0"/>
          <w:strike w:val="0"/>
          <w:color w:val="000000"/>
          <w:sz w:val="24"/>
          <w:szCs w:val="24"/>
          <w:u w:val="none"/>
          <w:vertAlign w:val="subscript"/>
          <w:rtl w:val="0"/>
        </w:rPr>
        <w:t xml:space="preserv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de 560Ω, obtenga un circuito equivalente de Norton.</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Elabore el siguiente circuito de la figura #2 respecto a la siguiente tabla: </w:t>
      </w:r>
    </w:p>
    <w:tbl>
      <w:tblPr>
        <w:tblStyle w:val="Table3"/>
        <w:bidiVisual w:val="0"/>
        <w:tblW w:w="4390.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63"/>
        <w:gridCol w:w="2127"/>
        <w:tblGridChange w:id="0">
          <w:tblGrid>
            <w:gridCol w:w="2263"/>
            <w:gridCol w:w="2127"/>
          </w:tblGrid>
        </w:tblGridChange>
      </w:tblGrid>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Variables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Generador CA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Vpp / 60 Hz</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1</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 Ω</w:t>
            </w:r>
          </w:p>
        </w:tc>
      </w:tr>
      <w:tr>
        <w:trPr>
          <w:trHeight w:val="18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sz w:val="24"/>
                <w:szCs w:val="24"/>
                <w:vertAlign w:val="subscript"/>
                <w:rtl w:val="0"/>
              </w:rPr>
              <w:t xml:space="preserve">1</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w:t>
            </w:r>
          </w:p>
        </w:tc>
      </w:tr>
    </w:tbl>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2992755</wp:posOffset>
            </wp:positionH>
            <wp:positionV relativeFrom="paragraph">
              <wp:posOffset>92710</wp:posOffset>
            </wp:positionV>
            <wp:extent cx="2619375" cy="1345436"/>
            <wp:effectExtent b="0" l="0" r="0" t="0"/>
            <wp:wrapNone/>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9375" cy="1345436"/>
                    </a:xfrm>
                    <a:prstGeom prst="rect"/>
                    <a:ln/>
                  </pic:spPr>
                </pic:pic>
              </a:graphicData>
            </a:graphic>
          </wp:anchor>
        </w:drawing>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60" w:before="0" w:line="259" w:lineRule="auto"/>
        <w:ind w:left="108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Para lo cual se le solicita que realice el análisis por medio del método de Thévenin, igual que en el circuito anterior, monte el circuito equivalente de Thévenin y mida para los siguientes valores de RL.</w:t>
      </w:r>
    </w:p>
    <w:tbl>
      <w:tblPr>
        <w:tblStyle w:val="Table4"/>
        <w:bidiVisual w:val="0"/>
        <w:tblW w:w="5814.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424"/>
        <w:gridCol w:w="1565"/>
        <w:gridCol w:w="1449"/>
        <w:gridCol w:w="1376"/>
        <w:tblGridChange w:id="0">
          <w:tblGrid>
            <w:gridCol w:w="1424"/>
            <w:gridCol w:w="1565"/>
            <w:gridCol w:w="1449"/>
            <w:gridCol w:w="1376"/>
          </w:tblGrid>
        </w:tblGridChange>
      </w:tblGrid>
      <w:tr>
        <w:tc>
          <w:tcPr>
            <w:gridSpan w:val="2"/>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b w:val="1"/>
                <w:sz w:val="24"/>
                <w:szCs w:val="24"/>
                <w:vertAlign w:val="subscript"/>
                <w:rtl w:val="0"/>
              </w:rPr>
              <w:t xml:space="preserve">L</w:t>
            </w:r>
            <w:r w:rsidDel="00000000" w:rsidR="00000000" w:rsidRPr="00000000">
              <w:rPr>
                <w:rtl w:val="0"/>
              </w:rPr>
            </w:r>
          </w:p>
        </w:tc>
        <w:tc>
          <w:tcPr>
            <w:gridSpan w:val="2"/>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w:t>
            </w:r>
            <w:r w:rsidDel="00000000" w:rsidR="00000000" w:rsidRPr="00000000">
              <w:rPr>
                <w:rFonts w:ascii="Arial" w:cs="Arial" w:eastAsia="Arial" w:hAnsi="Arial"/>
                <w:b w:val="1"/>
                <w:sz w:val="24"/>
                <w:szCs w:val="24"/>
                <w:vertAlign w:val="subscript"/>
                <w:rtl w:val="0"/>
              </w:rPr>
              <w:t xml:space="preserve">RL</w:t>
            </w:r>
            <w:r w:rsidDel="00000000" w:rsidR="00000000" w:rsidRPr="00000000">
              <w:rPr>
                <w:rtl w:val="0"/>
              </w:rPr>
            </w:r>
          </w:p>
        </w:tc>
      </w:tr>
      <w:tr>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Teórico</w:t>
            </w:r>
          </w:p>
        </w:tc>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Medido</w:t>
            </w:r>
          </w:p>
        </w:tc>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Teórico</w:t>
            </w:r>
          </w:p>
        </w:tc>
        <w:tc>
          <w:tcPr>
            <w:vAlign w:val="center"/>
          </w:tcPr>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Medido</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50Ω</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108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108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Grafique el comportamiento de la tensión en R</w:t>
      </w:r>
      <w:r w:rsidDel="00000000" w:rsidR="00000000" w:rsidRPr="00000000">
        <w:rPr>
          <w:rFonts w:ascii="Arial" w:cs="Arial" w:eastAsia="Arial" w:hAnsi="Arial"/>
          <w:b w:val="0"/>
          <w:i w:val="0"/>
          <w:smallCaps w:val="0"/>
          <w:strike w:val="0"/>
          <w:color w:val="000000"/>
          <w:sz w:val="24"/>
          <w:szCs w:val="24"/>
          <w:u w:val="none"/>
          <w:vertAlign w:val="subscript"/>
          <w:rtl w:val="0"/>
        </w:rPr>
        <w:t xml:space="preserv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en los valores de resistencia 50Ω, 1kΩ 100KΩ.</w:t>
      </w:r>
    </w:p>
    <w:p w:rsidR="00000000" w:rsidDel="00000000" w:rsidP="00000000" w:rsidRDefault="00000000" w:rsidRPr="00000000">
      <w:pPr>
        <w:keepNext w:val="0"/>
        <w:keepLines w:val="0"/>
        <w:widowControl w:val="0"/>
        <w:numPr>
          <w:ilvl w:val="0"/>
          <w:numId w:val="3"/>
        </w:numPr>
        <w:pBdr/>
        <w:spacing w:after="0" w:before="0" w:line="259" w:lineRule="auto"/>
        <w:ind w:left="108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Realice los cálculos matemáticos. </w:t>
      </w:r>
    </w:p>
    <w:p w:rsidR="00000000" w:rsidDel="00000000" w:rsidP="00000000" w:rsidRDefault="00000000" w:rsidRPr="00000000">
      <w:pPr>
        <w:keepNext w:val="0"/>
        <w:keepLines w:val="0"/>
        <w:widowControl w:val="0"/>
        <w:pBdr/>
        <w:spacing w:after="0" w:before="0" w:line="259" w:lineRule="auto"/>
        <w:ind w:left="108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 acuerdo con el circuito equivalente de Thévenin con la RL de 2.2kΩ, obtenga un circuito Norton, móntelo en el simulador y mida la I de Norton.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sectPr>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00" w:before="0" w:line="360" w:lineRule="auto"/>
      <w:ind w:left="720" w:right="0" w:hanging="360"/>
      <w:jc w:val="left"/>
    </w:pPr>
    <w:rPr>
      <w:rFonts w:ascii="Arial" w:cs="Arial" w:eastAsia="Arial" w:hAnsi="Arial"/>
      <w:b w:val="1"/>
      <w:i w:val="1"/>
      <w:smallCaps w:val="0"/>
      <w:strike w:val="0"/>
      <w:color w:val="000000"/>
      <w:sz w:val="24"/>
      <w:szCs w:val="24"/>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1"/>
      <w:smallCaps w:val="0"/>
      <w:strike w:val="0"/>
      <w:color w:val="366091"/>
      <w:sz w:val="22"/>
      <w:szCs w:val="22"/>
      <w:u w:val="none"/>
      <w:vertAlign w:val="baseline"/>
    </w:rPr>
  </w:style>
  <w:style w:type="paragraph" w:styleId="Heading5">
    <w:name w:val="heading 5"/>
    <w:basedOn w:val="Normal"/>
    <w:next w:val="Normal"/>
    <w:pPr>
      <w:keepNext w:val="1"/>
      <w:keepLines w:val="1"/>
      <w:widowControl w:val="0"/>
      <w:pBdr/>
      <w:spacing w:after="0" w:before="200" w:line="276" w:lineRule="auto"/>
      <w:ind w:left="0" w:right="0" w:firstLine="0"/>
      <w:jc w:val="left"/>
    </w:pPr>
    <w:rPr>
      <w:rFonts w:ascii="Cambria" w:cs="Cambria" w:eastAsia="Cambria" w:hAnsi="Cambria"/>
      <w:b w:val="0"/>
      <w:i w:val="0"/>
      <w:smallCaps w:val="0"/>
      <w:strike w:val="0"/>
      <w:color w:val="243f61"/>
      <w:sz w:val="22"/>
      <w:szCs w:val="22"/>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rsid w:val="00F35D3B"/>
  </w:style>
  <w:style w:type="paragraph" w:styleId="Ttulo1">
    <w:name w:val="heading 1"/>
    <w:basedOn w:val="Normal"/>
    <w:next w:val="Normal"/>
    <w:link w:val="Ttulo1Car"/>
    <w:uiPriority w:val="9"/>
    <w:qFormat w:val="1"/>
    <w:rsid w:val="000634FB"/>
    <w:pPr>
      <w:keepNext w:val="1"/>
      <w:keepLines w:val="1"/>
      <w:numPr>
        <w:numId w:val="1"/>
      </w:numPr>
      <w:spacing w:line="360" w:lineRule="auto"/>
      <w:outlineLvl w:val="0"/>
    </w:pPr>
    <w:rPr>
      <w:rFonts w:ascii="Arial" w:hAnsi="Arial" w:cstheme="majorBidi" w:eastAsiaTheme="majorEastAsia"/>
      <w:b w:val="1"/>
      <w:bCs w:val="1"/>
      <w:i w:val="1"/>
      <w:sz w:val="24"/>
      <w:szCs w:val="28"/>
    </w:rPr>
  </w:style>
  <w:style w:type="paragraph" w:styleId="Ttulo2">
    <w:name w:val="heading 2"/>
    <w:basedOn w:val="Normal"/>
    <w:next w:val="Normal"/>
    <w:link w:val="Ttulo2Car"/>
    <w:uiPriority w:val="9"/>
    <w:unhideWhenUsed w:val="1"/>
    <w:qFormat w:val="1"/>
    <w:rsid w:val="002D594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844CF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CA4839"/>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ar"/>
    <w:uiPriority w:val="9"/>
    <w:semiHidden w:val="1"/>
    <w:unhideWhenUsed w:val="1"/>
    <w:qFormat w:val="1"/>
    <w:rsid w:val="00844CFB"/>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8">
    <w:name w:val="heading 8"/>
    <w:basedOn w:val="Normal"/>
    <w:next w:val="Normal"/>
    <w:link w:val="Ttulo8Car"/>
    <w:uiPriority w:val="9"/>
    <w:semiHidden w:val="1"/>
    <w:unhideWhenUsed w:val="1"/>
    <w:qFormat w:val="1"/>
    <w:rsid w:val="00F57035"/>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8A5B8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8A5B87"/>
  </w:style>
  <w:style w:type="paragraph" w:styleId="Piedepgina">
    <w:name w:val="footer"/>
    <w:basedOn w:val="Normal"/>
    <w:link w:val="PiedepginaCar"/>
    <w:uiPriority w:val="99"/>
    <w:unhideWhenUsed w:val="1"/>
    <w:rsid w:val="008A5B8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A5B87"/>
  </w:style>
  <w:style w:type="paragraph" w:styleId="Prrafodelista">
    <w:name w:val="List Paragraph"/>
    <w:basedOn w:val="Normal"/>
    <w:uiPriority w:val="34"/>
    <w:qFormat w:val="1"/>
    <w:rsid w:val="008A5B87"/>
    <w:pPr>
      <w:ind w:left="720"/>
      <w:contextualSpacing w:val="1"/>
    </w:pPr>
  </w:style>
  <w:style w:type="character" w:styleId="Hipervnculo">
    <w:name w:val="Hyperlink"/>
    <w:basedOn w:val="Fuentedeprrafopredeter"/>
    <w:uiPriority w:val="99"/>
    <w:unhideWhenUsed w:val="1"/>
    <w:rsid w:val="00356633"/>
    <w:rPr>
      <w:color w:val="0000ff" w:themeColor="hyperlink"/>
      <w:u w:val="single"/>
    </w:rPr>
  </w:style>
  <w:style w:type="paragraph" w:styleId="NormalWeb">
    <w:name w:val="Normal (Web)"/>
    <w:basedOn w:val="Normal"/>
    <w:uiPriority w:val="99"/>
    <w:unhideWhenUsed w:val="1"/>
    <w:rsid w:val="008526EC"/>
    <w:pPr>
      <w:spacing w:after="100" w:afterAutospacing="1" w:before="100" w:beforeAutospacing="1" w:line="240" w:lineRule="auto"/>
    </w:pPr>
    <w:rPr>
      <w:rFonts w:ascii="Times New Roman" w:cs="Times New Roman" w:eastAsia="Times New Roman" w:hAnsi="Times New Roman"/>
      <w:sz w:val="24"/>
      <w:szCs w:val="24"/>
      <w:lang w:eastAsia="es-CR"/>
    </w:rPr>
  </w:style>
  <w:style w:type="character" w:styleId="Textoennegrita">
    <w:name w:val="Strong"/>
    <w:basedOn w:val="Fuentedeprrafopredeter"/>
    <w:uiPriority w:val="22"/>
    <w:qFormat w:val="1"/>
    <w:rsid w:val="008526EC"/>
    <w:rPr>
      <w:b w:val="1"/>
      <w:bCs w:val="1"/>
    </w:rPr>
  </w:style>
  <w:style w:type="table" w:styleId="Tablaconcuadrcula">
    <w:name w:val="Table Grid"/>
    <w:basedOn w:val="Tablanormal"/>
    <w:uiPriority w:val="39"/>
    <w:rsid w:val="00F233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visitado">
    <w:name w:val="FollowedHyperlink"/>
    <w:basedOn w:val="Fuentedeprrafopredeter"/>
    <w:uiPriority w:val="99"/>
    <w:semiHidden w:val="1"/>
    <w:unhideWhenUsed w:val="1"/>
    <w:rsid w:val="00B72B67"/>
    <w:rPr>
      <w:color w:val="800080" w:themeColor="followedHyperlink"/>
      <w:u w:val="single"/>
    </w:rPr>
  </w:style>
  <w:style w:type="character" w:styleId="Ttulo1Car" w:customStyle="1">
    <w:name w:val="Título 1 Car"/>
    <w:basedOn w:val="Fuentedeprrafopredeter"/>
    <w:link w:val="Ttulo1"/>
    <w:uiPriority w:val="9"/>
    <w:rsid w:val="000634FB"/>
    <w:rPr>
      <w:rFonts w:ascii="Arial" w:hAnsi="Arial" w:cstheme="majorBidi" w:eastAsiaTheme="majorEastAsia"/>
      <w:b w:val="1"/>
      <w:bCs w:val="1"/>
      <w:i w:val="1"/>
      <w:sz w:val="24"/>
      <w:szCs w:val="28"/>
    </w:rPr>
  </w:style>
  <w:style w:type="paragraph" w:styleId="TtulodeTDC">
    <w:name w:val="TOC Heading"/>
    <w:basedOn w:val="Ttulo1"/>
    <w:next w:val="Normal"/>
    <w:uiPriority w:val="39"/>
    <w:semiHidden w:val="1"/>
    <w:unhideWhenUsed w:val="1"/>
    <w:qFormat w:val="1"/>
    <w:rsid w:val="0041068C"/>
    <w:pPr>
      <w:numPr>
        <w:numId w:val="0"/>
      </w:numPr>
      <w:spacing w:after="0" w:before="480" w:line="276" w:lineRule="auto"/>
      <w:outlineLvl w:val="9"/>
    </w:pPr>
    <w:rPr>
      <w:rFonts w:asciiTheme="majorHAnsi" w:hAnsiTheme="majorHAnsi"/>
      <w:i w:val="0"/>
      <w:color w:val="365f91" w:themeColor="accent1" w:themeShade="0000BF"/>
      <w:sz w:val="28"/>
      <w:lang w:val="es-ES"/>
    </w:rPr>
  </w:style>
  <w:style w:type="paragraph" w:styleId="TDC1">
    <w:name w:val="toc 1"/>
    <w:basedOn w:val="Normal"/>
    <w:next w:val="Normal"/>
    <w:autoRedefine w:val="1"/>
    <w:uiPriority w:val="39"/>
    <w:unhideWhenUsed w:val="1"/>
    <w:rsid w:val="0041068C"/>
    <w:pPr>
      <w:spacing w:after="100"/>
    </w:pPr>
  </w:style>
  <w:style w:type="paragraph" w:styleId="Textodeglobo">
    <w:name w:val="Balloon Text"/>
    <w:basedOn w:val="Normal"/>
    <w:link w:val="TextodegloboCar"/>
    <w:uiPriority w:val="99"/>
    <w:semiHidden w:val="1"/>
    <w:unhideWhenUsed w:val="1"/>
    <w:rsid w:val="0041068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1068C"/>
    <w:rPr>
      <w:rFonts w:ascii="Tahoma" w:cs="Tahoma" w:hAnsi="Tahoma"/>
      <w:sz w:val="16"/>
      <w:szCs w:val="16"/>
    </w:rPr>
  </w:style>
  <w:style w:type="paragraph" w:styleId="A" w:customStyle="1">
    <w:name w:val="A"/>
    <w:basedOn w:val="Normal"/>
    <w:rsid w:val="00F65D3B"/>
    <w:pPr>
      <w:keepNext w:val="1"/>
      <w:spacing w:after="0" w:line="360" w:lineRule="auto"/>
    </w:pPr>
    <w:rPr>
      <w:rFonts w:ascii="Tahoma" w:cs="Tahoma" w:eastAsia="Times New Roman" w:hAnsi="Tahoma"/>
      <w:b w:val="1"/>
      <w:sz w:val="24"/>
      <w:szCs w:val="24"/>
      <w:lang w:eastAsia="ar-SA" w:val="es-MX"/>
    </w:rPr>
  </w:style>
  <w:style w:type="character" w:styleId="Ttulo2Car" w:customStyle="1">
    <w:name w:val="Título 2 Car"/>
    <w:basedOn w:val="Fuentedeprrafopredeter"/>
    <w:link w:val="Ttulo2"/>
    <w:uiPriority w:val="9"/>
    <w:rsid w:val="002D5941"/>
    <w:rPr>
      <w:rFonts w:asciiTheme="majorHAnsi" w:cstheme="majorBidi" w:eastAsiaTheme="majorEastAsia" w:hAnsiTheme="majorHAnsi"/>
      <w:b w:val="1"/>
      <w:bCs w:val="1"/>
      <w:color w:val="4f81bd" w:themeColor="accent1"/>
      <w:sz w:val="26"/>
      <w:szCs w:val="26"/>
    </w:rPr>
  </w:style>
  <w:style w:type="paragraph" w:styleId="Textoindependiente">
    <w:name w:val="Body Text"/>
    <w:basedOn w:val="Normal"/>
    <w:link w:val="TextoindependienteCar"/>
    <w:rsid w:val="002D5941"/>
    <w:pPr>
      <w:spacing w:after="0" w:line="240" w:lineRule="auto"/>
      <w:jc w:val="both"/>
    </w:pPr>
    <w:rPr>
      <w:rFonts w:ascii="Times New Roman" w:cs="Times New Roman" w:eastAsia="Times New Roman" w:hAnsi="Times New Roman"/>
      <w:sz w:val="20"/>
      <w:szCs w:val="20"/>
      <w:lang w:eastAsia="es-ES" w:val="es-MX"/>
    </w:rPr>
  </w:style>
  <w:style w:type="character" w:styleId="TextoindependienteCar" w:customStyle="1">
    <w:name w:val="Texto independiente Car"/>
    <w:basedOn w:val="Fuentedeprrafopredeter"/>
    <w:link w:val="Textoindependiente"/>
    <w:rsid w:val="002D5941"/>
    <w:rPr>
      <w:rFonts w:ascii="Times New Roman" w:cs="Times New Roman" w:eastAsia="Times New Roman" w:hAnsi="Times New Roman"/>
      <w:sz w:val="20"/>
      <w:szCs w:val="20"/>
      <w:lang w:eastAsia="es-ES" w:val="es-MX"/>
    </w:rPr>
  </w:style>
  <w:style w:type="paragraph" w:styleId="Sangradetextonormal">
    <w:name w:val="Body Text Indent"/>
    <w:basedOn w:val="Normal"/>
    <w:link w:val="SangradetextonormalCar"/>
    <w:rsid w:val="002D5941"/>
    <w:pPr>
      <w:spacing w:after="0" w:line="240" w:lineRule="auto"/>
      <w:ind w:firstLine="708"/>
      <w:jc w:val="both"/>
    </w:pPr>
    <w:rPr>
      <w:rFonts w:ascii="Times New Roman" w:cs="Times New Roman" w:eastAsia="Times New Roman" w:hAnsi="Times New Roman"/>
      <w:szCs w:val="20"/>
      <w:lang w:eastAsia="es-ES" w:val="es-MX"/>
    </w:rPr>
  </w:style>
  <w:style w:type="character" w:styleId="SangradetextonormalCar" w:customStyle="1">
    <w:name w:val="Sangría de texto normal Car"/>
    <w:basedOn w:val="Fuentedeprrafopredeter"/>
    <w:link w:val="Sangradetextonormal"/>
    <w:rsid w:val="002D5941"/>
    <w:rPr>
      <w:rFonts w:ascii="Times New Roman" w:cs="Times New Roman" w:eastAsia="Times New Roman" w:hAnsi="Times New Roman"/>
      <w:szCs w:val="20"/>
      <w:lang w:eastAsia="es-ES" w:val="es-MX"/>
    </w:rPr>
  </w:style>
  <w:style w:type="character" w:styleId="Ttulo3Car" w:customStyle="1">
    <w:name w:val="Título 3 Car"/>
    <w:basedOn w:val="Fuentedeprrafopredeter"/>
    <w:link w:val="Ttulo3"/>
    <w:uiPriority w:val="9"/>
    <w:rsid w:val="00844CFB"/>
    <w:rPr>
      <w:rFonts w:asciiTheme="majorHAnsi" w:cstheme="majorBidi" w:eastAsiaTheme="majorEastAsia" w:hAnsiTheme="majorHAnsi"/>
      <w:b w:val="1"/>
      <w:bCs w:val="1"/>
      <w:color w:val="4f81bd" w:themeColor="accent1"/>
    </w:rPr>
  </w:style>
  <w:style w:type="character" w:styleId="Ttulo5Car" w:customStyle="1">
    <w:name w:val="Título 5 Car"/>
    <w:basedOn w:val="Fuentedeprrafopredeter"/>
    <w:link w:val="Ttulo5"/>
    <w:uiPriority w:val="9"/>
    <w:semiHidden w:val="1"/>
    <w:rsid w:val="00844CFB"/>
    <w:rPr>
      <w:rFonts w:asciiTheme="majorHAnsi" w:cstheme="majorBidi" w:eastAsiaTheme="majorEastAsia" w:hAnsiTheme="majorHAnsi"/>
      <w:color w:val="243f60" w:themeColor="accent1" w:themeShade="00007F"/>
    </w:rPr>
  </w:style>
  <w:style w:type="paragraph" w:styleId="TDC2">
    <w:name w:val="toc 2"/>
    <w:basedOn w:val="Normal"/>
    <w:next w:val="Normal"/>
    <w:autoRedefine w:val="1"/>
    <w:uiPriority w:val="39"/>
    <w:unhideWhenUsed w:val="1"/>
    <w:rsid w:val="00D77168"/>
    <w:pPr>
      <w:spacing w:after="100"/>
      <w:ind w:left="220"/>
    </w:pPr>
  </w:style>
  <w:style w:type="paragraph" w:styleId="TDC3">
    <w:name w:val="toc 3"/>
    <w:basedOn w:val="Normal"/>
    <w:next w:val="Normal"/>
    <w:autoRedefine w:val="1"/>
    <w:uiPriority w:val="39"/>
    <w:unhideWhenUsed w:val="1"/>
    <w:rsid w:val="00D77168"/>
    <w:pPr>
      <w:spacing w:after="100"/>
      <w:ind w:left="440"/>
    </w:pPr>
  </w:style>
  <w:style w:type="character" w:styleId="Ttulo8Car" w:customStyle="1">
    <w:name w:val="Título 8 Car"/>
    <w:basedOn w:val="Fuentedeprrafopredeter"/>
    <w:link w:val="Ttulo8"/>
    <w:uiPriority w:val="9"/>
    <w:semiHidden w:val="1"/>
    <w:rsid w:val="00F57035"/>
    <w:rPr>
      <w:rFonts w:asciiTheme="majorHAnsi" w:cstheme="majorBidi" w:eastAsiaTheme="majorEastAsia" w:hAnsiTheme="majorHAnsi"/>
      <w:color w:val="404040" w:themeColor="text1" w:themeTint="0000BF"/>
      <w:sz w:val="20"/>
      <w:szCs w:val="20"/>
    </w:rPr>
  </w:style>
  <w:style w:type="character" w:styleId="Textodelmarcadordeposicin">
    <w:name w:val="Placeholder Text"/>
    <w:basedOn w:val="Fuentedeprrafopredeter"/>
    <w:uiPriority w:val="99"/>
    <w:semiHidden w:val="1"/>
    <w:rsid w:val="00A91348"/>
    <w:rPr>
      <w:color w:val="808080"/>
    </w:rPr>
  </w:style>
  <w:style w:type="paragraph" w:styleId="NormalEn" w:customStyle="1">
    <w:name w:val="NormalEn"/>
    <w:rsid w:val="00D50C88"/>
    <w:pPr>
      <w:spacing w:after="0" w:line="240" w:lineRule="auto"/>
      <w:jc w:val="both"/>
    </w:pPr>
    <w:rPr>
      <w:rFonts w:ascii="Times New Roman" w:cs="Times New Roman" w:eastAsia="SimSun" w:hAnsi="Times New Roman"/>
      <w:sz w:val="28"/>
      <w:szCs w:val="28"/>
      <w:lang w:bidi="he-IL" w:val="en-US"/>
    </w:rPr>
  </w:style>
  <w:style w:type="paragraph" w:styleId="Textoindependiente2">
    <w:name w:val="Body Text 2"/>
    <w:basedOn w:val="Normal"/>
    <w:link w:val="Textoindependiente2Car"/>
    <w:uiPriority w:val="99"/>
    <w:semiHidden w:val="1"/>
    <w:unhideWhenUsed w:val="1"/>
    <w:rsid w:val="005922C8"/>
    <w:pPr>
      <w:spacing w:after="120" w:line="480" w:lineRule="auto"/>
    </w:pPr>
  </w:style>
  <w:style w:type="character" w:styleId="Textoindependiente2Car" w:customStyle="1">
    <w:name w:val="Texto independiente 2 Car"/>
    <w:basedOn w:val="Fuentedeprrafopredeter"/>
    <w:link w:val="Textoindependiente2"/>
    <w:uiPriority w:val="99"/>
    <w:semiHidden w:val="1"/>
    <w:rsid w:val="005922C8"/>
  </w:style>
  <w:style w:type="character" w:styleId="Ttulo4Car" w:customStyle="1">
    <w:name w:val="Título 4 Car"/>
    <w:basedOn w:val="Fuentedeprrafopredeter"/>
    <w:link w:val="Ttulo4"/>
    <w:uiPriority w:val="9"/>
    <w:semiHidden w:val="1"/>
    <w:rsid w:val="00CA4839"/>
    <w:rPr>
      <w:rFonts w:asciiTheme="majorHAnsi" w:cstheme="majorBidi" w:eastAsiaTheme="majorEastAsia" w:hAnsiTheme="majorHAnsi"/>
      <w:i w:val="1"/>
      <w:iCs w:val="1"/>
      <w:color w:val="365f91" w:themeColor="accent1" w:themeShade="0000BF"/>
    </w:rPr>
  </w:style>
  <w:style w:type="table" w:styleId="Tabladecuadrcula2-nfasis3">
    <w:name w:val="Grid Table 2 Accent 3"/>
    <w:basedOn w:val="Tablanormal"/>
    <w:uiPriority w:val="47"/>
    <w:rsid w:val="00CA4839"/>
    <w:pPr>
      <w:spacing w:after="0" w:line="240" w:lineRule="auto"/>
    </w:pPr>
    <w:rPr>
      <w:rFonts w:ascii="Calibri" w:cs="Calibri" w:eastAsia="Calibri" w:hAnsi="Calibri"/>
      <w:lang w:eastAsia="es-CR" w:val="es"/>
    </w:rPr>
    <w:tblPr>
      <w:tblStyleRowBandSize w:val="1"/>
      <w:tblStyleColBandSize w:val="1"/>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Pr>
    <w:tblStylePr w:type="firstRow">
      <w:rPr>
        <w:b w:val="1"/>
        <w:bCs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Tabladecuadrcula5oscura-nfasis5">
    <w:name w:val="Grid Table 5 Dark Accent 5"/>
    <w:basedOn w:val="Tablanormal"/>
    <w:uiPriority w:val="50"/>
    <w:rsid w:val="005D59BD"/>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rFonts w:ascii="Calibri" w:cs="Calibri" w:eastAsia="Calibri" w:hAnsi="Calibri"/>
    </w:rPr>
    <w:tblPr>
      <w:tblStyleRowBandSize w:val="1"/>
      <w:tblStyleColBandSize w:val="1"/>
      <w:tblCellMar>
        <w:top w:w="0.0" w:type="dxa"/>
        <w:left w:w="115.0" w:type="dxa"/>
        <w:bottom w:w="0.0" w:type="dxa"/>
        <w:right w:w="115.0" w:type="dxa"/>
      </w:tblCellMar>
    </w:tblPr>
    <w:tcPr>
      <w:shd w:fill="dbeef3"/>
    </w:tc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top w:color="000000" w:space="0" w:sz="0" w:val="nil"/>
          <w:bottom w:color="c2d69b" w:space="0" w:sz="12" w:val="single"/>
          <w:insideH w:color="000000" w:space="0" w:sz="0" w:val="nil"/>
          <w:insideV w:color="000000" w:space="0" w:sz="0" w:val="nil"/>
        </w:tcBorders>
        <w:shd w:fill="ffffff"/>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c2d69b" w:space="0" w:sz="4" w:val="single"/>
          <w:bottom w:color="000000" w:space="0" w:sz="0" w:val="nil"/>
          <w:insideH w:color="000000" w:space="0" w:sz="0" w:val="nil"/>
          <w:insideV w:color="000000" w:space="0" w:sz="0" w:val="nil"/>
        </w:tcBorders>
        <w:shd w:fill="ffffff"/>
        <w:tcMar>
          <w:left w:w="115.0" w:type="dxa"/>
          <w:right w:w="115.0" w:type="dxa"/>
        </w:tcMar>
      </w:tcPr>
    </w:tblStylePr>
    <w:tblStylePr w:type="neCell"/>
    <w:tblStylePr w:type="nwCell"/>
    <w:tblStylePr w:type="seCell"/>
    <w:tblStylePr w:type="swCell"/>
  </w:style>
  <w:style w:type="table" w:styleId="Table2">
    <w:basedOn w:val="TableNormal"/>
    <w:pPr>
      <w:pBdr/>
      <w:spacing w:after="0" w:line="240" w:lineRule="auto"/>
      <w:contextualSpacing w:val="1"/>
    </w:pPr>
    <w:rPr>
      <w:rFonts w:ascii="Calibri" w:cs="Calibri" w:eastAsia="Calibri" w:hAnsi="Calibri"/>
    </w:rPr>
    <w:tblPr>
      <w:tblStyleRowBandSize w:val="1"/>
      <w:tblStyleColBandSize w:val="1"/>
      <w:tblCellMar>
        <w:top w:w="0.0" w:type="dxa"/>
        <w:left w:w="115.0" w:type="dxa"/>
        <w:bottom w:w="0.0" w:type="dxa"/>
        <w:right w:w="115.0" w:type="dxa"/>
      </w:tblCellMar>
    </w:tblPr>
    <w:tcPr>
      <w:shd w:fill="dbee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rFonts w:ascii="Calibri" w:cs="Calibri" w:eastAsia="Calibri" w:hAnsi="Calibri"/>
    </w:rPr>
    <w:tblPr>
      <w:tblStyleRowBandSize w:val="1"/>
      <w:tblStyleColBandSize w:val="1"/>
      <w:tblCellMar>
        <w:top w:w="0.0" w:type="dxa"/>
        <w:left w:w="115.0" w:type="dxa"/>
        <w:bottom w:w="0.0" w:type="dxa"/>
        <w:right w:w="115.0" w:type="dxa"/>
      </w:tblCellMar>
    </w:tblPr>
    <w:tcPr>
      <w:shd w:fill="dbeef3"/>
    </w:tcPr>
    <w:tblStylePr w:type="band1Horz">
      <w:pPr>
        <w:pBdr/>
        <w:contextualSpacing w:val="1"/>
      </w:pPr>
      <w:rPr/>
      <w:tcPr>
        <w:shd w:fill="ebf1dd"/>
        <w:tcMar>
          <w:left w:w="115.0" w:type="dxa"/>
          <w:right w:w="115.0" w:type="dxa"/>
        </w:tcMar>
      </w:tcPr>
    </w:tblStylePr>
    <w:tblStylePr w:type="band1Vert">
      <w:pPr>
        <w:pBdr/>
        <w:contextualSpacing w:val="1"/>
      </w:pPr>
      <w:rPr/>
      <w:tcPr>
        <w:shd w:fill="ebf1dd"/>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top w:color="000000" w:space="0" w:sz="0" w:val="nil"/>
          <w:bottom w:color="c2d69b" w:space="0" w:sz="12" w:val="single"/>
          <w:insideH w:color="000000" w:space="0" w:sz="0" w:val="nil"/>
          <w:insideV w:color="000000" w:space="0" w:sz="0" w:val="nil"/>
        </w:tcBorders>
        <w:shd w:fill="ffffff"/>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c2d69b" w:space="0" w:sz="4" w:val="single"/>
          <w:bottom w:color="000000" w:space="0" w:sz="0" w:val="nil"/>
          <w:insideH w:color="000000" w:space="0" w:sz="0" w:val="nil"/>
          <w:insideV w:color="000000" w:space="0" w:sz="0" w:val="nil"/>
        </w:tcBorders>
        <w:shd w:fill="ffffff"/>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contextualSpacing w:val="1"/>
    </w:pPr>
    <w:rPr>
      <w:rFonts w:ascii="Calibri" w:cs="Calibri" w:eastAsia="Calibri" w:hAnsi="Calibri"/>
    </w:rPr>
    <w:tblPr>
      <w:tblStyleRowBandSize w:val="1"/>
      <w:tblStyleColBandSize w:val="1"/>
      <w:tblCellMar>
        <w:top w:w="0.0" w:type="dxa"/>
        <w:left w:w="115.0" w:type="dxa"/>
        <w:bottom w:w="0.0" w:type="dxa"/>
        <w:right w:w="115.0" w:type="dxa"/>
      </w:tblCellMar>
    </w:tblPr>
    <w:tcPr>
      <w:shd w:fill="dbee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