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DA" w:rsidRDefault="00CE6933">
      <w:r w:rsidRPr="00CE6933">
        <w:t>Quiz#</w:t>
      </w:r>
      <w:r w:rsidR="008B68FB">
        <w:t>3</w:t>
      </w:r>
      <w:r w:rsidRPr="00CE6933"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CE6933">
        <w:t>Laboratorio de Física General I</w:t>
      </w:r>
      <w:r>
        <w:t>I</w:t>
      </w:r>
    </w:p>
    <w:p w:rsidR="00CE6933" w:rsidRDefault="00CE6933">
      <w:pPr>
        <w:pBdr>
          <w:bottom w:val="single" w:sz="12" w:space="1" w:color="auto"/>
        </w:pBdr>
      </w:pPr>
      <w:r>
        <w:t xml:space="preserve">Angie Marchena </w:t>
      </w:r>
      <w:proofErr w:type="spellStart"/>
      <w:r>
        <w:t>Mondell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G07</w:t>
      </w:r>
    </w:p>
    <w:p w:rsidR="00CE6933" w:rsidRDefault="00301F68" w:rsidP="00301F68">
      <m:oMathPara>
        <m:oMath>
          <m:r>
            <w:rPr>
              <w:rFonts w:ascii="Cambria Math" w:hAnsi="Cambria Math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:rsidR="00631F40" w:rsidRDefault="00631F40" w:rsidP="00631F40">
      <w:pPr>
        <w:pStyle w:val="Prrafodelista"/>
        <w:jc w:val="center"/>
      </w:pPr>
    </w:p>
    <w:p w:rsidR="0093115F" w:rsidRDefault="00301F68" w:rsidP="00301F68">
      <w:pPr>
        <w:pStyle w:val="Prrafodelista"/>
        <w:numPr>
          <w:ilvl w:val="0"/>
          <w:numId w:val="1"/>
        </w:numPr>
        <w:jc w:val="both"/>
      </w:pPr>
      <w:r>
        <w:t xml:space="preserve">El periodo de oscilación </w:t>
      </w:r>
      <w:r>
        <w:rPr>
          <w:i/>
          <w:iCs/>
        </w:rPr>
        <w:t>T</w:t>
      </w:r>
      <w:r>
        <w:t xml:space="preserve"> y la </w:t>
      </w:r>
      <w:r w:rsidR="008B68FB">
        <w:t xml:space="preserve">constante del resorte </w:t>
      </w:r>
      <w:r w:rsidR="008B68FB">
        <w:rPr>
          <w:i/>
          <w:iCs/>
        </w:rPr>
        <w:t>k</w:t>
      </w:r>
      <w:r>
        <w:t xml:space="preserve"> son </w:t>
      </w:r>
      <w:r w:rsidR="008B68FB">
        <w:t>inversamente</w:t>
      </w:r>
      <w:r>
        <w:t xml:space="preserve"> proporcionales, por lo que al aumentar </w:t>
      </w:r>
      <w:r w:rsidR="008B68FB">
        <w:rPr>
          <w:i/>
          <w:iCs/>
        </w:rPr>
        <w:t>k</w:t>
      </w:r>
      <w:r>
        <w:t xml:space="preserve"> </w:t>
      </w:r>
      <w:r w:rsidR="008B68FB" w:rsidRPr="008B68FB">
        <w:rPr>
          <w:b/>
          <w:bCs/>
        </w:rPr>
        <w:t>disminuye</w:t>
      </w:r>
      <w:r>
        <w:t xml:space="preserve"> </w:t>
      </w:r>
      <w:r w:rsidRPr="00301F68">
        <w:rPr>
          <w:i/>
          <w:iCs/>
        </w:rPr>
        <w:t>T</w:t>
      </w:r>
      <w:r w:rsidR="000B0E75">
        <w:rPr>
          <w:i/>
          <w:iCs/>
        </w:rPr>
        <w:t xml:space="preserve"> </w:t>
      </w:r>
      <w:r w:rsidR="008B68FB">
        <w:t xml:space="preserve">y lo hace de manera radical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4472C4" w:themeColor="accent1"/>
              </w:rPr>
            </m:ctrlPr>
          </m:radPr>
          <m:deg/>
          <m:e/>
        </m:rad>
      </m:oMath>
      <w:r w:rsidRPr="001977A6">
        <w:rPr>
          <w:color w:val="000000" w:themeColor="text1"/>
        </w:rPr>
        <w:t xml:space="preserve"> </w:t>
      </w:r>
      <w:r w:rsidR="000B0E75" w:rsidRPr="001977A6">
        <w:rPr>
          <w:color w:val="000000" w:themeColor="text1"/>
        </w:rPr>
        <w:t>.</w:t>
      </w:r>
    </w:p>
    <w:p w:rsidR="000B0E75" w:rsidRPr="000B0E75" w:rsidRDefault="000B0E75" w:rsidP="000B0E75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↑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 xml:space="preserve"> ⇒  </m:t>
          </m:r>
          <m:r>
            <w:rPr>
              <w:rFonts w:ascii="Cambria Math" w:hAnsi="Cambria Math"/>
            </w:rPr>
            <m:t>↓</m:t>
          </m:r>
          <m:r>
            <w:rPr>
              <w:rFonts w:ascii="Cambria Math" w:hAnsi="Cambria Math"/>
            </w:rPr>
            <m:t>T</m:t>
          </m:r>
        </m:oMath>
      </m:oMathPara>
    </w:p>
    <w:p w:rsidR="000B0E75" w:rsidRPr="000B0E75" w:rsidRDefault="000B0E75" w:rsidP="000B0E75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↓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 xml:space="preserve">⇒  </m:t>
          </m:r>
          <m:r>
            <w:rPr>
              <w:rFonts w:ascii="Cambria Math" w:hAnsi="Cambria Math"/>
            </w:rPr>
            <m:t>↑</m:t>
          </m:r>
          <m:r>
            <w:rPr>
              <w:rFonts w:ascii="Cambria Math" w:hAnsi="Cambria Math"/>
            </w:rPr>
            <m:t>T</m:t>
          </m:r>
        </m:oMath>
      </m:oMathPara>
    </w:p>
    <w:p w:rsidR="000B0E75" w:rsidRDefault="008B68FB" w:rsidP="00301F68">
      <w:pPr>
        <w:pStyle w:val="Prrafodelista"/>
        <w:numPr>
          <w:ilvl w:val="0"/>
          <w:numId w:val="1"/>
        </w:numPr>
        <w:jc w:val="both"/>
      </w:pPr>
      <w:r>
        <w:t xml:space="preserve">El periodo de oscilación </w:t>
      </w:r>
      <w:r>
        <w:rPr>
          <w:i/>
          <w:iCs/>
        </w:rPr>
        <w:t>T</w:t>
      </w:r>
      <w:r>
        <w:t xml:space="preserve"> y la </w:t>
      </w:r>
      <w:r>
        <w:t>masa</w:t>
      </w:r>
      <w:r>
        <w:t xml:space="preserve"> del resorte </w:t>
      </w:r>
      <w:r>
        <w:rPr>
          <w:i/>
          <w:iCs/>
        </w:rPr>
        <w:t>m</w:t>
      </w:r>
      <w:r>
        <w:t xml:space="preserve"> son </w:t>
      </w:r>
      <w:r>
        <w:t xml:space="preserve">directamente </w:t>
      </w:r>
      <w:r>
        <w:t xml:space="preserve">proporcionales, por lo que al aumentar </w:t>
      </w:r>
      <w:r>
        <w:rPr>
          <w:i/>
          <w:iCs/>
        </w:rPr>
        <w:t>m</w:t>
      </w:r>
      <w:r>
        <w:t xml:space="preserve"> </w:t>
      </w:r>
      <w:r>
        <w:rPr>
          <w:b/>
          <w:bCs/>
        </w:rPr>
        <w:t>aumenta</w:t>
      </w:r>
      <w:r>
        <w:t xml:space="preserve"> </w:t>
      </w:r>
      <w:r w:rsidRPr="00301F68">
        <w:rPr>
          <w:i/>
          <w:iCs/>
        </w:rPr>
        <w:t>T</w:t>
      </w:r>
      <w:r>
        <w:rPr>
          <w:i/>
          <w:iCs/>
        </w:rPr>
        <w:t xml:space="preserve"> </w:t>
      </w:r>
      <w:r>
        <w:t xml:space="preserve">y lo hace de manera radical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4472C4" w:themeColor="accent1"/>
              </w:rPr>
            </m:ctrlPr>
          </m:radPr>
          <m:deg/>
          <m:e/>
        </m:rad>
      </m:oMath>
      <w:r w:rsidR="000B0E75">
        <w:t>.</w:t>
      </w:r>
    </w:p>
    <w:p w:rsidR="008B68FB" w:rsidRPr="008B68FB" w:rsidRDefault="008B68FB" w:rsidP="008B68FB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↑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⇒  ↑T</m:t>
          </m:r>
        </m:oMath>
      </m:oMathPara>
      <w:bookmarkStart w:id="0" w:name="_GoBack"/>
      <w:bookmarkEnd w:id="0"/>
    </w:p>
    <w:p w:rsidR="008B68FB" w:rsidRPr="008B68FB" w:rsidRDefault="008B68FB" w:rsidP="008B68FB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↓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⇒  ↓T</m:t>
          </m:r>
        </m:oMath>
      </m:oMathPara>
    </w:p>
    <w:p w:rsidR="000B0E75" w:rsidRDefault="000B0E75" w:rsidP="000B0E75">
      <w:pPr>
        <w:pStyle w:val="Prrafodelista"/>
        <w:jc w:val="both"/>
      </w:pPr>
    </w:p>
    <w:p w:rsidR="000B0E75" w:rsidRPr="00CE6933" w:rsidRDefault="008B68FB" w:rsidP="00301F68">
      <w:pPr>
        <w:pStyle w:val="Prrafodelista"/>
        <w:numPr>
          <w:ilvl w:val="0"/>
          <w:numId w:val="1"/>
        </w:numPr>
        <w:jc w:val="both"/>
      </w:pPr>
      <w:r>
        <w:t>Como la amplitud del resorte no se ve en la formula del periodo, esta no afecta a este, por lo que si se aumenta la amplitud el periodo permanecerá constante</w:t>
      </w:r>
      <w:r w:rsidR="000B0E75">
        <w:t>.</w:t>
      </w:r>
    </w:p>
    <w:sectPr w:rsidR="000B0E75" w:rsidRPr="00CE6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0722"/>
    <w:multiLevelType w:val="hybridMultilevel"/>
    <w:tmpl w:val="863E7A0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33"/>
    <w:rsid w:val="000B0E75"/>
    <w:rsid w:val="001977A6"/>
    <w:rsid w:val="00301F68"/>
    <w:rsid w:val="00312F12"/>
    <w:rsid w:val="004258DA"/>
    <w:rsid w:val="00525A16"/>
    <w:rsid w:val="00631F40"/>
    <w:rsid w:val="006E1F4C"/>
    <w:rsid w:val="008B68FB"/>
    <w:rsid w:val="0093115F"/>
    <w:rsid w:val="00B83622"/>
    <w:rsid w:val="00C002A1"/>
    <w:rsid w:val="00CE6933"/>
    <w:rsid w:val="00D3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4BBD"/>
  <w15:chartTrackingRefBased/>
  <w15:docId w15:val="{ADD59E81-EB39-414E-A0CA-934B7251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933"/>
    <w:pPr>
      <w:ind w:left="720"/>
      <w:contextualSpacing/>
    </w:pPr>
  </w:style>
  <w:style w:type="character" w:customStyle="1" w:styleId="fontstyle01">
    <w:name w:val="fontstyle01"/>
    <w:basedOn w:val="Fuentedeprrafopredeter"/>
    <w:rsid w:val="00CE693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301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9</cp:revision>
  <dcterms:created xsi:type="dcterms:W3CDTF">2020-06-10T01:15:00Z</dcterms:created>
  <dcterms:modified xsi:type="dcterms:W3CDTF">2020-06-25T20:19:00Z</dcterms:modified>
</cp:coreProperties>
</file>