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SetX(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abscissa of the current position. If the passed value is negative, it is relative to the right of the page.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 The value of the abscissa.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getx.htm" TargetMode="External"/><Relationship Id="rId6" Type="http://schemas.openxmlformats.org/officeDocument/2006/relationships/hyperlink" Target="http://docs.google.com/gety.htm" TargetMode="External"/><Relationship Id="rId7" Type="http://schemas.openxmlformats.org/officeDocument/2006/relationships/hyperlink" Target="http://docs.google.com/sety.htm" TargetMode="External"/><Relationship Id="rId8" Type="http://schemas.openxmlformats.org/officeDocument/2006/relationships/hyperlink" Target="http://docs.google.com/setxy.htm" TargetMode="External"/></Relationships>
</file>