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 sequence-based oracle for scFv binding and developability</w:t>
      </w:r>
    </w:p>
    <w:p>
      <w:r>
        <w:t>A. Montano Romero, [co-authors]</w:t>
      </w:r>
    </w:p>
    <w:p>
      <w:pPr>
        <w:pStyle w:val="Heading1"/>
      </w:pPr>
      <w:r>
        <w:t>Abstract</w:t>
      </w:r>
    </w:p>
    <w:p>
      <w:r>
        <w:t>We present an oracle that predicts binding and developability properties of single-chain variable fragments (scFvs) from sequence alone. Trained on a 30-member library characterised by a NanoBiT split-luciferase assay, our work achieves useful ranking performance on held-out clonal lineages. We release all code and data.</w:t>
      </w:r>
    </w:p>
    <w:p>
      <w:pPr>
        <w:pStyle w:val="Heading1"/>
      </w:pPr>
      <w:r>
        <w:t>Introduction</w:t>
      </w:r>
    </w:p>
    <w:p>
      <w:r>
        <w:t>Deep generative methods have transformed protein design over the past five years (Dauparas et al., 2022; Watson et al., 2022). Antibody-specific language models have followed (Olsen et al., 2022; Shuai et al., 2021). Property prediction, however, remains the bottleneck in most campaigns (Makowski et al., 2022).</w:t>
      </w:r>
    </w:p>
    <w:p>
      <w:r>
        <w:t>Earlier work established that developability properties can be co-optimised with affinity (Harvey et al., 2022), though the trade-offs are library-specific.</w:t>
      </w:r>
    </w:p>
    <w:p>
      <w:pPr>
        <w:pStyle w:val="Heading1"/>
      </w:pPr>
      <w:r>
        <w:t>Methods</w:t>
      </w:r>
    </w:p>
    <w:p>
      <w:pPr>
        <w:pStyle w:val="Heading2"/>
      </w:pPr>
      <w:r>
        <w:t>Library design and expression</w:t>
      </w:r>
    </w:p>
    <w:p>
      <w:r>
        <w:t>Constructs were expressed in Expi293 cells. Full construct maps are deposited under GenBank accession MZ457891.</w:t>
      </w:r>
    </w:p>
    <w:p>
      <w:pPr>
        <w:pStyle w:val="Heading2"/>
      </w:pPr>
      <w:r>
        <w:t>Binding assay</w:t>
      </w:r>
    </w:p>
    <w:p>
      <w:r>
        <w:t>Binding was measured with a NanoBiT split-luciferase reporter. Raw plate data are available in the repository.</w:t>
      </w:r>
    </w:p>
    <w:p>
      <w:pPr>
        <w:pStyle w:val="Heading2"/>
      </w:pPr>
      <w:r>
        <w:t>Oracle training</w:t>
      </w:r>
    </w:p>
    <w:p>
      <w:r>
        <w:t>Descriptors were computed per sequence and a random forest trained with lineage-disjoint cross-validation. Code is available at https://github.com/montano-lab/scfv-binding-oracle.</w:t>
      </w:r>
    </w:p>
    <w:p>
      <w:pPr>
        <w:pStyle w:val="Heading1"/>
      </w:pPr>
      <w:r>
        <w:t>Results</w:t>
      </w:r>
    </w:p>
    <w:p>
      <w:r>
        <w:t>Our work recovers known binders at a rate well above the lineage-only baseline. The full comparison appears in Table 1.</w:t>
      </w:r>
    </w:p>
    <w:p>
      <w:pPr>
        <w:pStyle w:val="Heading1"/>
      </w:pPr>
      <w:r>
        <w:t>Data availability</w:t>
      </w:r>
    </w:p>
    <w:p>
      <w:r>
        <w:t>All code, trained models and processed assay data are available at https://github.com/montano-lab/scfv-binding-oracle. Analysis notebooks depend on the pipeline tooling described in Koenig et al. (2017).</w:t>
      </w:r>
    </w:p>
    <w:p>
      <w:pPr>
        <w:pStyle w:val="Heading1"/>
      </w:pPr>
      <w:r>
        <w:t>References</w:t>
      </w:r>
    </w:p>
    <w:p>
      <w:pPr>
        <w:spacing w:after="120"/>
      </w:pPr>
      <w:r>
        <w:t>Dauparas, J., Anishchenko, I., Bennett, N., et al. (2022). Robust deep learning based protein sequence design using ProteinMPNN. bioRxiv.</w:t>
      </w:r>
    </w:p>
    <w:p>
      <w:pPr>
        <w:spacing w:after="120"/>
      </w:pPr>
      <w:r>
        <w:t>Watson, J. L., Juergens, D., Bennett, N. R., et al. (2022). Broadly applicable and accurate protein design by integrating structure prediction networks and diffusion generative models. bioRxiv.</w:t>
      </w:r>
    </w:p>
    <w:p>
      <w:pPr>
        <w:spacing w:after="120"/>
      </w:pPr>
      <w:r>
        <w:t>Olsen, T. H., Moal, I. H., &amp; Deane, C. M. (2022). AbLang: an antibody language model for completing antibody sequences. bioRxiv.</w:t>
      </w:r>
    </w:p>
    <w:p>
      <w:pPr>
        <w:spacing w:after="120"/>
      </w:pPr>
      <w:r>
        <w:t>Shuai, R. W., Ruffolo, J. A., &amp; Gray, J. J. (2021). Generative language modeling for antibody design. bioRxiv.</w:t>
      </w:r>
    </w:p>
    <w:p>
      <w:pPr>
        <w:spacing w:after="120"/>
      </w:pPr>
      <w:r>
        <w:t>Makowski, E. K., Wu, L., Desai, A. A., &amp; Tessier, P. M. (2022). Optimization of therapeutic antibodies for reduced self-association and non-specific binding. Protein Engineering, Design and Selection.</w:t>
      </w:r>
    </w:p>
    <w:p>
      <w:pPr>
        <w:spacing w:after="120"/>
      </w:pPr>
      <w:r>
        <w:t>Harvey, E. P., Shin, J.-E., Skiba, M. A., et al. (2022). An in silico method to assess antibody fragment polyreactivity. Nature Communications, 13.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