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  <w:jc w:val="center"/>
      </w:pPr>
      <w:r>
        <w:rPr>
          <w:rFonts w:ascii="Georgia" w:cs="Georgia" w:eastAsia="Georgia" w:hAnsi="Georgia"/>
          <w:b/>
          <w:bCs/>
          <w:color w:val="3E2C1C"/>
          <w:sz w:val="28"/>
          <w:szCs w:val="28"/>
        </w:rPr>
        <w:t xml:space="preserve">PRENSADOS Y GALVANIZADOS DE LARA, S.A.</w:t>
      </w:r>
    </w:p>
    <w:p>
      <w:pPr>
        <w:spacing w:after="20"/>
        <w:jc w:val="center"/>
      </w:pPr>
      <w:r>
        <w:rPr>
          <w:rFonts w:ascii="Calibri" w:cs="Calibri" w:eastAsia="Calibri" w:hAnsi="Calibri"/>
          <w:color w:val="7A6555"/>
          <w:sz w:val="16"/>
          <w:szCs w:val="16"/>
        </w:rPr>
        <w:t xml:space="preserve">Carrera 2, esquina Calle 26, N° 25-90, Zona Industrial I, Barquisimeto, Estado Lara</w:t>
      </w:r>
    </w:p>
    <w:p>
      <w:pPr>
        <w:spacing w:after="60"/>
        <w:jc w:val="center"/>
      </w:pPr>
      <w:r>
        <w:rPr>
          <w:rFonts w:ascii="Calibri" w:cs="Calibri" w:eastAsia="Calibri" w:hAnsi="Calibri"/>
          <w:color w:val="7A6555"/>
          <w:sz w:val="16"/>
          <w:szCs w:val="16"/>
        </w:rPr>
        <w:t xml:space="preserve">Teléfono: +58 424 571 5349  |  RIF: J-07022640-6  |  Instagram: @pyglarasa</w:t>
      </w:r>
    </w:p>
    <w:p>
      <w:pPr>
        <w:pBdr>
          <w:bottom w:val="single" w:color="b87333" w:sz="8" w:space="1"/>
        </w:pBdr>
        <w:spacing w:after="200"/>
      </w:pPr>
    </w:p>
    <w:p>
      <w:pPr>
        <w:spacing w:after="80" w:before="200"/>
        <w:jc w:val="center"/>
      </w:pPr>
      <w:r>
        <w:rPr>
          <w:rFonts w:ascii="Georgia" w:cs="Georgia" w:eastAsia="Georgia" w:hAnsi="Georgia"/>
          <w:b/>
          <w:bCs/>
          <w:i/>
          <w:iCs/>
          <w:color w:val="b87333"/>
          <w:sz w:val="52"/>
          <w:szCs w:val="52"/>
        </w:rPr>
        <w:t xml:space="preserve">Certificado de Calidad</w:t>
      </w:r>
    </w:p>
    <w:p>
      <w:pPr>
        <w:spacing w:after="60"/>
        <w:jc w:val="center"/>
      </w:pPr>
      <w:r>
        <w:rPr>
          <w:rFonts w:ascii="Georgia" w:cs="Georgia" w:eastAsia="Georgia" w:hAnsi="Georgia"/>
          <w:b/>
          <w:bCs/>
          <w:color w:val="3E2C1C"/>
          <w:sz w:val="28"/>
          <w:szCs w:val="28"/>
        </w:rPr>
        <w:t xml:space="preserve">GALVANIZADO EN CALIENTE</w:t>
      </w:r>
    </w:p>
    <w:p>
      <w:pPr>
        <w:pBdr>
          <w:bottom w:val="single" w:color="D4C5B2" w:sz="2" w:space="1"/>
        </w:pBdr>
        <w:spacing w:after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240"/>
      </w:tblGrid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E2C1C"/>
                <w:sz w:val="20"/>
                <w:szCs w:val="20"/>
              </w:rPr>
              <w:t xml:space="preserve">CLIENTE: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C4033"/>
                <w:sz w:val="20"/>
                <w:szCs w:val="20"/>
              </w:rPr>
              <w:t xml:space="preserve">CONSTRUTORA QUEIROZ GALVAO – SUCURSAL VENEZUELA, C.A.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E2C1C"/>
                <w:sz w:val="20"/>
                <w:szCs w:val="20"/>
              </w:rPr>
              <w:t xml:space="preserve">CANTIDAD: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C4033"/>
                <w:sz w:val="20"/>
                <w:szCs w:val="20"/>
              </w:rPr>
              <w:t xml:space="preserve">350 piezas  |  Peso: 7.156 kg  |  O/Entrega: 00010474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E2C1C"/>
                <w:sz w:val="20"/>
                <w:szCs w:val="20"/>
              </w:rPr>
              <w:t xml:space="preserve">DESCRIPCIÓN: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C4033"/>
                <w:sz w:val="20"/>
                <w:szCs w:val="20"/>
              </w:rPr>
              <w:t xml:space="preserve">Tubos Rectos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E2C1C"/>
                <w:sz w:val="20"/>
                <w:szCs w:val="20"/>
              </w:rPr>
              <w:t xml:space="preserve">MEDIDAS: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C4033"/>
                <w:sz w:val="20"/>
                <w:szCs w:val="20"/>
              </w:rPr>
              <w:t xml:space="preserve">2″ × 6,30 m</w:t>
            </w:r>
          </w:p>
        </w:tc>
      </w:tr>
      <w:tr>
        <w:tc>
          <w:tcPr>
            <w:tcW w:type="dxa" w:w="26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0"/>
              <w:bottom w:type="dxa" w:w="40"/>
              <w:right w:type="dxa" w:w="80"/>
            </w:tcMar>
          </w:tcPr>
          <w:p>
            <w:r>
              <w:rPr>
                <w:rFonts w:ascii="Georgia" w:cs="Georgia" w:eastAsia="Georgia" w:hAnsi="Georgia"/>
                <w:b/>
                <w:bCs/>
                <w:color w:val="3E2C1C"/>
                <w:sz w:val="20"/>
                <w:szCs w:val="20"/>
              </w:rPr>
              <w:t xml:space="preserve">FECHA DE ENTREGA:</w:t>
            </w:r>
          </w:p>
        </w:tc>
        <w:tc>
          <w:tcPr>
            <w:tcW w:type="dxa" w:w="724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40"/>
              <w:left w:type="dxa" w:w="80"/>
              <w:bottom w:type="dxa" w:w="40"/>
              <w:right w:type="dxa" w:w="0"/>
            </w:tcMar>
          </w:tcPr>
          <w:p>
            <w:r>
              <w:rPr>
                <w:rFonts w:ascii="Calibri" w:cs="Calibri" w:eastAsia="Calibri" w:hAnsi="Calibri"/>
                <w:color w:val="5C4033"/>
                <w:sz w:val="20"/>
                <w:szCs w:val="20"/>
              </w:rPr>
              <w:t xml:space="preserve">03 de mayo de 2013</w:t>
            </w:r>
          </w:p>
        </w:tc>
      </w:tr>
    </w:tbl>
    <w:p>
      <w:pPr>
        <w:spacing w:after="12"/>
      </w:pPr>
      <w:r>
        <w:rPr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Georgia" w:cs="Georgia" w:eastAsia="Georgia" w:hAnsi="Georgia"/>
          <w:b/>
          <w:bCs/>
          <w:color w:val="b87333"/>
          <w:sz w:val="24"/>
          <w:szCs w:val="24"/>
        </w:rPr>
        <w:t xml:space="preserve">RESULTADOS DE ENSAYO</w:t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80"/>
        <w:gridCol w:w="3280"/>
        <w:gridCol w:w="3280"/>
      </w:tblGrid>
      <w:tr>
        <w:tc>
          <w:tcPr>
            <w:tcW w:type="dxa" w:w="328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3E2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PARÁMETRO</w:t>
            </w:r>
          </w:p>
        </w:tc>
        <w:tc>
          <w:tcPr>
            <w:tcW w:type="dxa" w:w="328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3E2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ESPECIFICACIÓN</w:t>
            </w:r>
          </w:p>
        </w:tc>
        <w:tc>
          <w:tcPr>
            <w:tcW w:type="dxa" w:w="328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3E2C1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FFFFFF"/>
                <w:sz w:val="18"/>
                <w:szCs w:val="18"/>
              </w:rPr>
              <w:t xml:space="preserve">RESULTADO OBTENIDO</w:t>
            </w:r>
          </w:p>
        </w:tc>
      </w:tr>
      <w:tr>
        <w:tc>
          <w:tcPr>
            <w:tcW w:type="dxa" w:w="328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2C1C"/>
                <w:sz w:val="20"/>
                <w:szCs w:val="20"/>
              </w:rPr>
              <w:t xml:space="preserve">Adherencia</w:t>
            </w:r>
          </w:p>
        </w:tc>
        <w:tc>
          <w:tcPr>
            <w:tcW w:type="dxa" w:w="328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C4033"/>
                <w:sz w:val="20"/>
                <w:szCs w:val="20"/>
              </w:rPr>
              <w:t xml:space="preserve">Buena</w:t>
            </w:r>
          </w:p>
        </w:tc>
        <w:tc>
          <w:tcPr>
            <w:tcW w:type="dxa" w:w="328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7333"/>
                <w:sz w:val="20"/>
                <w:szCs w:val="20"/>
              </w:rPr>
              <w:t xml:space="preserve">Buena</w:t>
            </w:r>
          </w:p>
        </w:tc>
      </w:tr>
      <w:tr>
        <w:tc>
          <w:tcPr>
            <w:tcW w:type="dxa" w:w="328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2C1C"/>
                <w:sz w:val="20"/>
                <w:szCs w:val="20"/>
              </w:rPr>
              <w:t xml:space="preserve">Apariencia</w:t>
            </w:r>
          </w:p>
        </w:tc>
        <w:tc>
          <w:tcPr>
            <w:tcW w:type="dxa" w:w="328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C4033"/>
                <w:sz w:val="20"/>
                <w:szCs w:val="20"/>
              </w:rPr>
              <w:t xml:space="preserve">Buena</w:t>
            </w:r>
          </w:p>
        </w:tc>
        <w:tc>
          <w:tcPr>
            <w:tcW w:type="dxa" w:w="328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7333"/>
                <w:sz w:val="20"/>
                <w:szCs w:val="20"/>
              </w:rPr>
              <w:t xml:space="preserve">Buena</w:t>
            </w:r>
          </w:p>
        </w:tc>
      </w:tr>
      <w:tr>
        <w:tc>
          <w:tcPr>
            <w:tcW w:type="dxa" w:w="328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2C1C"/>
                <w:sz w:val="20"/>
                <w:szCs w:val="20"/>
              </w:rPr>
              <w:t xml:space="preserve">Espesor de capa de zinc
(promedio del lote)</w:t>
            </w:r>
          </w:p>
        </w:tc>
        <w:tc>
          <w:tcPr>
            <w:tcW w:type="dxa" w:w="328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C4033"/>
                <w:sz w:val="20"/>
                <w:szCs w:val="20"/>
              </w:rPr>
              <w:t xml:space="preserve">65 µm</w:t>
            </w:r>
          </w:p>
        </w:tc>
        <w:tc>
          <w:tcPr>
            <w:tcW w:type="dxa" w:w="328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FF8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7333"/>
                <w:sz w:val="20"/>
                <w:szCs w:val="20"/>
              </w:rPr>
              <w:t xml:space="preserve">101 µm</w:t>
            </w:r>
          </w:p>
        </w:tc>
      </w:tr>
      <w:tr>
        <w:tc>
          <w:tcPr>
            <w:tcW w:type="dxa" w:w="328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3E2C1C"/>
                <w:sz w:val="20"/>
                <w:szCs w:val="20"/>
              </w:rPr>
              <w:t xml:space="preserve">Funcional (tornillos)</w:t>
            </w:r>
          </w:p>
        </w:tc>
        <w:tc>
          <w:tcPr>
            <w:tcW w:type="dxa" w:w="328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C4033"/>
                <w:sz w:val="20"/>
                <w:szCs w:val="20"/>
              </w:rPr>
              <w:t xml:space="preserve">—</w:t>
            </w:r>
          </w:p>
        </w:tc>
        <w:tc>
          <w:tcPr>
            <w:tcW w:type="dxa" w:w="3280"/>
            <w:tcBorders>
              <w:top w:val="single" w:color="D4C5B2" w:sz="1"/>
              <w:left w:val="single" w:color="D4C5B2" w:sz="1"/>
              <w:bottom w:val="single" w:color="D4C5B2" w:sz="1"/>
              <w:right w:val="single" w:color="D4C5B2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b87333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"/>
      </w:pPr>
      <w:r>
        <w:rPr>
          <w:sz w:val="24"/>
          <w:szCs w:val="24"/>
        </w:rPr>
        <w:t xml:space="preserve"/>
      </w: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40"/>
      </w:tblGrid>
      <w:tr>
        <w:tc>
          <w:tcPr>
            <w:tcW w:type="dxa" w:w="9840"/>
            <w:tcBorders>
              <w:top w:val="single" w:color="b87333" w:sz="4"/>
              <w:left w:val="single" w:color="b87333" w:sz="4"/>
              <w:bottom w:val="single" w:color="b87333" w:sz="4"/>
              <w:right w:val="single" w:color="b87333" w:sz="4"/>
            </w:tcBorders>
            <w:shd w:fill="FFF8F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3E2C1C"/>
                <w:sz w:val="22"/>
                <w:szCs w:val="22"/>
              </w:rPr>
              <w:t xml:space="preserve">Espesor obtenido: 101 µm  —  </w:t>
            </w:r>
            <w:r>
              <w:rPr>
                <w:rFonts w:ascii="Calibri" w:cs="Calibri" w:eastAsia="Calibri" w:hAnsi="Calibri"/>
                <w:b/>
                <w:bCs/>
                <w:color w:val="b87333"/>
                <w:sz w:val="22"/>
                <w:szCs w:val="22"/>
              </w:rPr>
              <w:t xml:space="preserve">55% por encima de la especificación mínima (65 µm)</w:t>
            </w:r>
          </w:p>
        </w:tc>
      </w:tr>
    </w:tbl>
    <w:p>
      <w:pPr>
        <w:spacing w:after="12"/>
      </w:pPr>
      <w:r>
        <w:rPr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Georgia" w:cs="Georgia" w:eastAsia="Georgia" w:hAnsi="Georgia"/>
          <w:b/>
          <w:bCs/>
          <w:color w:val="b87333"/>
          <w:sz w:val="24"/>
          <w:szCs w:val="24"/>
        </w:rPr>
        <w:t xml:space="preserve">NORMAS APLICADAS</w:t>
      </w:r>
    </w:p>
    <w:p>
      <w:pPr>
        <w:spacing w:after="80"/>
      </w:pPr>
      <w:r>
        <w:rPr>
          <w:rFonts w:ascii="Calibri" w:cs="Calibri" w:eastAsia="Calibri" w:hAnsi="Calibri"/>
          <w:color w:val="5C4033"/>
          <w:sz w:val="20"/>
          <w:szCs w:val="20"/>
        </w:rPr>
        <w:t xml:space="preserve">El proceso de galvanizado en caliente cumple con las siguientes normas: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b87333"/>
          <w:sz w:val="20"/>
          <w:szCs w:val="20"/>
        </w:rPr>
        <w:t xml:space="preserve">•  </w:t>
      </w:r>
      <w:r>
        <w:rPr>
          <w:rFonts w:ascii="Georgia" w:cs="Georgia" w:eastAsia="Georgia" w:hAnsi="Georgia"/>
          <w:b/>
          <w:bCs/>
          <w:color w:val="3E2C1C"/>
          <w:sz w:val="20"/>
          <w:szCs w:val="20"/>
        </w:rPr>
        <w:t xml:space="preserve">COVENIN 1212-81</w:t>
      </w:r>
      <w:r>
        <w:rPr>
          <w:rFonts w:ascii="Calibri" w:cs="Calibri" w:eastAsia="Calibri" w:hAnsi="Calibri"/>
          <w:color w:val="5C4033"/>
          <w:sz w:val="20"/>
          <w:szCs w:val="20"/>
        </w:rPr>
        <w:t xml:space="preserve">  —  Norma venezolana para recubrimientos de zinc por inmersión en caliente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b87333"/>
          <w:sz w:val="20"/>
          <w:szCs w:val="20"/>
        </w:rPr>
        <w:t xml:space="preserve">•  </w:t>
      </w:r>
      <w:r>
        <w:rPr>
          <w:rFonts w:ascii="Georgia" w:cs="Georgia" w:eastAsia="Georgia" w:hAnsi="Georgia"/>
          <w:b/>
          <w:bCs/>
          <w:color w:val="3E2C1C"/>
          <w:sz w:val="20"/>
          <w:szCs w:val="20"/>
        </w:rPr>
        <w:t xml:space="preserve">ASTM A153</w:t>
      </w:r>
      <w:r>
        <w:rPr>
          <w:rFonts w:ascii="Calibri" w:cs="Calibri" w:eastAsia="Calibri" w:hAnsi="Calibri"/>
          <w:color w:val="5C4033"/>
          <w:sz w:val="20"/>
          <w:szCs w:val="20"/>
        </w:rPr>
        <w:t xml:space="preserve">  —  Recubrimientos de zinc (galvanizado en caliente) sobre herrajes de hierro y acero</w:t>
      </w:r>
    </w:p>
    <w:p>
      <w:pPr>
        <w:spacing w:after="80"/>
        <w:ind w:left="360"/>
      </w:pPr>
      <w:r>
        <w:rPr>
          <w:rFonts w:ascii="Calibri" w:cs="Calibri" w:eastAsia="Calibri" w:hAnsi="Calibri"/>
          <w:b/>
          <w:bCs/>
          <w:color w:val="b87333"/>
          <w:sz w:val="20"/>
          <w:szCs w:val="20"/>
        </w:rPr>
        <w:t xml:space="preserve">•  </w:t>
      </w:r>
      <w:r>
        <w:rPr>
          <w:rFonts w:ascii="Georgia" w:cs="Georgia" w:eastAsia="Georgia" w:hAnsi="Georgia"/>
          <w:b/>
          <w:bCs/>
          <w:color w:val="3E2C1C"/>
          <w:sz w:val="20"/>
          <w:szCs w:val="20"/>
        </w:rPr>
        <w:t xml:space="preserve">ASTM A123</w:t>
      </w:r>
      <w:r>
        <w:rPr>
          <w:rFonts w:ascii="Calibri" w:cs="Calibri" w:eastAsia="Calibri" w:hAnsi="Calibri"/>
          <w:color w:val="5C4033"/>
          <w:sz w:val="20"/>
          <w:szCs w:val="20"/>
        </w:rPr>
        <w:t xml:space="preserve">  —  Recubrimientos de zinc (galvanizado en caliente) sobre productos de hierro y acero</w:t>
      </w:r>
    </w:p>
    <w:p>
      <w:pPr>
        <w:spacing w:after="12"/>
      </w:pPr>
      <w:r>
        <w:rPr>
          <w:sz w:val="24"/>
          <w:szCs w:val="24"/>
        </w:rPr>
        <w:t xml:space="preserve"/>
      </w:r>
    </w:p>
    <w:p>
      <w:pPr>
        <w:spacing w:after="120" w:before="200"/>
        <w:jc w:val="left"/>
      </w:pPr>
      <w:r>
        <w:rPr>
          <w:rFonts w:ascii="Georgia" w:cs="Georgia" w:eastAsia="Georgia" w:hAnsi="Georgia"/>
          <w:b/>
          <w:bCs/>
          <w:color w:val="b87333"/>
          <w:sz w:val="24"/>
          <w:szCs w:val="24"/>
        </w:rPr>
        <w:t xml:space="preserve">OBSERVACIONES</w:t>
      </w:r>
    </w:p>
    <w:p>
      <w:pPr>
        <w:spacing w:after="80"/>
      </w:pPr>
      <w:r>
        <w:rPr>
          <w:rFonts w:ascii="Calibri" w:cs="Calibri" w:eastAsia="Calibri" w:hAnsi="Calibri"/>
          <w:color w:val="5C4033"/>
          <w:sz w:val="20"/>
          <w:szCs w:val="20"/>
        </w:rPr>
        <w:t xml:space="preserve">Galvanizado en caliente ejecutado según normas COVENIN 1212-81 (apariencia, adherencia y espesor de capa de zinc) y ASTM A153/A123. Se certifica que los datos aquí suministrados cumplen con todos los requerimientos de calidad aplicables.</w:t>
      </w:r>
    </w:p>
    <w:p>
      <w:pPr>
        <w:spacing w:after="20"/>
      </w:pPr>
      <w:r>
        <w:rPr>
          <w:sz w:val="40"/>
          <w:szCs w:val="40"/>
        </w:rPr>
        <w:t xml:space="preserve"/>
      </w:r>
    </w:p>
    <w:p>
      <w:pPr>
        <w:pBdr>
          <w:bottom w:val="single" w:color="D4C5B2" w:sz="2" w:space="1"/>
        </w:pBdr>
        <w:spacing w:after="300"/>
      </w:pPr>
    </w:p>
    <w:tbl>
      <w:tblPr>
        <w:tblW w:type="dxa" w:w="98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920"/>
        <w:gridCol w:w="4920"/>
      </w:tblGrid>
      <w:tr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pBdr>
                <w:bottom w:val="single" w:color="3E2C1C" w:sz="2" w:space="1"/>
              </w:pBdr>
              <w:spacing w:after="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4"/>
            </w:pPr>
            <w:r>
              <w:rPr>
                <w:sz w:val="8"/>
                <w:szCs w:val="8"/>
              </w:rPr>
              <w:t xml:space="preserve"/>
            </w:r>
          </w:p>
          <w:p>
            <w:pPr>
              <w:spacing w:after="20"/>
              <w:jc w:val="center"/>
            </w:pPr>
            <w:r>
              <w:rPr>
                <w:rFonts w:ascii="Georgia" w:cs="Georgia" w:eastAsia="Georgia" w:hAnsi="Georgia"/>
                <w:b/>
                <w:bCs/>
                <w:color w:val="3E2C1C"/>
                <w:sz w:val="22"/>
                <w:szCs w:val="22"/>
              </w:rPr>
              <w:t xml:space="preserve">Ing. Mirian Armas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color w:val="5C4033"/>
                <w:sz w:val="18"/>
                <w:szCs w:val="18"/>
              </w:rPr>
              <w:t xml:space="preserve">C.I.V. 31.580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color w:val="7A6555"/>
                <w:sz w:val="18"/>
                <w:szCs w:val="18"/>
              </w:rPr>
              <w:t xml:space="preserve">Ingeniero de Planta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A6555"/>
                <w:sz w:val="16"/>
                <w:szCs w:val="16"/>
              </w:rPr>
              <w:t xml:space="preserve">36+ años de experiencia en galvanizado</w:t>
            </w:r>
          </w:p>
        </w:tc>
        <w:tc>
          <w:tcPr>
            <w:tcW w:type="dxa" w:w="49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200"/>
              <w:jc w:val="center"/>
            </w:pPr>
            <w:r>
              <w:rPr>
                <w:sz w:val="20"/>
                <w:szCs w:val="20"/>
              </w:rPr>
              <w:t xml:space="preserve"> 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i/>
                <w:iCs/>
                <w:color w:val="7A6555"/>
                <w:sz w:val="18"/>
                <w:szCs w:val="18"/>
              </w:rPr>
              <w:t xml:space="preserve">[SELLO DE LA EMPRESA]</w:t>
            </w:r>
          </w:p>
          <w:p>
            <w:pPr>
              <w:jc w:val="center"/>
            </w:pPr>
            <w:r>
              <w:rPr>
                <w:rFonts w:ascii="Calibri" w:cs="Calibri" w:eastAsia="Calibri" w:hAnsi="Calibri"/>
                <w:color w:val="5C4033"/>
                <w:sz w:val="18"/>
                <w:szCs w:val="18"/>
              </w:rPr>
              <w:t xml:space="preserve">Prensados y Galvanizados de Lara, S.A.</w:t>
            </w:r>
          </w:p>
        </w:tc>
      </w:tr>
    </w:tbl>
    <w:p>
      <w:pPr>
        <w:spacing w:after="16"/>
      </w:pPr>
      <w:r>
        <w:rPr>
          <w:sz w:val="32"/>
          <w:szCs w:val="32"/>
        </w:rPr>
        <w:t xml:space="preserve"/>
      </w:r>
    </w:p>
    <w:p>
      <w:pPr>
        <w:pBdr>
          <w:top w:val="single" w:color="D4C5B2" w:sz="2" w:space="8"/>
        </w:pBdr>
        <w:spacing w:before="200"/>
        <w:jc w:val="center"/>
      </w:pPr>
      <w:r>
        <w:rPr>
          <w:rFonts w:ascii="Calibri" w:cs="Calibri" w:eastAsia="Calibri" w:hAnsi="Calibri"/>
          <w:i/>
          <w:iCs/>
          <w:color w:val="7A6555"/>
          <w:sz w:val="16"/>
          <w:szCs w:val="16"/>
        </w:rPr>
        <w:t xml:space="preserve">Este certificado es válido únicamente para el lote descrito. La información contenida ha sido verificada
por el departamento de control de calidad de PYGLARA.</w:t>
      </w:r>
    </w:p>
    <w:sectPr>
      <w:pgSz w:w="12240" w:h="15840" w:orient="portrait"/>
      <w:pgMar w:top="1080" w:right="1200" w:bottom="1080" w:left="1200" w:header="708" w:footer="708" w:gutter="0"/>
      <w:pgBorders>
        <w:top w:val="single" w:color="b87333" w:sz="6" w:space="24"/>
        <w:left w:val="single" w:color="b87333" w:sz="6" w:space="24"/>
        <w:bottom w:val="single" w:color="b87333" w:sz="6" w:space="24"/>
        <w:right w:val="single" w:color="b87333" w:sz="6" w:space="24"/>
      </w:pgBorders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E2C1C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2026-04-01T20:21:00.176Z</dcterms:created>
  <dcterms:modified xsi:type="dcterms:W3CDTF">2026-04-01T20:21:00.176Z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