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8"/>
          <w:szCs w:val="48"/>
        </w:rPr>
        <w:t xml:space="preserve">PRENSADOS Y GALVANIZADOS</w:t>
      </w:r>
    </w:p>
    <w:p>
      <w:pPr>
        <w:spacing w:after="200"/>
        <w:jc w:val="center"/>
      </w:pPr>
      <w:r>
        <w:rPr>
          <w:rFonts w:ascii="Arial" w:cs="Arial" w:eastAsia="Arial" w:hAnsi="Arial"/>
          <w:b/>
          <w:bCs/>
          <w:color w:val="1B4F72"/>
          <w:sz w:val="48"/>
          <w:szCs w:val="48"/>
        </w:rPr>
        <w:t xml:space="preserve">DE LARA, S.A.</w:t>
      </w:r>
    </w:p>
    <w:p>
      <w:pPr>
        <w:pBdr>
          <w:bottom w:val="single" w:color="2E75B6" w:sz="8" w:space="8"/>
        </w:pBdr>
        <w:spacing w:after="600"/>
        <w:jc w:val="center"/>
      </w:pPr>
      <w:r>
        <w:rPr>
          <w:rFonts w:ascii="Arial" w:cs="Arial" w:eastAsia="Arial" w:hAnsi="Arial"/>
          <w:color w:val="2E75B6"/>
          <w:sz w:val="28"/>
          <w:szCs w:val="28"/>
        </w:rPr>
        <w:t xml:space="preserve">PYGLARA S.A.</w:t>
      </w:r>
    </w:p>
    <w:p>
      <w:pPr>
        <w:spacing w:after="200"/>
        <w:jc w:val="center"/>
      </w:pPr>
      <w:r>
        <w:rPr>
          <w:rFonts w:ascii="Arial" w:cs="Arial" w:eastAsia="Arial" w:hAnsi="Arial"/>
          <w:b/>
          <w:bCs/>
          <w:color w:val="333333"/>
          <w:sz w:val="32"/>
          <w:szCs w:val="32"/>
        </w:rPr>
        <w:t xml:space="preserve">EVALUACIÓN PARA INVERSIONISTAS</w:t>
      </w:r>
    </w:p>
    <w:p>
      <w:pPr>
        <w:spacing w:after="200"/>
        <w:jc w:val="center"/>
      </w:pPr>
      <w:r>
        <w:rPr>
          <w:rFonts w:ascii="Arial" w:cs="Arial" w:eastAsia="Arial" w:hAnsi="Arial"/>
          <w:i/>
          <w:iCs/>
          <w:color w:val="666666"/>
          <w:sz w:val="22"/>
          <w:szCs w:val="22"/>
        </w:rPr>
        <w:t xml:space="preserve">Resumen Ejecutivo e Información General de la Empresa</w:t>
      </w:r>
    </w:p>
    <w:p>
      <w:pPr>
        <w:spacing w:after="600"/>
        <w:jc w:val="center"/>
      </w:pPr>
      <w:r>
        <w:rPr>
          <w:rFonts w:ascii="Arial" w:cs="Arial" w:eastAsia="Arial" w:hAnsi="Arial"/>
          <w:color w:val="666666"/>
          <w:sz w:val="22"/>
          <w:szCs w:val="22"/>
        </w:rPr>
        <w:t xml:space="preserve">Febrero 2026</w:t>
      </w:r>
    </w:p>
    <w:p>
      <w:pPr>
        <w:spacing w:after="200"/>
        <w:jc w:val="center"/>
      </w:pPr>
      <w:r>
        <w:rPr>
          <w:rFonts w:ascii="Arial" w:cs="Arial" w:eastAsia="Arial" w:hAnsi="Arial"/>
          <w:color w:val="888888"/>
          <w:sz w:val="20"/>
          <w:szCs w:val="20"/>
        </w:rPr>
        <w:t xml:space="preserve">Barquisimeto, Estado Lara, Venezuela</w:t>
      </w:r>
    </w:p>
    <w:p>
      <w:pPr>
        <w:jc w:val="center"/>
      </w:pPr>
      <w:r>
        <w:rPr>
          <w:rFonts w:ascii="Arial" w:cs="Arial" w:eastAsia="Arial" w:hAnsi="Arial"/>
          <w:b/>
          <w:bCs/>
          <w:color w:val="CC0000"/>
          <w:sz w:val="24"/>
          <w:szCs w:val="24"/>
        </w:rPr>
        <w:t xml:space="preserve">CONFIDENCIAL</w:t>
      </w:r>
    </w:p>
    <w:p>
      <w:r>
        <w:br w:type="page"/>
      </w:r>
    </w:p>
    <w:p>
      <w:pPr>
        <w:pStyle w:val="Heading1"/>
      </w:pPr>
      <w:r>
        <w:t xml:space="preserve">1. RESUMEN EJECUTIVO</w:t>
      </w:r>
    </w:p>
    <w:p>
      <w:pPr>
        <w:spacing w:after="200"/>
      </w:pPr>
      <w:r>
        <w:t xml:space="preserve">Prensados y Galvanizados de Lara, S.A. (PYGLARA S.A.) es una empresa 100% venezolana, líder en servicios de galvanizado en caliente por inmersión (hot-dip galvanizing). La empresa ofrece protección superior contra la corrosión, oxidación y abrasión, extendiendo la vida útil de estructuras metálicas y reduciendo significativamente los costos de mantenimiento.</w:t>
      </w:r>
    </w:p>
    <w:p>
      <w:pPr>
        <w:spacing w:after="200"/>
      </w:pPr>
      <w:r>
        <w:t xml:space="preserve">Mediante una reacción metalúrgica que genera una aleación única entre zinc y hierro, el proceso garantiza protección integral de las estructuras durante décadas. Adicionalmente, la empresa cuenta con una planta electrolítica de cobre para la fabricación de varillas de puesta a tierra.</w:t>
      </w:r>
    </w:p>
    <w:p>
      <w:pPr>
        <w:pStyle w:val="Heading1"/>
      </w:pPr>
      <w:r>
        <w:t xml:space="preserve">2. DATOS GENERALES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Razón Social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Prensados y Galvanizados de Lara, S.A.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Nombre Comercial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PYGLARA S.A.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Ubicación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Calle 26, entre Avenidas 1 y 2, Galpón No. 25-90, Barquisimeto, Estado Lara, 3001, Venezuela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Teléfono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+58 424 571 5349</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Instagram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@pyglarasa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Actividad Principal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Galvanizado en caliente por inmersión y recubrimiento electrolítico de cobre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Capital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capital venezolano</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Sectores Atendidos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Construcción, eléctrico e industrial</w:t>
            </w:r>
          </w:p>
        </w:tc>
      </w:tr>
    </w:tbl>
    <w:p>
      <w:pPr>
        <w:pStyle w:val="Heading1"/>
      </w:pPr>
      <w:r>
        <w:t xml:space="preserve">3. INFRAESTRUCTURA Y MAQUINARIA</w:t>
      </w:r>
    </w:p>
    <w:p>
      <w:pPr>
        <w:pStyle w:val="Heading2"/>
      </w:pPr>
      <w:r>
        <w:t xml:space="preserve">3.1 Calderas de Galvanizado (Dimensiones)</w:t>
      </w:r>
    </w:p>
    <w:p>
      <w:pPr>
        <w:spacing w:after="200"/>
      </w:pPr>
      <w:r>
        <w:t xml:space="preserve">La planta cuenta con estaciones de trabajo adaptables al tamaño y complejidad de los componentes a tratar: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Caldera</w:t>
            </w:r>
          </w:p>
        </w:tc>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Dimensiones</w:t>
            </w:r>
          </w:p>
        </w:tc>
        <w:tc>
          <w:tcPr>
            <w:tcW w:type="dxa" w:w="312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Principal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 Formato (Pilling)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7,00 x 0,80 x 1,40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Perfiles largos y estructuras de gran escala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Rango Medio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 x 0,60 x 1,00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Piezas intermedias y herrajes industriales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Precisión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 x 65 x 65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Piezas pequeñas y tornillería</w:t>
            </w:r>
          </w:p>
        </w:tc>
      </w:tr>
    </w:tbl>
    <w:p>
      <w:pPr>
        <w:spacing w:before="200" w:after="100"/>
      </w:pPr>
      <w:r>
        <w:rPr>
          <w:b/>
          <w:bCs/>
        </w:rPr>
        <w:t xml:space="preserve">Fabricante de la caldera principal: </w:t>
      </w:r>
      <w:r>
        <w:t xml:space="preserve">W. Pilling Riepe GmbH &amp; Co. KG (Alemania)</w:t>
      </w:r>
    </w:p>
    <w:p>
      <w:pPr>
        <w:pStyle w:val="Heading2"/>
      </w:pPr>
      <w:r>
        <w:t xml:space="preserve">3.2 Maquinaria de 9 Metros (En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(USD)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Estructura para horno de galvanizado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$285.000,00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Refractarios (fibra cerámica, lana mineral, anclajes)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$65.000,00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Caldera/Crisol (9 m x 80 cm x 1,40 m, acero especial 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Estructura metálica fabricada para el horno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Planos y consultoría de ensamblaje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$40.000,00</w:t>
            </w:r>
          </w:p>
        </w:tc>
      </w:tr>
      <w:tr>
        <w:tc>
          <w:tcPr>
            <w:tcW w:type="dxa" w:w="54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MAQUINARIA 9M</w:t>
            </w:r>
          </w:p>
        </w:tc>
        <w:tc>
          <w:tcPr>
            <w:tcW w:type="dxa" w:w="3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right"/>
            </w:pPr>
            <w:r>
              <w:rPr>
                <w:rFonts w:ascii="Arial" w:cs="Arial" w:eastAsia="Arial" w:hAnsi="Arial"/>
                <w:b/>
                <w:bCs/>
                <w:sz w:val="20"/>
                <w:szCs w:val="20"/>
              </w:rPr>
              <w:t xml:space="preserve">$570.000,00</w:t>
            </w:r>
          </w:p>
        </w:tc>
      </w:tr>
    </w:tbl>
    <w:p>
      <w:pPr>
        <w:spacing w:before="100" w:after="200"/>
      </w:pPr>
      <w:r>
        <w:rPr>
          <w:i/>
          <w:iCs/>
          <w:sz w:val="20"/>
          <w:szCs w:val="20"/>
        </w:rPr>
        <w:t xml:space="preserve">Sistema de combustión: </w:t>
      </w:r>
      <w:r>
        <w:rPr>
          <w:sz w:val="20"/>
          <w:szCs w:val="20"/>
        </w:rPr>
        <w:t xml:space="preserve">Quemadores Hauck RSV120, válvulas Kromschröder, controles Honeywell y Allen Bradley MicroLogix PLC.</w:t>
      </w:r>
    </w:p>
    <w:p>
      <w:pPr>
        <w:pStyle w:val="Heading1"/>
      </w:pPr>
      <w:r>
        <w:t xml:space="preserve">4. CAPACIDAD DE PRODUCCIÓN</w:t>
      </w:r>
    </w:p>
    <w:p>
      <w:pPr>
        <w:spacing w:after="100"/>
      </w:pPr>
      <w:r>
        <w:rPr>
          <w:b/>
          <w:bCs/>
        </w:rPr>
        <w:t xml:space="preserve">Capacidad instalada: </w:t>
      </w:r>
      <w:r>
        <w:t xml:space="preserve">400 toneladas de acero galvanizado por mes.</w:t>
      </w:r>
    </w:p>
    <w:p>
      <w:pPr>
        <w:spacing w:after="200"/>
      </w:pPr>
      <w:r>
        <w:t xml:space="preserve">Con un consumo de 140 toneladas anuales de zinc SHG 99,9%, la planta puede galvanizar entre 1.400 y 2.000 toneladas de acero al año, dependiendo del tipo de material y espesor de recubrimiento:</w:t>
      </w:r>
    </w:p>
    <w:p>
      <w:pPr>
        <w:pStyle w:val="ListParagraph"/>
        <w:numPr>
          <w:ilvl w:val="0"/>
          <w:numId w:val="2"/>
        </w:numPr>
        <w:spacing w:after="80"/>
      </w:pPr>
      <w:r>
        <w:rPr>
          <w:b/>
          <w:bCs/>
        </w:rPr>
        <w:t xml:space="preserve">Escenario de alta eficiencia (7%): </w:t>
      </w:r>
      <w:r>
        <w:t xml:space="preserve">Hasta 2.000 toneladas de acero (piezas pesadas, vigas estructurales masivas).</w:t>
      </w:r>
    </w:p>
    <w:p>
      <w:pPr>
        <w:pStyle w:val="ListParagraph"/>
        <w:numPr>
          <w:ilvl w:val="0"/>
          <w:numId w:val="2"/>
        </w:numPr>
        <w:spacing w:after="200"/>
      </w:pPr>
      <w:r>
        <w:rPr>
          <w:b/>
          <w:bCs/>
        </w:rPr>
        <w:t xml:space="preserve">Escenario estándar (10%): </w:t>
      </w:r>
      <w:r>
        <w:t xml:space="preserve">1.400 toneladas de acero (perfiles medianos, tuberías, herrajes generales).</w:t>
      </w:r>
    </w:p>
    <w:p>
      <w:pPr>
        <w:pStyle w:val="Heading1"/>
      </w:pPr>
      <w:r>
        <w:t xml:space="preserve">5. COSTOS DE MATERIA PRIMA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22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(USD)</w:t>
            </w:r>
          </w:p>
        </w:tc>
        <w:tc>
          <w:tcPr>
            <w:tcW w:type="dxa" w:w="22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(USD)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Zinc SHG 99,9%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 Ton/Año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$3.600,00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$504.000,00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Ácido Clorhídrico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Ton/Mes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$1.173,91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$5.869,56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Cloruro de Amonio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Ton/Mes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$2.300,00</w:t>
            </w:r>
          </w:p>
        </w:tc>
      </w:tr>
    </w:tbl>
    <w:p>
      <w:pPr>
        <w:pStyle w:val="Heading1"/>
      </w:pPr>
      <w:r>
        <w:t xml:space="preserve">6. GASTOS FIJOS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3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Monto (USD/Mes)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$1.800,00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Electricidad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Seguridad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Salarios / Nómina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$2.300,00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Limpieza / Mantenimiento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$100,00</w:t>
            </w:r>
          </w:p>
        </w:tc>
      </w:tr>
      <w:tr>
        <w:tc>
          <w:tcPr>
            <w:tcW w:type="dxa" w:w="54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GASTOS FIJOS MENSUALES</w:t>
            </w:r>
          </w:p>
        </w:tc>
        <w:tc>
          <w:tcPr>
            <w:tcW w:type="dxa" w:w="3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right"/>
            </w:pPr>
            <w:r>
              <w:rPr>
                <w:rFonts w:ascii="Arial" w:cs="Arial" w:eastAsia="Arial" w:hAnsi="Arial"/>
                <w:b/>
                <w:bCs/>
                <w:sz w:val="20"/>
                <w:szCs w:val="20"/>
              </w:rPr>
              <w:t xml:space="preserve">$5.600,00</w:t>
            </w:r>
          </w:p>
        </w:tc>
      </w:tr>
    </w:tbl>
    <w:p>
      <w:pPr>
        <w:spacing w:before="100" w:after="200"/>
      </w:pPr>
      <w:r>
        <w:rPr>
          <w:i/>
          <w:iCs/>
          <w:sz w:val="20"/>
          <w:szCs w:val="20"/>
        </w:rPr>
        <w:t xml:space="preserve">Total anual estimado de gastos fijos: $67.200,00 USD</w:t>
      </w:r>
    </w:p>
    <w:p>
      <w:pPr>
        <w:pStyle w:val="Heading1"/>
      </w:pPr>
      <w:r>
        <w:t xml:space="preserve">7. PLANTA ELECTROLÍTICA DE COBRE</w:t>
      </w:r>
    </w:p>
    <w:p>
      <w:pPr>
        <w:spacing w:after="200"/>
      </w:pPr>
      <w:r>
        <w:t xml:space="preserve">La empresa cuenta adicionalmente con una planta electrolítica de cobre para la fabricación de varillas de puesta a tierra eléctrica. Estas varillas van desde 5/8" hasta 1" de diámetro y de 1,20 m a 3 m de longitud.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3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Capacidad instalada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936 varillas/día (ciclo 24h)</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Diámetros disponibles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 a 1"</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Longitudes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 m a 3,00 m</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Espesor de capa de cobre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 µm ± 50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Control de calidad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Proceso y producto terminado certificado</w:t>
            </w:r>
          </w:p>
        </w:tc>
      </w:tr>
    </w:tbl>
    <w:p>
      <w:pPr>
        <w:pStyle w:val="Heading2"/>
      </w:pPr>
      <w:r>
        <w:t xml:space="preserve">7.1 Insumos Principales de la Planta de Cobre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Insumo</w:t>
            </w:r>
          </w:p>
        </w:tc>
        <w:tc>
          <w:tcPr>
            <w:tcW w:type="dxa" w:w="293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293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 kg/mes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Decapado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Amonio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kg/mes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Arranque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Cobre electrolítico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toneladas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 4 tanques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Sulfato de Níquel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600 kg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Baño electrolítico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Cloruro de Níquel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 kg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Baño electrolítico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Bórico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kg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Regulador de pH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Níquel en briquetas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 kg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Ánodos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Ácido Sulfúrico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 unidades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Proceso</w:t>
            </w:r>
          </w:p>
        </w:tc>
      </w:tr>
    </w:tbl>
    <w:p>
      <w:r>
        <w:br w:type="page"/>
      </w:r>
    </w:p>
    <w:p>
      <w:pPr>
        <w:pStyle w:val="Heading1"/>
      </w:pPr>
      <w:r>
        <w:t xml:space="preserve">8. INFORMACIÓN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Dirección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Calle 26, entre Avenidas 1 y 2, Galpón No. 25-90, Barquisimeto, Estado Lara, 3001, Venezuela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Teléfono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+58 424 571 5349</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Instagram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@pyglarasa</w:t>
            </w:r>
          </w:p>
        </w:tc>
      </w:tr>
    </w:tbl>
    <w:p>
      <w:pPr>
        <w:spacing w:before="600"/>
      </w:pPr>
    </w:p>
    <w:p>
      <w:pPr>
        <w:pBdr>
          <w:top w:val="single" w:color="CC0000" w:sz="4" w:space="8"/>
          <w:bottom w:val="single" w:color="CC0000" w:sz="4" w:space="8"/>
        </w:pBdr>
        <w:spacing w:after="200"/>
      </w:pPr>
      <w:r>
        <w:rPr>
          <w:b/>
          <w:bCs/>
          <w:color w:val="CC0000"/>
          <w:sz w:val="20"/>
          <w:szCs w:val="20"/>
        </w:rPr>
        <w:t xml:space="preserve">AVISO IMPORTANTE: </w:t>
      </w:r>
      <w:r>
        <w:rPr>
          <w:color w:val="333333"/>
          <w:sz w:val="18"/>
          <w:szCs w:val="18"/>
        </w:rPr>
        <w:t xml:space="preserve">Este documento es de carácter confidencial y ha sido preparado únicamente con fines informativos para potenciales inversionistas. La información contenida no constituye una oferta de inversión ni asesoría financiera. Los datos presentados están basados en la información proporcionada por la empresa y no han sido verificados de forma independiente. Se recomienda realizar una debida diligencia completa antes de tomar cualquier decisión de inversión.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Prensados y Galvanizados de Lara, S.A. —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spacing w:after="100"/>
      <w:jc w:val="center"/>
    </w:pPr>
    <w:r>
      <w:rPr>
        <w:rFonts w:ascii="Arial" w:cs="Arial" w:eastAsia="Arial" w:hAnsi="Arial"/>
        <w:b/>
        <w:bCs/>
        <w:color w:val="1B4F72"/>
        <w:sz w:val="20"/>
        <w:szCs w:val="20"/>
      </w:rPr>
      <w:t xml:space="preserve">PRENSADOS Y GALVANIZADOS DE LARA, S.A.</w:t>
    </w:r>
    <w:r>
      <w:rPr>
        <w:rFonts w:ascii="Arial" w:cs="Arial" w:eastAsia="Arial" w:hAnsi="Arial"/>
        <w:color w:val="666666"/>
        <w:sz w:val="18"/>
        <w:szCs w:val="18"/>
      </w:rPr>
      <w:t xml:space="preserve">  |  Documento Confidencial para Inversionistas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2026-02-17T15:23:48.003Z</dcterms:created>
  <dcterms:modified xsi:type="dcterms:W3CDTF">2026-02-17T15:23:48.004Z</dcterms:modified>
</cp:coreProperties>
</file>

<file path=docProps/custom.xml><?xml version="1.0" encoding="utf-8"?>
<Properties xmlns="http://schemas.openxmlformats.org/officeDocument/2006/custom-properties" xmlns:vt="http://schemas.openxmlformats.org/officeDocument/2006/docPropsVTypes"/>
</file>