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Arial" w:cs="Arial" w:eastAsia="Arial" w:hAnsi="Arial"/>
          <w:b/>
          <w:bCs/>
          <w:color w:val="1B4F72"/>
          <w:sz w:val="52"/>
          <w:szCs w:val="52"/>
        </w:rPr>
        <w:t xml:space="preserve">PRENSADOS Y GALVANIZADOS</w:t>
      </w:r>
    </w:p>
    <w:p>
      <w:pPr>
        <w:spacing w:after="100"/>
        <w:jc w:val="center"/>
      </w:pPr>
      <w:r>
        <w:rPr>
          <w:rFonts w:ascii="Arial" w:cs="Arial" w:eastAsia="Arial" w:hAnsi="Arial"/>
          <w:b/>
          <w:bCs/>
          <w:color w:val="1B4F72"/>
          <w:sz w:val="52"/>
          <w:szCs w:val="52"/>
        </w:rPr>
        <w:t xml:space="preserve">DE LARA, S.A.</w:t>
      </w:r>
    </w:p>
    <w:p>
      <w:pPr>
        <w:pBdr>
          <w:bottom w:val="single" w:color="2E86C1" w:sz="8" w:space="8"/>
        </w:pBdr>
        <w:spacing w:after="400"/>
        <w:jc w:val="center"/>
      </w:pPr>
      <w:r>
        <w:rPr>
          <w:rFonts w:ascii="Arial" w:cs="Arial" w:eastAsia="Arial" w:hAnsi="Arial"/>
          <w:color w:val="2E86C1"/>
          <w:sz w:val="28"/>
          <w:szCs w:val="28"/>
        </w:rPr>
        <w:t xml:space="preserve">Company Profile &amp; Technical Documentation</w:t>
      </w:r>
    </w:p>
    <w:p>
      <w:pPr>
        <w:spacing w:before="120" w:after="120"/>
        <w:jc w:val="center"/>
      </w:pPr>
      <w:r>
        <w:drawing>
          <wp:inline distT="0" distB="0" distL="0" distR="0">
            <wp:extent cx="4762500" cy="5715000"/>
            <wp:effectExtent t="0" r="0" b="0" l="0"/>
            <wp:docPr id="1" name="Company Cover" descr="Company Cover" title="Company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5715000"/>
                    </a:xfrm>
                    <a:prstGeom prst="rect">
                      <a:avLst/>
                    </a:prstGeom>
                  </pic:spPr>
                </pic:pic>
              </a:graphicData>
            </a:graphic>
          </wp:inline>
        </w:drawing>
      </w:r>
    </w:p>
    <w:p>
      <w:pPr>
        <w:spacing w:before="400"/>
      </w:pPr>
    </w:p>
    <w:p>
      <w:pPr>
        <w:jc w:val="center"/>
      </w:pPr>
      <w:r>
        <w:rPr>
          <w:rFonts w:ascii="Arial" w:cs="Arial" w:eastAsia="Arial" w:hAnsi="Arial"/>
          <w:color w:val="555555"/>
          <w:sz w:val="24"/>
          <w:szCs w:val="24"/>
        </w:rPr>
        <w:t xml:space="preserve">Barquisimeto, Lara State, Venezuela</w:t>
      </w:r>
    </w:p>
    <w:p>
      <w:pPr>
        <w:jc w:val="center"/>
      </w:pPr>
      <w:r>
        <w:rPr>
          <w:rFonts w:ascii="Arial" w:cs="Arial" w:eastAsia="Arial" w:hAnsi="Arial"/>
          <w:color w:val="777777"/>
          <w:sz w:val="20"/>
          <w:szCs w:val="20"/>
        </w:rPr>
        <w:t xml:space="preserve">26th Street, between 1st and 2nd Avenue, Warehouse No. 25-90, 3001</w:t>
      </w:r>
    </w:p>
    <w:p>
      <w:pPr>
        <w:spacing w:before="100"/>
        <w:jc w:val="center"/>
      </w:pPr>
      <w:r>
        <w:rPr>
          <w:rFonts w:ascii="Arial" w:cs="Arial" w:eastAsia="Arial" w:hAnsi="Arial"/>
          <w:color w:val="777777"/>
          <w:sz w:val="20"/>
          <w:szCs w:val="20"/>
        </w:rPr>
        <w:t xml:space="preserve">Phone: +584245715349  |  Instagram: @pyglarasa</w:t>
      </w:r>
    </w:p>
    <w:p>
      <w:pPr>
        <w:sectPr>
          <w:pgSz w:w="12240" w:h="15840" w:orient="portrait"/>
          <w:pgMar w:top="1440" w:right="1440" w:bottom="1440" w:left="1440" w:header="708" w:footer="708" w:gutter="0"/>
          <w:pgNumType/>
          <w:docGrid w:linePitch="360"/>
        </w:sectPr>
      </w:pPr>
    </w:p>
    <w:p>
      <w:pPr>
        <w:pStyle w:val="Heading1"/>
        <w:pBdr>
          <w:bottom w:val="single" w:color="2E86C1" w:sz="6" w:space="4"/>
        </w:pBdr>
        <w:spacing w:before="360" w:after="200"/>
      </w:pPr>
      <w:r>
        <w:rPr>
          <w:rFonts w:ascii="Arial" w:cs="Arial" w:eastAsia="Arial" w:hAnsi="Arial"/>
          <w:b/>
          <w:bCs/>
          <w:color w:val="1B4F72"/>
          <w:sz w:val="32"/>
          <w:szCs w:val="32"/>
        </w:rPr>
        <w:t xml:space="preserve">1. Company Overview</w:t>
      </w:r>
    </w:p>
    <w:p>
      <w:pPr>
        <w:spacing w:before="80" w:after="80"/>
      </w:pPr>
      <w:r>
        <w:rPr>
          <w:rFonts w:ascii="Arial" w:cs="Arial" w:eastAsia="Arial" w:hAnsi="Arial"/>
          <w:sz w:val="22"/>
          <w:szCs w:val="22"/>
        </w:rPr>
        <w:t xml:space="preserve">Prensados y Galvanizados de Lara, S.A. is a 100% Venezuelan company and a leader in hot-dip galvanizing services. The company guarantees superior protection against rust and abrasion, extending the lifespan of metal structures and reducing maintenance costs.</w:t>
      </w:r>
    </w:p>
    <w:p>
      <w:pPr>
        <w:spacing w:before="80" w:after="80"/>
      </w:pPr>
      <w:r>
        <w:rPr>
          <w:rFonts w:ascii="Arial" w:cs="Arial" w:eastAsia="Arial" w:hAnsi="Arial"/>
          <w:sz w:val="22"/>
          <w:szCs w:val="22"/>
        </w:rPr>
        <w:t xml:space="preserve">Investing in hot-dip galvanizing creates a unique alloy between zinc and iron, armoring structures against corrosion for decades with total resistance from the inside out.</w:t>
      </w:r>
    </w:p>
    <w:p>
      <w:pPr>
        <w:spacing w:before="120" w:after="120"/>
        <w:jc w:val="center"/>
      </w:pPr>
      <w:r>
        <w:drawing>
          <wp:inline distT="0" distB="0" distL="0" distR="0">
            <wp:extent cx="5238750" cy="2190750"/>
            <wp:effectExtent t="0" r="0" b="0" l="0"/>
            <wp:docPr id="1" name="Factory Exterior" descr="Factory Exterior" title="Factory Ex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19075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Factory exterior view - Barquisimeto, Venezuela</w:t>
      </w:r>
    </w:p>
    <w:p>
      <w:pPr>
        <w:pStyle w:val="Heading2"/>
        <w:spacing w:before="240" w:after="120"/>
      </w:pPr>
      <w:r>
        <w:rPr>
          <w:rFonts w:ascii="Arial" w:cs="Arial" w:eastAsia="Arial" w:hAnsi="Arial"/>
          <w:b/>
          <w:bCs/>
          <w:color w:val="2E86C1"/>
          <w:sz w:val="26"/>
          <w:szCs w:val="26"/>
        </w:rPr>
        <w:t xml:space="preserve">1.1 Hot-Dip Galvanizing Process</w:t>
      </w:r>
    </w:p>
    <w:p>
      <w:pPr>
        <w:spacing w:before="80" w:after="80"/>
      </w:pPr>
      <w:r>
        <w:rPr>
          <w:rFonts w:ascii="Arial" w:cs="Arial" w:eastAsia="Arial" w:hAnsi="Arial"/>
          <w:b/>
          <w:bCs/>
          <w:sz w:val="22"/>
          <w:szCs w:val="22"/>
        </w:rPr>
        <w:t xml:space="preserve">Raw Materials:</w:t>
      </w:r>
    </w:p>
    <w:p>
      <w:pPr>
        <w:pStyle w:val="ListParagraph"/>
        <w:numPr>
          <w:ilvl w:val="0"/>
          <w:numId w:val="2"/>
        </w:numPr>
      </w:pPr>
      <w:r>
        <w:rPr>
          <w:rFonts w:ascii="Arial" w:cs="Arial" w:eastAsia="Arial" w:hAnsi="Arial"/>
          <w:sz w:val="22"/>
          <w:szCs w:val="22"/>
        </w:rPr>
        <w:t xml:space="preserve">Zinc (Zn): Special High Grade (99.9%) ingots, melted at 450°C to form alloy layers</w:t>
      </w:r>
    </w:p>
    <w:p>
      <w:pPr>
        <w:spacing w:before="80" w:after="80"/>
      </w:pPr>
      <w:r>
        <w:rPr>
          <w:rFonts w:ascii="Arial" w:cs="Arial" w:eastAsia="Arial" w:hAnsi="Arial"/>
          <w:b/>
          <w:bCs/>
          <w:sz w:val="22"/>
          <w:szCs w:val="22"/>
        </w:rPr>
        <w:t xml:space="preserve">Chemical Inputs for Preparation:</w:t>
      </w:r>
    </w:p>
    <w:p>
      <w:pPr>
        <w:pStyle w:val="ListParagraph"/>
        <w:numPr>
          <w:ilvl w:val="0"/>
          <w:numId w:val="2"/>
        </w:numPr>
      </w:pPr>
      <w:r>
        <w:rPr>
          <w:rFonts w:ascii="Arial" w:cs="Arial" w:eastAsia="Arial" w:hAnsi="Arial"/>
          <w:sz w:val="22"/>
          <w:szCs w:val="22"/>
        </w:rPr>
        <w:t xml:space="preserve">Pickling Agents (Hydrochloric Acid / HCl): Most voluminous input after zinc. Removes surface rust and mill scale.</w:t>
      </w:r>
    </w:p>
    <w:p>
      <w:pPr>
        <w:pStyle w:val="ListParagraph"/>
        <w:numPr>
          <w:ilvl w:val="0"/>
          <w:numId w:val="2"/>
        </w:numPr>
      </w:pPr>
      <w:r>
        <w:rPr>
          <w:rFonts w:ascii="Arial" w:cs="Arial" w:eastAsia="Arial" w:hAnsi="Arial"/>
          <w:sz w:val="22"/>
          <w:szCs w:val="22"/>
        </w:rPr>
        <w:t xml:space="preserve">Flux (Zinc Ammonium Chloride): Removes last traces of oxide, prevents re-oxidizing, and facilitates molten zinc wetting.</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2. Installed Production &amp; Galvanizing Machinery</w:t>
      </w:r>
    </w:p>
    <w:p>
      <w:pPr>
        <w:spacing w:before="80" w:after="80"/>
      </w:pPr>
      <w:r>
        <w:rPr>
          <w:rFonts w:ascii="Arial" w:cs="Arial" w:eastAsia="Arial" w:hAnsi="Arial"/>
          <w:sz w:val="22"/>
          <w:szCs w:val="22"/>
        </w:rPr>
        <w:t xml:space="preserve">The facility combines cutting-edge infrastructure with high-performance logistics, designed to handle projects of any scale with competitive turnaround times.</w:t>
      </w:r>
    </w:p>
    <w:p>
      <w:pPr>
        <w:pStyle w:val="Heading2"/>
        <w:spacing w:before="240" w:after="120"/>
      </w:pPr>
      <w:r>
        <w:rPr>
          <w:rFonts w:ascii="Arial" w:cs="Arial" w:eastAsia="Arial" w:hAnsi="Arial"/>
          <w:b/>
          <w:bCs/>
          <w:color w:val="2E86C1"/>
          <w:sz w:val="26"/>
          <w:szCs w:val="26"/>
        </w:rPr>
        <w:t xml:space="preserve">2.1 Specialized Infrastructure (Kettle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Kettle Type</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Dimensions</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Application</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Large-Format Pilling Kettle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7.00 x 0.80 x 1.40 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Long profiles &amp; large-scale structures</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Mid-Range Kettle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3.00 x 0.60 x 1.00 m</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Intermediate parts &amp; industrial hardware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Precision Kettle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65 x 65 x 65 cm</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Small parts &amp; fasteners</w:t>
            </w:r>
          </w:p>
        </w:tc>
      </w:tr>
    </w:tbl>
    <w:p>
      <w:pPr>
        <w:spacing w:before="80" w:after="80"/>
      </w:pPr>
      <w:r>
        <w:rPr>
          <w:rFonts w:ascii="Arial" w:cs="Arial" w:eastAsia="Arial" w:hAnsi="Arial"/>
          <w:b/>
          <w:bCs/>
          <w:sz w:val="22"/>
          <w:szCs w:val="22"/>
        </w:rPr>
        <w:t xml:space="preserve">Installed production capacity: 400 tons per month.</w:t>
      </w:r>
    </w:p>
    <w:p>
      <w:pPr>
        <w:spacing w:before="120" w:after="120"/>
        <w:jc w:val="center"/>
      </w:pPr>
      <w:r>
        <w:drawing>
          <wp:inline distT="0" distB="0" distL="0" distR="0">
            <wp:extent cx="4762500" cy="2000250"/>
            <wp:effectExtent t="0" r="0" b="0" l="0"/>
            <wp:docPr id="1" name="W. Pilling Riepe Kettle - New" descr="W. Pilling Riepe Kettle - New" title="W. Pilling Riepe Kettle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00025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W. Pilling Riepe galvanizing kettle (new condition) - GmbH &amp; Co. KG, Germany</w:t>
      </w:r>
    </w:p>
    <w:p>
      <w:pPr>
        <w:spacing w:before="120" w:after="120"/>
        <w:jc w:val="center"/>
      </w:pPr>
      <w:r>
        <w:drawing>
          <wp:inline distT="0" distB="0" distL="0" distR="0">
            <wp:extent cx="4762500" cy="3238500"/>
            <wp:effectExtent t="0" r="0" b="0" l="0"/>
            <wp:docPr id="1" name="W. Pilling Riepe Kettle - In Service" descr="W. Pilling Riepe Kettle - In Service" title="W. Pilling Riepe Kettle - I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3850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W. Pilling Riepe galvanizing kettle (in service)</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3. Facility &amp; Equipment Gallery</w:t>
      </w:r>
    </w:p>
    <w:p>
      <w:pPr>
        <w:pStyle w:val="Heading2"/>
        <w:spacing w:before="240" w:after="120"/>
      </w:pPr>
      <w:r>
        <w:rPr>
          <w:rFonts w:ascii="Arial" w:cs="Arial" w:eastAsia="Arial" w:hAnsi="Arial"/>
          <w:b/>
          <w:bCs/>
          <w:color w:val="2E86C1"/>
          <w:sz w:val="26"/>
          <w:szCs w:val="26"/>
        </w:rPr>
        <w:t xml:space="preserve">3.1 Galvanizing Furnace Structure</w:t>
      </w:r>
    </w:p>
    <w:p>
      <w:pPr>
        <w:spacing w:before="120" w:after="120"/>
        <w:jc w:val="center"/>
      </w:pPr>
      <w:r>
        <w:drawing>
          <wp:inline distT="0" distB="0" distL="0" distR="0">
            <wp:extent cx="5238750" cy="2381250"/>
            <wp:effectExtent t="0" r="0" b="0" l="0"/>
            <wp:docPr id="1" name="Galvanizing Furnace" descr="Galvanizing Furnace" title="Galvanizing Furn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38125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Main galvanizing furnace structure</w:t>
      </w:r>
    </w:p>
    <w:p>
      <w:pPr>
        <w:pStyle w:val="Heading2"/>
        <w:spacing w:before="240" w:after="120"/>
      </w:pPr>
      <w:r>
        <w:rPr>
          <w:rFonts w:ascii="Arial" w:cs="Arial" w:eastAsia="Arial" w:hAnsi="Arial"/>
          <w:b/>
          <w:bCs/>
          <w:color w:val="2E86C1"/>
          <w:sz w:val="26"/>
          <w:szCs w:val="26"/>
        </w:rPr>
        <w:t xml:space="preserve">3.2 Chemical Treatment Tanks &amp; Transformers</w:t>
      </w:r>
    </w:p>
    <w:p>
      <w:pPr>
        <w:spacing w:before="120" w:after="120"/>
        <w:jc w:val="center"/>
      </w:pPr>
      <w:r>
        <w:drawing>
          <wp:inline distT="0" distB="0" distL="0" distR="0">
            <wp:extent cx="5238750" cy="3238500"/>
            <wp:effectExtent t="0" r="0" b="0" l="0"/>
            <wp:docPr id="1" name="Chemical Treatment Area - Clean" descr="Chemical Treatment Area - Clean" title="Chemical Treatment Area - 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323850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Chemical treatment tanks and transformers (renovated)</w:t>
      </w:r>
    </w:p>
    <w:p>
      <w:pPr>
        <w:spacing w:before="120" w:after="120"/>
        <w:jc w:val="center"/>
      </w:pPr>
      <w:r>
        <w:drawing>
          <wp:inline distT="0" distB="0" distL="0" distR="0">
            <wp:extent cx="5238750" cy="3238500"/>
            <wp:effectExtent t="0" r="0" b="0" l="0"/>
            <wp:docPr id="1" name="Chemical Treatment Area" descr="Chemical Treatment Area" title="Chemical Treatment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323850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Chemical treatment area - operational view</w:t>
      </w:r>
    </w:p>
    <w:p>
      <w:r>
        <w:br w:type="page"/>
      </w:r>
    </w:p>
    <w:p>
      <w:pPr>
        <w:pStyle w:val="Heading2"/>
        <w:spacing w:before="240" w:after="120"/>
      </w:pPr>
      <w:r>
        <w:rPr>
          <w:rFonts w:ascii="Arial" w:cs="Arial" w:eastAsia="Arial" w:hAnsi="Arial"/>
          <w:b/>
          <w:bCs/>
          <w:color w:val="2E86C1"/>
          <w:sz w:val="26"/>
          <w:szCs w:val="26"/>
        </w:rPr>
        <w:t xml:space="preserve">3.3 Pickling Treatment Line</w:t>
      </w:r>
    </w:p>
    <w:p>
      <w:pPr>
        <w:spacing w:before="120" w:after="120"/>
        <w:jc w:val="center"/>
      </w:pPr>
      <w:r>
        <w:drawing>
          <wp:inline distT="0" distB="0" distL="0" distR="0">
            <wp:extent cx="5238750" cy="3524250"/>
            <wp:effectExtent t="0" r="0" b="0" l="0"/>
            <wp:docPr id="1" name="Pickling Line - Front" descr="Pickling Line - Front" title="Pickling Line -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352425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Green pickling/chemical treatment line - front view</w:t>
      </w:r>
    </w:p>
    <w:p>
      <w:pPr>
        <w:spacing w:before="120" w:after="120"/>
        <w:jc w:val="center"/>
      </w:pPr>
      <w:r>
        <w:drawing>
          <wp:inline distT="0" distB="0" distL="0" distR="0">
            <wp:extent cx="5238750" cy="3524250"/>
            <wp:effectExtent t="0" r="0" b="0" l="0"/>
            <wp:docPr id="1" name="Pickling Line - Side" descr="Pickling Line - Side" title="Pickling Line -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52425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Pickling treatment line - side view</w:t>
      </w:r>
    </w:p>
    <w:p>
      <w:pPr>
        <w:pStyle w:val="Heading2"/>
        <w:spacing w:before="240" w:after="120"/>
      </w:pPr>
      <w:r>
        <w:rPr>
          <w:rFonts w:ascii="Arial" w:cs="Arial" w:eastAsia="Arial" w:hAnsi="Arial"/>
          <w:b/>
          <w:bCs/>
          <w:color w:val="2E86C1"/>
          <w:sz w:val="26"/>
          <w:szCs w:val="26"/>
        </w:rPr>
        <w:t xml:space="preserve">3.4 Small Parts Galvanizing Station</w:t>
      </w:r>
    </w:p>
    <w:p>
      <w:pPr>
        <w:spacing w:before="120" w:after="120"/>
        <w:jc w:val="center"/>
      </w:pPr>
      <w:r>
        <w:drawing>
          <wp:inline distT="0" distB="0" distL="0" distR="0">
            <wp:extent cx="4762500" cy="3524250"/>
            <wp:effectExtent t="0" r="0" b="0" l="0"/>
            <wp:docPr id="1" name="Small Galvanizing Kettle" descr="Small Galvanizing Kettle" title="Small Galvanizing Ke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52425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Precision kettle with perforated basket for small parts</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4. 9-Meter Machinery for Installation</w:t>
      </w:r>
    </w:p>
    <w:p>
      <w:pPr>
        <w:spacing w:before="80" w:after="80"/>
      </w:pPr>
      <w:r>
        <w:rPr>
          <w:rFonts w:ascii="Arial" w:cs="Arial" w:eastAsia="Arial" w:hAnsi="Arial"/>
          <w:sz w:val="22"/>
          <w:szCs w:val="22"/>
        </w:rPr>
        <w:t xml:space="preserve">Detailed cost breakdown for the 9-meter galvanizing furnace system:</w:t>
      </w:r>
    </w:p>
    <w:p>
      <w:pPr>
        <w:pStyle w:val="Heading2"/>
        <w:spacing w:before="240" w:after="120"/>
      </w:pPr>
      <w:r>
        <w:rPr>
          <w:rFonts w:ascii="Arial" w:cs="Arial" w:eastAsia="Arial" w:hAnsi="Arial"/>
          <w:b/>
          <w:bCs/>
          <w:color w:val="2E86C1"/>
          <w:sz w:val="26"/>
          <w:szCs w:val="26"/>
        </w:rPr>
        <w:t xml:space="preserve">4.1 Major Equipment Costs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1560"/>
        <w:gridCol w:w="1560"/>
      </w:tblGrid>
      <w:tr>
        <w:tc>
          <w:tcPr>
            <w:tcW w:type="dxa" w:w="4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Qty</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Unit Price ($)</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Structure for Galvanizing Furnace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285,000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285,000</w:t>
            </w:r>
          </w:p>
        </w:tc>
      </w:tr>
      <w:tr>
        <w:tc>
          <w:tcPr>
            <w:tcW w:type="dxa" w:w="468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Refractory Ceramics, Mineral Wool &amp; Anchors</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65,000</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65,000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Kettle/Caldron (9m x 80cm x 1.40m, 2" thick)</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80,000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80,000</w:t>
            </w:r>
          </w:p>
        </w:tc>
      </w:tr>
      <w:tr>
        <w:tc>
          <w:tcPr>
            <w:tcW w:type="dxa" w:w="468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Fabricated Metal Structure</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100,000</w:t>
            </w:r>
          </w:p>
        </w:tc>
        <w:tc>
          <w:tcPr>
            <w:tcW w:type="dxa" w:w="15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100,000</w:t>
            </w:r>
          </w:p>
        </w:tc>
      </w:tr>
      <w:tr>
        <w:tc>
          <w:tcPr>
            <w:tcW w:type="dxa" w:w="4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Plans &amp; Assembly Consultancy</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40,000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40,000</w:t>
            </w:r>
          </w:p>
        </w:tc>
      </w:tr>
      <w:tr>
        <w:tc>
          <w:tcPr>
            <w:tcW w:type="dxa" w:w="468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TOTAL</w:t>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center"/>
            </w:pPr>
            <w:r>
              <w:rPr>
                <w:rFonts w:ascii="Arial" w:cs="Arial" w:eastAsia="Arial" w:hAnsi="Arial"/>
                <w:color w:val="FFFFFF"/>
                <w:sz w:val="20"/>
                <w:szCs w:val="20"/>
              </w:rPr>
              <w:t xml:space="preserve"/>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color w:val="FFFFFF"/>
                <w:sz w:val="20"/>
                <w:szCs w:val="20"/>
              </w:rPr>
              <w:t xml:space="preserve"/>
            </w:r>
          </w:p>
        </w:tc>
        <w:tc>
          <w:tcPr>
            <w:tcW w:type="dxa" w:w="15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570,000</w:t>
            </w:r>
          </w:p>
        </w:tc>
      </w:tr>
    </w:tbl>
    <w:p>
      <w:pPr>
        <w:pStyle w:val="Heading2"/>
        <w:spacing w:before="240" w:after="120"/>
      </w:pPr>
      <w:r>
        <w:rPr>
          <w:rFonts w:ascii="Arial" w:cs="Arial" w:eastAsia="Arial" w:hAnsi="Arial"/>
          <w:b/>
          <w:bCs/>
          <w:color w:val="2E86C1"/>
          <w:sz w:val="26"/>
          <w:szCs w:val="26"/>
        </w:rPr>
        <w:t xml:space="preserve">4.2 Key Combustion Components</w:t>
      </w:r>
    </w:p>
    <w:p>
      <w:pPr>
        <w:spacing w:before="80" w:after="80"/>
      </w:pPr>
      <w:r>
        <w:rPr>
          <w:rFonts w:ascii="Arial" w:cs="Arial" w:eastAsia="Arial" w:hAnsi="Arial"/>
          <w:sz w:val="22"/>
          <w:szCs w:val="22"/>
        </w:rPr>
        <w:t xml:space="preserve">The furnace system includes 4x Hauck RSV120 burners, 4x Kromschröder pulse-fired butterfly valves, Spencer air combustion fan (375 CFM @ 16 OSI, 5hp TEFC motor), Allen Bradley starter equipment and MicroLogix PLC, 12x Conbraco test cocks, Honeywell DC330/DC230 temperature controllers, and Honeywell DC230L bath limit controller.</w:t>
      </w:r>
    </w:p>
    <w:p>
      <w:pPr>
        <w:pStyle w:val="Heading2"/>
        <w:spacing w:before="240" w:after="120"/>
      </w:pPr>
      <w:r>
        <w:rPr>
          <w:rFonts w:ascii="Arial" w:cs="Arial" w:eastAsia="Arial" w:hAnsi="Arial"/>
          <w:b/>
          <w:bCs/>
          <w:color w:val="2E86C1"/>
          <w:sz w:val="26"/>
          <w:szCs w:val="26"/>
        </w:rPr>
        <w:t xml:space="preserve">4.3 Control Panel Board</w:t>
      </w:r>
    </w:p>
    <w:p>
      <w:pPr>
        <w:spacing w:before="80" w:after="80"/>
      </w:pPr>
      <w:r>
        <w:rPr>
          <w:rFonts w:ascii="Arial" w:cs="Arial" w:eastAsia="Arial" w:hAnsi="Arial"/>
          <w:sz w:val="22"/>
          <w:szCs w:val="22"/>
        </w:rPr>
        <w:t xml:space="preserve">Control panel (30" wide x 36" high x 16" deep) includes Honeywell temperature controllers, Monarch 2-channel paperless recorder, Kromschröder PF 19 pulse/flame safety rack, Eagle signal timer, Edwards main control furnace alarm, Allen Bradley selector switch, push buttons, pilot lights, and MicroLogix PLC.</w:t>
      </w:r>
    </w:p>
    <w:p>
      <w:pPr>
        <w:pStyle w:val="Heading2"/>
        <w:spacing w:before="240" w:after="120"/>
      </w:pPr>
      <w:r>
        <w:rPr>
          <w:rFonts w:ascii="Arial" w:cs="Arial" w:eastAsia="Arial" w:hAnsi="Arial"/>
          <w:b/>
          <w:bCs/>
          <w:color w:val="2E86C1"/>
          <w:sz w:val="26"/>
          <w:szCs w:val="26"/>
        </w:rPr>
        <w:t xml:space="preserve">4.4 Refractory Materials</w:t>
      </w:r>
    </w:p>
    <w:p>
      <w:pPr>
        <w:spacing w:before="80" w:after="80"/>
      </w:pPr>
      <w:r>
        <w:rPr>
          <w:rFonts w:ascii="Arial" w:cs="Arial" w:eastAsia="Arial" w:hAnsi="Arial"/>
          <w:sz w:val="22"/>
          <w:szCs w:val="22"/>
        </w:rPr>
        <w:t xml:space="preserve">Includes 1,200 sq ft of 1" thick ceramic fiber (#8 density), 600 sq ft of 2" thick ceramic fiber (#6 density), 1,200 sq ft of 2" thick mineral wool blocks, 310 stainless steel stud sets (8", 6", 4", 2" sizes), 100 lbs of 310 stainless steel mesh, and 900 lbs of insulating mortar.</w:t>
      </w:r>
    </w:p>
    <w:p>
      <w:pPr>
        <w:spacing w:before="120" w:after="120"/>
        <w:jc w:val="center"/>
      </w:pPr>
      <w:r>
        <w:drawing>
          <wp:inline distT="0" distB="0" distL="0" distR="0">
            <wp:extent cx="5238750" cy="6667500"/>
            <wp:effectExtent t="0" r="0" b="0" l="0"/>
            <wp:docPr id="1" name="9-Meter Machinery Specifications" descr="9-Meter Machinery Specifications" title="9-Meter Machinery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666750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Original 9-meter machinery specification sheet</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5. Installed Production Capacity</w:t>
      </w:r>
    </w:p>
    <w:p>
      <w:pPr>
        <w:pStyle w:val="Heading2"/>
        <w:spacing w:before="240" w:after="120"/>
      </w:pPr>
      <w:r>
        <w:rPr>
          <w:rFonts w:ascii="Arial" w:cs="Arial" w:eastAsia="Arial" w:hAnsi="Arial"/>
          <w:b/>
          <w:bCs/>
          <w:color w:val="2E86C1"/>
          <w:sz w:val="26"/>
          <w:szCs w:val="26"/>
        </w:rPr>
        <w:t xml:space="preserve">5.1 Raw Material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Material</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Quantity</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 (USD)</w:t>
            </w:r>
          </w:p>
        </w:tc>
        <w:tc>
          <w:tcPr>
            <w:tcW w:type="dxa" w:w="23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Total (USD)</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Zinc SHG 99.9%</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140 Tons / Year</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$3,600.00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$504,000.00</w:t>
            </w:r>
          </w:p>
        </w:tc>
      </w:tr>
      <w:tr>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bCs/>
                <w:sz w:val="20"/>
                <w:szCs w:val="20"/>
              </w:rPr>
              <w:t xml:space="preserve">Hydrochloric Acid</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5 Tons / Month</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$1,173.91</w:t>
            </w:r>
          </w:p>
        </w:tc>
        <w:tc>
          <w:tcPr>
            <w:tcW w:type="dxa" w:w="23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$5,869.56</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bCs/>
                <w:sz w:val="20"/>
                <w:szCs w:val="20"/>
              </w:rPr>
              <w:t xml:space="preserve">Ammonium Chloride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center"/>
            </w:pPr>
            <w:r>
              <w:rPr>
                <w:rFonts w:ascii="Arial" w:cs="Arial" w:eastAsia="Arial" w:hAnsi="Arial"/>
                <w:b w:val="false"/>
                <w:bCs w:val="false"/>
                <w:sz w:val="20"/>
                <w:szCs w:val="20"/>
              </w:rPr>
              <w:t xml:space="preserve">1 Ton / Month</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$2,300.00</w:t>
            </w:r>
          </w:p>
        </w:tc>
      </w:tr>
    </w:tbl>
    <w:p>
      <w:pPr>
        <w:pStyle w:val="Heading2"/>
        <w:spacing w:before="240" w:after="120"/>
      </w:pPr>
      <w:r>
        <w:rPr>
          <w:rFonts w:ascii="Arial" w:cs="Arial" w:eastAsia="Arial" w:hAnsi="Arial"/>
          <w:b/>
          <w:bCs/>
          <w:color w:val="2E86C1"/>
          <w:sz w:val="26"/>
          <w:szCs w:val="26"/>
        </w:rPr>
        <w:t xml:space="preserve">5.2 Galvanizing Yield with 140 Tons of Zinc</w:t>
      </w:r>
    </w:p>
    <w:p>
      <w:pPr>
        <w:pStyle w:val="ListParagraph"/>
        <w:numPr>
          <w:ilvl w:val="0"/>
          <w:numId w:val="2"/>
        </w:numPr>
      </w:pPr>
      <w:r>
        <w:rPr>
          <w:rFonts w:ascii="Arial" w:cs="Arial" w:eastAsia="Arial" w:hAnsi="Arial"/>
          <w:sz w:val="22"/>
          <w:szCs w:val="22"/>
        </w:rPr>
        <w:t xml:space="preserve">High-efficiency scenario (7% coating): Up to 2,000 tons of steel (large/heavy parts, structural beams)</w:t>
      </w:r>
    </w:p>
    <w:p>
      <w:pPr>
        <w:pStyle w:val="ListParagraph"/>
        <w:numPr>
          <w:ilvl w:val="0"/>
          <w:numId w:val="2"/>
        </w:numPr>
      </w:pPr>
      <w:r>
        <w:rPr>
          <w:rFonts w:ascii="Arial" w:cs="Arial" w:eastAsia="Arial" w:hAnsi="Arial"/>
          <w:sz w:val="22"/>
          <w:szCs w:val="22"/>
        </w:rPr>
        <w:t xml:space="preserve">Standard scenario (10% coating): 1,400 tons of steel (medium profiles, pipes, general ironwork)</w:t>
      </w:r>
    </w:p>
    <w:p>
      <w:pPr>
        <w:pStyle w:val="Heading2"/>
        <w:spacing w:before="240" w:after="120"/>
      </w:pPr>
      <w:r>
        <w:rPr>
          <w:rFonts w:ascii="Arial" w:cs="Arial" w:eastAsia="Arial" w:hAnsi="Arial"/>
          <w:b/>
          <w:bCs/>
          <w:color w:val="2E86C1"/>
          <w:sz w:val="26"/>
          <w:szCs w:val="26"/>
        </w:rPr>
        <w:t xml:space="preserve">5.3 Fixed Monthly Expenses</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tblGrid>
      <w:tr>
        <w:tc>
          <w:tcPr>
            <w:tcW w:type="dxa" w:w="32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Amount / Month</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Gas</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$1,800</w:t>
            </w:r>
          </w:p>
        </w:tc>
      </w:tr>
      <w:tr>
        <w:tc>
          <w:tcPr>
            <w:tcW w:type="dxa" w:w="32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Electricity</w:t>
            </w:r>
          </w:p>
        </w:tc>
        <w:tc>
          <w:tcPr>
            <w:tcW w:type="dxa" w:w="21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$200</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Security</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$1,200</w:t>
            </w:r>
          </w:p>
        </w:tc>
      </w:tr>
      <w:tr>
        <w:tc>
          <w:tcPr>
            <w:tcW w:type="dxa" w:w="324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Salaries / Wages</w:t>
            </w:r>
          </w:p>
        </w:tc>
        <w:tc>
          <w:tcPr>
            <w:tcW w:type="dxa" w:w="216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$2,300</w:t>
            </w:r>
          </w:p>
        </w:tc>
      </w:tr>
      <w:tr>
        <w:tc>
          <w:tcPr>
            <w:tcW w:type="dxa" w:w="324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Cleaning / Maintenance</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right"/>
            </w:pPr>
            <w:r>
              <w:rPr>
                <w:rFonts w:ascii="Arial" w:cs="Arial" w:eastAsia="Arial" w:hAnsi="Arial"/>
                <w:b w:val="false"/>
                <w:bCs w:val="false"/>
                <w:sz w:val="20"/>
                <w:szCs w:val="20"/>
              </w:rPr>
              <w:t xml:space="preserve">$100</w:t>
            </w:r>
          </w:p>
        </w:tc>
      </w:tr>
      <w:tr>
        <w:tc>
          <w:tcPr>
            <w:tcW w:type="dxa" w:w="324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TOTAL</w:t>
            </w:r>
          </w:p>
        </w:tc>
        <w:tc>
          <w:tcPr>
            <w:tcW w:type="dxa" w:w="216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$5,600</w:t>
            </w:r>
          </w:p>
        </w:tc>
      </w:tr>
    </w:tbl>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6. Copper Electrolytic Plant</w:t>
      </w:r>
    </w:p>
    <w:p>
      <w:pPr>
        <w:spacing w:before="80" w:after="80"/>
      </w:pPr>
      <w:r>
        <w:rPr>
          <w:rFonts w:ascii="Arial" w:cs="Arial" w:eastAsia="Arial" w:hAnsi="Arial"/>
          <w:sz w:val="22"/>
          <w:szCs w:val="22"/>
        </w:rPr>
        <w:t xml:space="preserve">The company also includes an electrolytic copper plant for manufacturing electrical grounding rods. These rods range from 5/8" to 1" in diameter and 1.20m to 3m in length.</w:t>
      </w:r>
    </w:p>
    <w:p>
      <w:pPr>
        <w:spacing w:before="80" w:after="80"/>
      </w:pPr>
      <w:r>
        <w:rPr>
          <w:rFonts w:ascii="Arial" w:cs="Arial" w:eastAsia="Arial" w:hAnsi="Arial"/>
          <w:sz w:val="22"/>
          <w:szCs w:val="22"/>
        </w:rPr>
        <w:t xml:space="preserve">The plant has an installed capacity of 936 rods per day on a continuous 24-hour production cycle. The facility manufactures standardized grounding rods featuring a high-purity copper layer with a thickness of 300 µm ± 50. Quality is certified through rigorous controls applied to both the manufacturing process and the finished product.</w:t>
      </w:r>
    </w:p>
    <w:p>
      <w:pPr>
        <w:pStyle w:val="Heading2"/>
        <w:spacing w:before="240" w:after="120"/>
      </w:pPr>
      <w:r>
        <w:rPr>
          <w:rFonts w:ascii="Arial" w:cs="Arial" w:eastAsia="Arial" w:hAnsi="Arial"/>
          <w:b/>
          <w:bCs/>
          <w:color w:val="2E86C1"/>
          <w:sz w:val="26"/>
          <w:szCs w:val="26"/>
        </w:rPr>
        <w:t xml:space="preserve">6.1 Chemical Inputs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 (Spanish)</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English Translation</w:t>
            </w:r>
          </w:p>
        </w:tc>
        <w:tc>
          <w:tcPr>
            <w:tcW w:type="dxa" w:w="3120"/>
            <w:tcBorders>
              <w:top w:val="single" w:color="BBBBBB" w:sz="1"/>
              <w:left w:val="single" w:color="BBBBBB" w:sz="1"/>
              <w:bottom w:val="single" w:color="BBBBBB" w:sz="1"/>
              <w:right w:val="single" w:color="BBBBBB"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Quantity / Details</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Ácido</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Acid</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5,000 kg / month</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Cloruro de Amonio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Ammonium Chloride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 kg / month (startup)</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Planta de Cobre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Copper Plant</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4 tons electrolytic copper (for 4 tanks)</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Sulfato de Níquel</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Nickel Sulfate</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600 kg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Cloruro de Níquel</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Nickel Chloride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120 kg</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Ácido Bórico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Boric Acid</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 kg</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Níquel en Briquetas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Nickel Briquettes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1,000 kg</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Cesta de Titanio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Titanium Basket</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w:t>
            </w:r>
          </w:p>
        </w:tc>
      </w:tr>
      <w:tr>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Baños de Cobre</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Copper Baths</w:t>
            </w:r>
          </w:p>
        </w:tc>
        <w:tc>
          <w:tcPr>
            <w:tcW w:type="dxa" w:w="312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3,600 Copper Sulfate bath</w:t>
            </w:r>
          </w:p>
        </w:tc>
      </w:tr>
      <w:tr>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Ácido Sulfúrico</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Sulfuric Acid</w:t>
            </w:r>
          </w:p>
        </w:tc>
        <w:tc>
          <w:tcPr>
            <w:tcW w:type="dxa" w:w="3120"/>
            <w:tcBorders>
              <w:top w:val="single" w:color="BBBBBB" w:sz="1"/>
              <w:left w:val="single" w:color="BBBBBB" w:sz="1"/>
              <w:bottom w:val="single" w:color="BBBBBB" w:sz="1"/>
              <w:right w:val="single" w:color="BBBBBB"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sz w:val="20"/>
                <w:szCs w:val="20"/>
              </w:rPr>
              <w:t xml:space="preserve">900</w:t>
            </w:r>
          </w:p>
        </w:tc>
      </w:tr>
    </w:tbl>
    <w:p>
      <w:pPr>
        <w:spacing w:before="120" w:after="120"/>
        <w:jc w:val="center"/>
      </w:pPr>
      <w:r>
        <w:drawing>
          <wp:inline distT="0" distB="0" distL="0" distR="0">
            <wp:extent cx="5238750" cy="6667500"/>
            <wp:effectExtent t="0" r="0" b="0" l="0"/>
            <wp:docPr id="1" name="Copper Electrolytic Plant Details" descr="Copper Electrolytic Plant Details" title="Copper Electrolytic Plant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6667500"/>
                    </a:xfrm>
                    <a:prstGeom prst="rect">
                      <a:avLst/>
                    </a:prstGeom>
                  </pic:spPr>
                </pic:pic>
              </a:graphicData>
            </a:graphic>
          </wp:inline>
        </w:drawing>
      </w:r>
    </w:p>
    <w:p>
      <w:pPr>
        <w:spacing w:before="40" w:after="200"/>
        <w:jc w:val="center"/>
      </w:pPr>
      <w:r>
        <w:rPr>
          <w:rFonts w:ascii="Arial" w:cs="Arial" w:eastAsia="Arial" w:hAnsi="Arial"/>
          <w:i/>
          <w:iCs/>
          <w:color w:val="666666"/>
          <w:sz w:val="18"/>
          <w:szCs w:val="18"/>
        </w:rPr>
        <w:t xml:space="preserve">Original copper electrolytic plant specification sheet</w:t>
      </w:r>
    </w:p>
    <w:p>
      <w:r>
        <w:br w:type="page"/>
      </w:r>
    </w:p>
    <w:p>
      <w:pPr>
        <w:pStyle w:val="Heading1"/>
        <w:pBdr>
          <w:bottom w:val="single" w:color="2E86C1" w:sz="6" w:space="4"/>
        </w:pBdr>
        <w:spacing w:before="360" w:after="200"/>
      </w:pPr>
      <w:r>
        <w:rPr>
          <w:rFonts w:ascii="Arial" w:cs="Arial" w:eastAsia="Arial" w:hAnsi="Arial"/>
          <w:b/>
          <w:bCs/>
          <w:color w:val="1B4F72"/>
          <w:sz w:val="32"/>
          <w:szCs w:val="32"/>
        </w:rPr>
        <w:t xml:space="preserve">7. Original Source Documents</w:t>
      </w:r>
    </w:p>
    <w:p>
      <w:pPr>
        <w:spacing w:before="80" w:after="80"/>
      </w:pPr>
      <w:r>
        <w:rPr>
          <w:rFonts w:ascii="Arial" w:cs="Arial" w:eastAsia="Arial" w:hAnsi="Arial"/>
          <w:sz w:val="22"/>
          <w:szCs w:val="22"/>
        </w:rPr>
        <w:t xml:space="preserve">The following are the original source document pages as provided:</w:t>
      </w:r>
    </w:p>
    <w:p>
      <w:pPr>
        <w:pStyle w:val="Heading2"/>
        <w:spacing w:before="240" w:after="120"/>
      </w:pPr>
      <w:r>
        <w:rPr>
          <w:rFonts w:ascii="Arial" w:cs="Arial" w:eastAsia="Arial" w:hAnsi="Arial"/>
          <w:b/>
          <w:bCs/>
          <w:color w:val="2E86C1"/>
          <w:sz w:val="26"/>
          <w:szCs w:val="26"/>
        </w:rPr>
        <w:t xml:space="preserve">7.1 Company Information Page</w:t>
      </w:r>
    </w:p>
    <w:p>
      <w:pPr>
        <w:spacing w:before="120" w:after="120"/>
        <w:jc w:val="center"/>
      </w:pPr>
      <w:r>
        <w:drawing>
          <wp:inline distT="0" distB="0" distL="0" distR="0">
            <wp:extent cx="4762500" cy="6191250"/>
            <wp:effectExtent t="0" r="0" b="0" l="0"/>
            <wp:docPr id="1" name="Company Information" descr="Company Information" title="Company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6191250"/>
                    </a:xfrm>
                    <a:prstGeom prst="rect">
                      <a:avLst/>
                    </a:prstGeom>
                  </pic:spPr>
                </pic:pic>
              </a:graphicData>
            </a:graphic>
          </wp:inline>
        </w:drawing>
      </w:r>
    </w:p>
    <w:p>
      <w:r>
        <w:br w:type="page"/>
      </w:r>
    </w:p>
    <w:p>
      <w:pPr>
        <w:pStyle w:val="Heading2"/>
        <w:spacing w:before="240" w:after="120"/>
      </w:pPr>
      <w:r>
        <w:rPr>
          <w:rFonts w:ascii="Arial" w:cs="Arial" w:eastAsia="Arial" w:hAnsi="Arial"/>
          <w:b/>
          <w:bCs/>
          <w:color w:val="2E86C1"/>
          <w:sz w:val="26"/>
          <w:szCs w:val="26"/>
        </w:rPr>
        <w:t xml:space="preserve">7.2 Production Capacity Page</w:t>
      </w:r>
    </w:p>
    <w:p>
      <w:pPr>
        <w:spacing w:before="120" w:after="120"/>
        <w:jc w:val="center"/>
      </w:pPr>
      <w:r>
        <w:drawing>
          <wp:inline distT="0" distB="0" distL="0" distR="0">
            <wp:extent cx="4762500" cy="6191250"/>
            <wp:effectExtent t="0" r="0" b="0" l="0"/>
            <wp:docPr id="1" name="Production Capacity" descr="Production Capacity" title="Production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6191250"/>
                    </a:xfrm>
                    <a:prstGeom prst="rect">
                      <a:avLst/>
                    </a:prstGeom>
                  </pic:spPr>
                </pic:pic>
              </a:graphicData>
            </a:graphic>
          </wp:inline>
        </w:drawing>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2E86C1"/>
        <w:sz w:val="18"/>
        <w:szCs w:val="18"/>
      </w:rPr>
      <w:t xml:space="preserve">Prensados y Galvanizados de Lara, 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8f1308a664f0afc149ebe43c8d5a36644e61b76.jpg"/><Relationship Id="rId9" Type="http://schemas.openxmlformats.org/officeDocument/2006/relationships/image" Target="media/36d990b891a6f053f5afbb591501d15eba65040e.jpg"/><Relationship Id="rId10" Type="http://schemas.openxmlformats.org/officeDocument/2006/relationships/image" Target="media/651bb4a8c6b3ac1a0b4adde452b907d88a072f8d.jpg"/><Relationship Id="rId11" Type="http://schemas.openxmlformats.org/officeDocument/2006/relationships/image" Target="media/9961868142e82847acec936d937fa57fed97bbd3.jpg"/><Relationship Id="rId12" Type="http://schemas.openxmlformats.org/officeDocument/2006/relationships/image" Target="media/f7ffb6786e8000f3e7d9dbd4052032a41e27e88d.jpg"/><Relationship Id="rId13" Type="http://schemas.openxmlformats.org/officeDocument/2006/relationships/image" Target="media/b83c99c032e6d9bdf40e3cb44107aa1005774599.jpg"/><Relationship Id="rId14" Type="http://schemas.openxmlformats.org/officeDocument/2006/relationships/image" Target="media/912916de42816ed5ea24d5b57d60e2b9c9585363.jpg"/><Relationship Id="rId15" Type="http://schemas.openxmlformats.org/officeDocument/2006/relationships/image" Target="media/c85408e2b7cb6d9deec6b7fc11cbcffb7efc5cb2.jpg"/><Relationship Id="rId16" Type="http://schemas.openxmlformats.org/officeDocument/2006/relationships/image" Target="media/d0fcc45d22606b4fd44d5900e13bf39fe4578729.jpg"/><Relationship Id="rId17" Type="http://schemas.openxmlformats.org/officeDocument/2006/relationships/image" Target="media/774aa230d7ab3a459b174bdda53ec2c6367443e3.jpg"/><Relationship Id="rId18" Type="http://schemas.openxmlformats.org/officeDocument/2006/relationships/image" Target="media/0413c30c82a7588c40435aca1593ed3c69c8db06.jpg"/><Relationship Id="rId19" Type="http://schemas.openxmlformats.org/officeDocument/2006/relationships/image" Target="media/e31add7d59248e54616aa25e3a226d8091d468d9.jpg"/><Relationship Id="rId20" Type="http://schemas.openxmlformats.org/officeDocument/2006/relationships/image" Target="media/b852ae45cda6dc43031e17e4a08a73c4cb3d83e3.jpg"/><Relationship Id="rId21" Type="http://schemas.openxmlformats.org/officeDocument/2006/relationships/image" Target="media/5209d872c73efcbf8778a1133d1d659d0e4d9888.jp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2026-02-17T15:30:59.431Z</dcterms:created>
  <dcterms:modified xsi:type="dcterms:W3CDTF">2026-02-17T15:30:59.432Z</dcterms:modified>
</cp:coreProperties>
</file>

<file path=docProps/custom.xml><?xml version="1.0" encoding="utf-8"?>
<Properties xmlns="http://schemas.openxmlformats.org/officeDocument/2006/custom-properties" xmlns:vt="http://schemas.openxmlformats.org/officeDocument/2006/docPropsVTypes"/>
</file>