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top w:val="single" w:color="D4A017" w:sz="8" w:space="12"/>
        </w:pBdr>
        <w:spacing w:before="200" w:after="100"/>
        <w:jc w:val="center"/>
      </w:pPr>
      <w:r>
        <w:rPr>
          <w:rFonts w:ascii="Arial" w:cs="Arial" w:eastAsia="Arial" w:hAnsi="Arial"/>
          <w:b/>
          <w:bCs/>
          <w:color w:val="2E86C1"/>
          <w:sz w:val="28"/>
          <w:szCs w:val="28"/>
        </w:rPr>
        <w:t xml:space="preserve">INVESTMENT OPPORTUNITY</w:t>
      </w:r>
    </w:p>
    <w:p>
      <w:pPr>
        <w:spacing w:after="60"/>
        <w:jc w:val="center"/>
      </w:pPr>
      <w:r>
        <w:rPr>
          <w:rFonts w:ascii="Arial" w:cs="Arial" w:eastAsia="Arial" w:hAnsi="Arial"/>
          <w:b/>
          <w:bCs/>
          <w:color w:val="0D2137"/>
          <w:sz w:val="56"/>
          <w:szCs w:val="56"/>
        </w:rPr>
        <w:t xml:space="preserve">PRENSADOS Y GALVANIZADOS</w:t>
      </w:r>
    </w:p>
    <w:p>
      <w:pPr>
        <w:spacing w:after="200"/>
        <w:jc w:val="center"/>
      </w:pPr>
      <w:r>
        <w:rPr>
          <w:rFonts w:ascii="Arial" w:cs="Arial" w:eastAsia="Arial" w:hAnsi="Arial"/>
          <w:b/>
          <w:bCs/>
          <w:color w:val="0D2137"/>
          <w:sz w:val="56"/>
          <w:szCs w:val="56"/>
        </w:rPr>
        <w:t xml:space="preserve">DE LARA, S.A.</w:t>
      </w:r>
    </w:p>
    <w:p>
      <w:pPr>
        <w:pBdr>
          <w:bottom w:val="single" w:color="D4A017" w:sz="8" w:space="12"/>
        </w:pBdr>
        <w:spacing w:after="400"/>
        <w:jc w:val="center"/>
      </w:pPr>
      <w:r>
        <w:rPr>
          <w:rFonts w:ascii="Arial" w:cs="Arial" w:eastAsia="Arial" w:hAnsi="Arial"/>
          <w:color w:val="2E86C1"/>
          <w:sz w:val="26"/>
          <w:szCs w:val="26"/>
        </w:rPr>
        <w:t xml:space="preserve">Turnkey Hot-Dip Galvanizing &amp; Copper Electroplating Facility</w:t>
      </w:r>
    </w:p>
    <w:p>
      <w:pPr>
        <w:spacing w:before="200" w:after="60"/>
        <w:jc w:val="center"/>
      </w:pPr>
      <w:r>
        <w:rPr>
          <w:rFonts w:ascii="Arial" w:cs="Arial" w:eastAsia="Arial" w:hAnsi="Arial"/>
          <w:color w:val="555555"/>
          <w:sz w:val="24"/>
          <w:szCs w:val="24"/>
        </w:rPr>
        <w:t xml:space="preserve">Barquisimeto, Lara State, Venezuela</w:t>
      </w:r>
    </w:p>
    <w:p>
      <w:pPr>
        <w:spacing w:after="60"/>
        <w:jc w:val="center"/>
      </w:pPr>
      <w:r>
        <w:rPr>
          <w:rFonts w:ascii="Arial" w:cs="Arial" w:eastAsia="Arial" w:hAnsi="Arial"/>
          <w:b/>
          <w:bCs/>
          <w:color w:val="0D2137"/>
          <w:sz w:val="28"/>
          <w:szCs w:val="28"/>
        </w:rPr>
        <w:t xml:space="preserve">Asking Price: $1,000,000 USD</w:t>
      </w:r>
    </w:p>
    <w:p>
      <w:pPr>
        <w:spacing w:after="400"/>
        <w:jc w:val="center"/>
      </w:pPr>
      <w:r>
        <w:rPr>
          <w:rFonts w:ascii="Arial" w:cs="Arial" w:eastAsia="Arial" w:hAnsi="Arial"/>
          <w:color w:val="777777"/>
          <w:sz w:val="20"/>
          <w:szCs w:val="20"/>
        </w:rPr>
        <w:t xml:space="preserve">Includes 3 Warehouses (Owned) | All Equipment | No Debt | Ready to Produce</w:t>
      </w:r>
    </w:p>
    <w:p>
      <w:pPr>
        <w:spacing w:before="600"/>
      </w:pPr>
    </w:p>
    <w:p>
      <w:pPr>
        <w:jc w:val="center"/>
      </w:pPr>
      <w:r>
        <w:rPr>
          <w:rFonts w:ascii="Arial" w:cs="Arial" w:eastAsia="Arial" w:hAnsi="Arial"/>
          <w:b/>
          <w:bCs/>
          <w:color w:val="AAAAAA"/>
          <w:sz w:val="20"/>
          <w:szCs w:val="20"/>
        </w:rPr>
        <w:t xml:space="preserve">CONFIDENTIAL</w:t>
      </w:r>
    </w:p>
    <w:p>
      <w:pPr>
        <w:jc w:val="center"/>
      </w:pPr>
      <w:r>
        <w:rPr>
          <w:rFonts w:ascii="Arial" w:cs="Arial" w:eastAsia="Arial" w:hAnsi="Arial"/>
          <w:color w:val="AAAAAA"/>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pBdr>
          <w:bottom w:val="single" w:color="D4A017" w:sz="6" w:space="6"/>
        </w:pBdr>
        <w:spacing w:before="400" w:after="200"/>
      </w:pPr>
      <w:r>
        <w:rPr>
          <w:rFonts w:ascii="Arial" w:cs="Arial" w:eastAsia="Arial" w:hAnsi="Arial"/>
          <w:b/>
          <w:bCs/>
          <w:color w:val="0D2137"/>
          <w:sz w:val="32"/>
          <w:szCs w:val="32"/>
        </w:rPr>
        <w:t xml:space="preserve">Executive Summary</w:t>
      </w:r>
    </w:p>
    <w:p>
      <w:pPr>
        <w:spacing w:before="80" w:after="80"/>
      </w:pPr>
      <w:r>
        <w:rPr>
          <w:rFonts w:ascii="Arial" w:cs="Arial" w:eastAsia="Arial" w:hAnsi="Arial"/>
          <w:sz w:val="22"/>
          <w:szCs w:val="22"/>
        </w:rPr>
        <w:t xml:space="preserve">Prensados y Galvanizados de Lara, S.A. (PYG Lara) is a turnkey hot-dip galvanizing and copper electroplating facility located in Barquisimeto, Venezuela’s fourth-largest city and a major industrial hub in the country’s central-western region. The company is offered for sale at $1,000,000 USD, including three owned warehouses, all machinery and equipment (some still factory-sealed), with zero debt or legal encumbrances.</w:t>
      </w:r>
    </w:p>
    <w:p>
      <w:pPr>
        <w:spacing w:before="80" w:after="80"/>
      </w:pPr>
      <w:r>
        <w:rPr>
          <w:rFonts w:ascii="Arial" w:cs="Arial" w:eastAsia="Arial" w:hAnsi="Arial"/>
          <w:sz w:val="22"/>
          <w:szCs w:val="22"/>
        </w:rPr>
        <w:t xml:space="preserve">The facility is immediately operational — requiring only raw zinc to begin production. This acquisition represents a rare opportunity to enter the Venezuelan industrial market at a moment when the country stands at the beginning of what analysts project will be one of the largest oil infrastructure rebuilds in modern history.</w:t>
      </w:r>
    </w:p>
    <w:p>
      <w:pPr>
        <w:pBdr>
          <w:left w:val="single" w:color="2E86C1" w:sz="12" w:space="8"/>
        </w:pBdr>
        <w:shd w:fill="D6EAF8" w:val="clear"/>
        <w:spacing w:before="160" w:after="160"/>
      </w:pPr>
      <w:r>
        <w:rPr>
          <w:rFonts w:ascii="Arial" w:cs="Arial" w:eastAsia="Arial" w:hAnsi="Arial"/>
          <w:b/>
          <w:bCs/>
          <w:color w:val="0D2137"/>
          <w:sz w:val="22"/>
          <w:szCs w:val="22"/>
        </w:rPr>
        <w:t xml:space="preserve">Key Deal Terms: $1M asking price | 3 owned properties | No debt | Equipment ready to produce | 400 ton/month galvanizing capacity | 936 rods/day copper line</w:t>
      </w:r>
    </w:p>
    <w:p>
      <w:pPr>
        <w:pStyle w:val="Heading1"/>
        <w:pBdr>
          <w:bottom w:val="single" w:color="D4A017" w:sz="6" w:space="6"/>
        </w:pBdr>
        <w:spacing w:before="400" w:after="200"/>
      </w:pPr>
      <w:r>
        <w:rPr>
          <w:rFonts w:ascii="Arial" w:cs="Arial" w:eastAsia="Arial" w:hAnsi="Arial"/>
          <w:b/>
          <w:bCs/>
          <w:color w:val="0D2137"/>
          <w:sz w:val="32"/>
          <w:szCs w:val="32"/>
        </w:rPr>
        <w:t xml:space="preserve">Why Now: Venezuela’s Inflection Point</w:t>
      </w:r>
    </w:p>
    <w:p>
      <w:pPr>
        <w:pStyle w:val="Heading2"/>
        <w:spacing w:before="280" w:after="140"/>
      </w:pPr>
      <w:r>
        <w:rPr>
          <w:rFonts w:ascii="Arial" w:cs="Arial" w:eastAsia="Arial" w:hAnsi="Arial"/>
          <w:b/>
          <w:bCs/>
          <w:color w:val="1B4F72"/>
          <w:sz w:val="26"/>
          <w:szCs w:val="26"/>
        </w:rPr>
        <w:t xml:space="preserve">The Maduro Capture &amp; Oil Sector Reopening</w:t>
      </w:r>
    </w:p>
    <w:p>
      <w:pPr>
        <w:spacing w:before="80" w:after="80"/>
      </w:pPr>
      <w:r>
        <w:rPr>
          <w:rFonts w:ascii="Arial" w:cs="Arial" w:eastAsia="Arial" w:hAnsi="Arial"/>
          <w:sz w:val="22"/>
          <w:szCs w:val="22"/>
        </w:rPr>
        <w:t xml:space="preserve">On January 3, 2026, U.S. forces captured Venezuelan President Nicolás Maduro, fundamentally altering the country’s economic trajectory. Within weeks, interim President Delcy Rodríguez announced broad reforms to the hydrocarbons sector designed to attract foreign investment.</w:t>
      </w:r>
    </w:p>
    <w:p>
      <w:pPr>
        <w:spacing w:before="40" w:after="40"/>
      </w:pPr>
      <w:r>
        <w:rPr>
          <w:rFonts w:ascii="Arial" w:cs="Arial" w:eastAsia="Arial" w:hAnsi="Arial"/>
          <w:i/>
          <w:iCs/>
          <w:color w:val="888888"/>
          <w:sz w:val="16"/>
          <w:szCs w:val="16"/>
        </w:rPr>
        <w:t xml:space="preserve">Source: Columbia University Center on Global Energy Policy, January 8, 2026; Christian Science Monitor, February 3, 2026</w:t>
      </w:r>
    </w:p>
    <w:p>
      <w:pPr>
        <w:spacing w:before="80" w:after="80"/>
      </w:pPr>
      <w:r>
        <w:rPr>
          <w:rFonts w:ascii="Arial" w:cs="Arial" w:eastAsia="Arial" w:hAnsi="Arial"/>
          <w:sz w:val="22"/>
          <w:szCs w:val="22"/>
        </w:rPr>
        <w:t xml:space="preserve">The new hydrocarbon law formalizes what is known as the “Chevron model,” allowing foreign companies to assume technical, operational, and financial management of joint ventures. Royalty payments have been reduced from 30% to as low as 15% to incentivize new drilling in undeveloped areas.</w:t>
      </w:r>
    </w:p>
    <w:p>
      <w:pPr>
        <w:spacing w:before="40" w:after="40"/>
      </w:pPr>
      <w:r>
        <w:rPr>
          <w:rFonts w:ascii="Arial" w:cs="Arial" w:eastAsia="Arial" w:hAnsi="Arial"/>
          <w:i/>
          <w:iCs/>
          <w:color w:val="888888"/>
          <w:sz w:val="16"/>
          <w:szCs w:val="16"/>
        </w:rPr>
        <w:t xml:space="preserve">Source: Al Jazeera, January 23, 2026</w:t>
      </w:r>
    </w:p>
    <w:p>
      <w:pPr>
        <w:spacing w:before="80" w:after="80"/>
      </w:pPr>
      <w:r>
        <w:rPr>
          <w:rFonts w:ascii="Arial" w:cs="Arial" w:eastAsia="Arial" w:hAnsi="Arial"/>
          <w:sz w:val="22"/>
          <w:szCs w:val="22"/>
        </w:rPr>
        <w:t xml:space="preserve">Venezuela has already received its first $300 million from U.S. crude sales, earmarked for stabilizing the foreign exchange market. Sanctions have been partially lifted, allowing Venezuela to sell oil at market prices rather than at a discount.</w:t>
      </w:r>
    </w:p>
    <w:p>
      <w:pPr>
        <w:spacing w:before="40" w:after="40"/>
      </w:pPr>
      <w:r>
        <w:rPr>
          <w:rFonts w:ascii="Arial" w:cs="Arial" w:eastAsia="Arial" w:hAnsi="Arial"/>
          <w:i/>
          <w:iCs/>
          <w:color w:val="888888"/>
          <w:sz w:val="16"/>
          <w:szCs w:val="16"/>
        </w:rPr>
        <w:t xml:space="preserve">Source: Al Jazeera, January 23, 2026</w:t>
      </w:r>
    </w:p>
    <w:p>
      <w:pPr>
        <w:pStyle w:val="Heading2"/>
        <w:spacing w:before="280" w:after="140"/>
      </w:pPr>
      <w:r>
        <w:rPr>
          <w:rFonts w:ascii="Arial" w:cs="Arial" w:eastAsia="Arial" w:hAnsi="Arial"/>
          <w:b/>
          <w:bCs/>
          <w:color w:val="1B4F72"/>
          <w:sz w:val="26"/>
          <w:szCs w:val="26"/>
        </w:rPr>
        <w:t xml:space="preserve">Oil Production Recovery Projections</w:t>
      </w:r>
    </w:p>
    <w:p>
      <w:pPr>
        <w:spacing w:before="80" w:after="80"/>
      </w:pPr>
      <w:r>
        <w:rPr>
          <w:rFonts w:ascii="Arial" w:cs="Arial" w:eastAsia="Arial" w:hAnsi="Arial"/>
          <w:sz w:val="22"/>
          <w:szCs w:val="22"/>
        </w:rPr>
        <w:t xml:space="preserve">Venezuela currently produces approximately 800,000 barrels per day, down from over 3 million bpd in the late 1990s. Multiple major financial institutions have published recovery forecasts:</w:t>
      </w:r>
    </w:p>
    <w:p>
      <w:pPr>
        <w:pStyle w:val="ListParagraph"/>
        <w:numPr>
          <w:ilvl w:val="0"/>
          <w:numId w:val="2"/>
        </w:numPr>
        <w:spacing w:before="40" w:after="40"/>
      </w:pPr>
      <w:r>
        <w:rPr>
          <w:rFonts w:ascii="Arial" w:cs="Arial" w:eastAsia="Arial" w:hAnsi="Arial"/>
          <w:sz w:val="22"/>
          <w:szCs w:val="22"/>
        </w:rPr>
        <w:t xml:space="preserve">JPMorgan Chase estimates production could reach 1.2 million bpd within months, 1.4 million bpd within two years, and potentially 2.5 million bpd over the next decade.</w:t>
      </w:r>
    </w:p>
    <w:p>
      <w:pPr>
        <w:pStyle w:val="ListParagraph"/>
        <w:numPr>
          <w:ilvl w:val="0"/>
          <w:numId w:val="2"/>
        </w:numPr>
        <w:spacing w:before="40" w:after="40"/>
      </w:pPr>
      <w:r>
        <w:rPr>
          <w:rFonts w:ascii="Arial" w:cs="Arial" w:eastAsia="Arial" w:hAnsi="Arial"/>
          <w:sz w:val="22"/>
          <w:szCs w:val="22"/>
        </w:rPr>
        <w:t xml:space="preserve">Goldman Sachs projects production could rise approximately 50% by 2030 and potentially double with substantial U.S. investment.</w:t>
      </w:r>
    </w:p>
    <w:p>
      <w:pPr>
        <w:pStyle w:val="ListParagraph"/>
        <w:numPr>
          <w:ilvl w:val="0"/>
          <w:numId w:val="2"/>
        </w:numPr>
        <w:spacing w:before="40" w:after="40"/>
      </w:pPr>
      <w:r>
        <w:rPr>
          <w:rFonts w:ascii="Arial" w:cs="Arial" w:eastAsia="Arial" w:hAnsi="Arial"/>
          <w:sz w:val="22"/>
          <w:szCs w:val="22"/>
        </w:rPr>
        <w:t xml:space="preserve">Chevron’s Vice Chairman stated the company could increase Venezuelan production by 50% within 18-24 months.</w:t>
      </w:r>
    </w:p>
    <w:p>
      <w:pPr>
        <w:pStyle w:val="ListParagraph"/>
        <w:numPr>
          <w:ilvl w:val="0"/>
          <w:numId w:val="2"/>
        </w:numPr>
        <w:spacing w:before="40" w:after="40"/>
      </w:pPr>
      <w:r>
        <w:rPr>
          <w:rFonts w:ascii="Arial" w:cs="Arial" w:eastAsia="Arial" w:hAnsi="Arial"/>
          <w:sz w:val="22"/>
          <w:szCs w:val="22"/>
        </w:rPr>
        <w:t xml:space="preserve">Rystad Energy estimates that achieving 3 million bpd by 2040 would require $183 billion in total oil and gas capital expenditure.</w:t>
      </w:r>
    </w:p>
    <w:p>
      <w:pPr>
        <w:spacing w:before="40" w:after="40"/>
      </w:pPr>
      <w:r>
        <w:rPr>
          <w:rFonts w:ascii="Arial" w:cs="Arial" w:eastAsia="Arial" w:hAnsi="Arial"/>
          <w:i/>
          <w:iCs/>
          <w:color w:val="888888"/>
          <w:sz w:val="16"/>
          <w:szCs w:val="16"/>
        </w:rPr>
        <w:t xml:space="preserve">Source: CNBC, January 28, 2026; Rystad Energy via AJOT</w:t>
      </w:r>
    </w:p>
    <w:p>
      <w:pPr>
        <w:pBdr>
          <w:left w:val="single" w:color="2E86C1" w:sz="12" w:space="8"/>
        </w:pBdr>
        <w:shd w:fill="D6EAF8" w:val="clear"/>
        <w:spacing w:before="160" w:after="160"/>
      </w:pPr>
      <w:r>
        <w:rPr>
          <w:rFonts w:ascii="Arial" w:cs="Arial" w:eastAsia="Arial" w:hAnsi="Arial"/>
          <w:b/>
          <w:bCs/>
          <w:color w:val="0D2137"/>
          <w:sz w:val="22"/>
          <w:szCs w:val="22"/>
        </w:rPr>
        <w:t xml:space="preserve">$183 billion in projected oil &amp; gas capex from 2026-2040, translating to $156 billion in service purchases. Fabrication &amp; construction is the #1 service segment at $41 billion.</w:t>
      </w:r>
    </w:p>
    <w:p>
      <w:pPr>
        <w:spacing w:before="40" w:after="40"/>
      </w:pPr>
      <w:r>
        <w:rPr>
          <w:rFonts w:ascii="Arial" w:cs="Arial" w:eastAsia="Arial" w:hAnsi="Arial"/>
          <w:i/>
          <w:iCs/>
          <w:color w:val="888888"/>
          <w:sz w:val="16"/>
          <w:szCs w:val="16"/>
        </w:rPr>
        <w:t xml:space="preserve">Source: Rystad Energy, as reported by DirectIndustry e-Magazine, January 12, 2026</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Why Hot-Dip Galvanizing Is Central to This Rebuild</w:t>
      </w:r>
    </w:p>
    <w:p>
      <w:pPr>
        <w:pStyle w:val="Heading2"/>
        <w:spacing w:before="280" w:after="140"/>
      </w:pPr>
      <w:r>
        <w:rPr>
          <w:rFonts w:ascii="Arial" w:cs="Arial" w:eastAsia="Arial" w:hAnsi="Arial"/>
          <w:b/>
          <w:bCs/>
          <w:color w:val="1B4F72"/>
          <w:sz w:val="26"/>
          <w:szCs w:val="26"/>
        </w:rPr>
        <w:t xml:space="preserve">Oil &amp; Gas Infrastructure Demands Galvanized Steel</w:t>
      </w:r>
    </w:p>
    <w:p>
      <w:pPr>
        <w:spacing w:before="80" w:after="80"/>
      </w:pPr>
      <w:r>
        <w:rPr>
          <w:rFonts w:ascii="Arial" w:cs="Arial" w:eastAsia="Arial" w:hAnsi="Arial"/>
          <w:sz w:val="22"/>
          <w:szCs w:val="22"/>
        </w:rPr>
        <w:t xml:space="preserve">Every major component of oil infrastructure — pipelines, storage tanks, transmission towers, structural supports, offshore platforms, and processing equipment — requires corrosion protection. In Venezuela’s tropical, high-humidity climate, this is not optional; it is a structural necessity.</w:t>
      </w:r>
    </w:p>
    <w:p>
      <w:pPr>
        <w:spacing w:before="80" w:after="80"/>
      </w:pPr>
      <w:r>
        <w:rPr>
          <w:rFonts w:ascii="Arial" w:cs="Arial" w:eastAsia="Arial" w:hAnsi="Arial"/>
          <w:sz w:val="22"/>
          <w:szCs w:val="22"/>
        </w:rPr>
        <w:t xml:space="preserve">The global hot-dip galvanizing services market was valued at approximately $15.6 billion in 2023 and is projected to reach $24.8 billion by 2032, growing at a 5.2% CAGR. The oil and gas sector is one of the primary demand drivers.</w:t>
      </w:r>
    </w:p>
    <w:p>
      <w:pPr>
        <w:spacing w:before="40" w:after="40"/>
      </w:pPr>
      <w:r>
        <w:rPr>
          <w:rFonts w:ascii="Arial" w:cs="Arial" w:eastAsia="Arial" w:hAnsi="Arial"/>
          <w:i/>
          <w:iCs/>
          <w:color w:val="888888"/>
          <w:sz w:val="16"/>
          <w:szCs w:val="16"/>
        </w:rPr>
        <w:t xml:space="preserve">Source: Dataintelo, Hot Dip Galvanizing Services Market Report, 2023</w:t>
      </w:r>
    </w:p>
    <w:p>
      <w:pPr>
        <w:spacing w:before="80" w:after="80"/>
      </w:pPr>
      <w:r>
        <w:rPr>
          <w:rFonts w:ascii="Arial" w:cs="Arial" w:eastAsia="Arial" w:hAnsi="Arial"/>
          <w:sz w:val="22"/>
          <w:szCs w:val="22"/>
        </w:rPr>
        <w:t xml:space="preserve">Galvanized steel pipe usage in oil and gas applications has already grown by 14.8% globally, with demand expected to increase by 22.1% in coming years due to rising dependence on galvanized solutions for high-risk installations.</w:t>
      </w:r>
    </w:p>
    <w:p>
      <w:pPr>
        <w:spacing w:before="40" w:after="40"/>
      </w:pPr>
      <w:r>
        <w:rPr>
          <w:rFonts w:ascii="Arial" w:cs="Arial" w:eastAsia="Arial" w:hAnsi="Arial"/>
          <w:i/>
          <w:iCs/>
          <w:color w:val="888888"/>
          <w:sz w:val="16"/>
          <w:szCs w:val="16"/>
        </w:rPr>
        <w:t xml:space="preserve">Source: Technavio, Galvanized Steel Market Report</w:t>
      </w:r>
    </w:p>
    <w:p>
      <w:pPr>
        <w:spacing w:before="80" w:after="80"/>
      </w:pPr>
      <w:r>
        <w:rPr>
          <w:rFonts w:ascii="Arial" w:cs="Arial" w:eastAsia="Arial" w:hAnsi="Arial"/>
          <w:sz w:val="22"/>
          <w:szCs w:val="22"/>
        </w:rPr>
        <w:t xml:space="preserve">The hot-dip galvanizing market is projected to grow from $105.59 billion in 2025 to $166.66 billion by 2034. The construction and infrastructure sectors account for approximately 40% of total demand, with the oil and gas sector being the next major driver.</w:t>
      </w:r>
    </w:p>
    <w:p>
      <w:pPr>
        <w:spacing w:before="40" w:after="40"/>
      </w:pPr>
      <w:r>
        <w:rPr>
          <w:rFonts w:ascii="Arial" w:cs="Arial" w:eastAsia="Arial" w:hAnsi="Arial"/>
          <w:i/>
          <w:iCs/>
          <w:color w:val="888888"/>
          <w:sz w:val="16"/>
          <w:szCs w:val="16"/>
        </w:rPr>
        <w:t xml:space="preserve">Source: Market Research Future (MRFR), Hot Dip Galvanizing Market Report</w:t>
      </w:r>
    </w:p>
    <w:p>
      <w:pPr>
        <w:pStyle w:val="Heading2"/>
        <w:spacing w:before="280" w:after="140"/>
      </w:pPr>
      <w:r>
        <w:rPr>
          <w:rFonts w:ascii="Arial" w:cs="Arial" w:eastAsia="Arial" w:hAnsi="Arial"/>
          <w:b/>
          <w:bCs/>
          <w:color w:val="1B4F72"/>
          <w:sz w:val="26"/>
          <w:szCs w:val="26"/>
        </w:rPr>
        <w:t xml:space="preserve">Venezuela-Specific Demand</w:t>
      </w:r>
    </w:p>
    <w:p>
      <w:pPr>
        <w:spacing w:before="80" w:after="80"/>
      </w:pPr>
      <w:r>
        <w:rPr>
          <w:rFonts w:ascii="Arial" w:cs="Arial" w:eastAsia="Arial" w:hAnsi="Arial"/>
          <w:sz w:val="22"/>
          <w:szCs w:val="22"/>
        </w:rPr>
        <w:t xml:space="preserve">Rystad Energy’s analysis breaks down the $156 billion in projected service purchases for Venezuela’s oil rebuild. Five service segments beyond fabrication and construction each exceed $10 billion in 15-year market size: major equipment, materials and metals, maintenance and mechanical, electrical and instrumentation, and logistics and support. All of these involve steel components that require galvanizing.</w:t>
      </w:r>
    </w:p>
    <w:p>
      <w:pPr>
        <w:spacing w:before="40" w:after="40"/>
      </w:pPr>
      <w:r>
        <w:rPr>
          <w:rFonts w:ascii="Arial" w:cs="Arial" w:eastAsia="Arial" w:hAnsi="Arial"/>
          <w:i/>
          <w:iCs/>
          <w:color w:val="888888"/>
          <w:sz w:val="16"/>
          <w:szCs w:val="16"/>
        </w:rPr>
        <w:t xml:space="preserve">Source: Rystad Energy via DirectIndustry e-Magazine, January 12, 2026</w:t>
      </w:r>
    </w:p>
    <w:p>
      <w:pPr>
        <w:spacing w:before="80" w:after="80"/>
      </w:pPr>
      <w:r>
        <w:rPr>
          <w:rFonts w:ascii="Arial" w:cs="Arial" w:eastAsia="Arial" w:hAnsi="Arial"/>
          <w:sz w:val="22"/>
          <w:szCs w:val="22"/>
        </w:rPr>
        <w:t xml:space="preserve">PDVSA’s own estimates indicate that the country’s oil pipelines have not been updated in 50 years, with $58 billion needed just to update pipeline infrastructure to return to peak production levels.</w:t>
      </w:r>
    </w:p>
    <w:p>
      <w:pPr>
        <w:spacing w:before="40" w:after="40"/>
      </w:pPr>
      <w:r>
        <w:rPr>
          <w:rFonts w:ascii="Arial" w:cs="Arial" w:eastAsia="Arial" w:hAnsi="Arial"/>
          <w:i/>
          <w:iCs/>
          <w:color w:val="888888"/>
          <w:sz w:val="16"/>
          <w:szCs w:val="16"/>
        </w:rPr>
        <w:t xml:space="preserve">Source: CNN Business, January 3, 2026</w:t>
      </w:r>
    </w:p>
    <w:p>
      <w:pPr>
        <w:spacing w:before="80" w:after="80"/>
      </w:pPr>
      <w:r>
        <w:rPr>
          <w:rFonts w:ascii="Arial" w:cs="Arial" w:eastAsia="Arial" w:hAnsi="Arial"/>
          <w:sz w:val="22"/>
          <w:szCs w:val="22"/>
        </w:rPr>
        <w:t xml:space="preserve">Industry estimates suggest $8-12 billion in emergency stabilization costs are needed during the first two years alone, focusing on critical infrastructure repairs for basic production resumption.</w:t>
      </w:r>
    </w:p>
    <w:p>
      <w:pPr>
        <w:spacing w:before="40" w:after="40"/>
      </w:pPr>
      <w:r>
        <w:rPr>
          <w:rFonts w:ascii="Arial" w:cs="Arial" w:eastAsia="Arial" w:hAnsi="Arial"/>
          <w:i/>
          <w:iCs/>
          <w:color w:val="888888"/>
          <w:sz w:val="16"/>
          <w:szCs w:val="16"/>
        </w:rPr>
        <w:t xml:space="preserve">Source: DiscoveryAlert, Rebuilding Venezuela's Oil Industry Recovery Guide, January 2026</w:t>
      </w:r>
    </w:p>
    <w:p>
      <w:pPr>
        <w:pBdr>
          <w:left w:val="single" w:color="2E86C1" w:sz="12" w:space="8"/>
        </w:pBdr>
        <w:shd w:fill="D6EAF8" w:val="clear"/>
        <w:spacing w:before="160" w:after="160"/>
      </w:pPr>
      <w:r>
        <w:rPr>
          <w:rFonts w:ascii="Arial" w:cs="Arial" w:eastAsia="Arial" w:hAnsi="Arial"/>
          <w:b/>
          <w:bCs/>
          <w:color w:val="0D2137"/>
          <w:sz w:val="22"/>
          <w:szCs w:val="22"/>
        </w:rPr>
        <w:t xml:space="preserve">Every barrel of oil Venezuela adds requires steel infrastructure. Every steel structure requires corrosion protection. A galvanizing plant in Venezuela is not a bet on one industry — it’s a bet on the country’s entire economic recovery.</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The Asset: PYG Lara Facility Overview</w:t>
      </w:r>
    </w:p>
    <w:p>
      <w:pPr>
        <w:pStyle w:val="Heading2"/>
        <w:spacing w:before="280" w:after="140"/>
      </w:pPr>
      <w:r>
        <w:rPr>
          <w:rFonts w:ascii="Arial" w:cs="Arial" w:eastAsia="Arial" w:hAnsi="Arial"/>
          <w:b/>
          <w:bCs/>
          <w:color w:val="1B4F72"/>
          <w:sz w:val="26"/>
          <w:szCs w:val="26"/>
        </w:rPr>
        <w:t xml:space="preserve">Company Profile</w:t>
      </w:r>
    </w:p>
    <w:p>
      <w:pPr>
        <w:spacing w:before="80" w:after="80"/>
      </w:pPr>
      <w:r>
        <w:rPr>
          <w:rFonts w:ascii="Arial" w:cs="Arial" w:eastAsia="Arial" w:hAnsi="Arial"/>
          <w:sz w:val="22"/>
          <w:szCs w:val="22"/>
        </w:rPr>
        <w:t xml:space="preserve">100% Venezuelan company specializing in hot-dip galvanizing services and copper electroplating. Located at 26th Street, between 1st and 2nd Avenue, Warehouse No. 25-90, Barquisimeto, Lara State, 3001, Venezuela.</w:t>
      </w:r>
    </w:p>
    <w:p>
      <w:pPr>
        <w:pStyle w:val="Heading2"/>
        <w:spacing w:before="280" w:after="140"/>
      </w:pPr>
      <w:r>
        <w:rPr>
          <w:rFonts w:ascii="Arial" w:cs="Arial" w:eastAsia="Arial" w:hAnsi="Arial"/>
          <w:b/>
          <w:bCs/>
          <w:color w:val="1B4F72"/>
          <w:sz w:val="26"/>
          <w:szCs w:val="26"/>
        </w:rPr>
        <w:t xml:space="preserve">Property</w:t>
      </w:r>
    </w:p>
    <w:p>
      <w:pPr>
        <w:pStyle w:val="ListParagraph"/>
        <w:numPr>
          <w:ilvl w:val="0"/>
          <w:numId w:val="2"/>
        </w:numPr>
        <w:spacing w:before="40" w:after="40"/>
      </w:pPr>
      <w:r>
        <w:rPr>
          <w:rFonts w:ascii="Arial" w:cs="Arial" w:eastAsia="Arial" w:hAnsi="Arial"/>
          <w:sz w:val="22"/>
          <w:szCs w:val="22"/>
        </w:rPr>
        <w:t xml:space="preserve">Three (3) warehouses, all owned outright — no lease obligations</w:t>
      </w:r>
    </w:p>
    <w:p>
      <w:pPr>
        <w:pStyle w:val="ListParagraph"/>
        <w:numPr>
          <w:ilvl w:val="0"/>
          <w:numId w:val="2"/>
        </w:numPr>
        <w:spacing w:before="40" w:after="40"/>
      </w:pPr>
      <w:r>
        <w:rPr>
          <w:rFonts w:ascii="Arial" w:cs="Arial" w:eastAsia="Arial" w:hAnsi="Arial"/>
          <w:sz w:val="22"/>
          <w:szCs w:val="22"/>
        </w:rPr>
        <w:t xml:space="preserve">Industrial zone location in Barquisimeto, Venezuela’s 4th largest city</w:t>
      </w:r>
    </w:p>
    <w:p>
      <w:pPr>
        <w:pStyle w:val="ListParagraph"/>
        <w:numPr>
          <w:ilvl w:val="0"/>
          <w:numId w:val="2"/>
        </w:numPr>
        <w:spacing w:before="40" w:after="40"/>
      </w:pPr>
      <w:r>
        <w:rPr>
          <w:rFonts w:ascii="Arial" w:cs="Arial" w:eastAsia="Arial" w:hAnsi="Arial"/>
          <w:sz w:val="22"/>
          <w:szCs w:val="22"/>
        </w:rPr>
        <w:t xml:space="preserve">Strategic position as a transport and commerce hub between central and western Venezuela</w:t>
      </w:r>
    </w:p>
    <w:p>
      <w:pPr>
        <w:spacing w:before="40" w:after="40"/>
      </w:pPr>
      <w:r>
        <w:rPr>
          <w:rFonts w:ascii="Arial" w:cs="Arial" w:eastAsia="Arial" w:hAnsi="Arial"/>
          <w:i/>
          <w:iCs/>
          <w:color w:val="888888"/>
          <w:sz w:val="16"/>
          <w:szCs w:val="16"/>
        </w:rPr>
        <w:t xml:space="preserve">Source: Britannica, “Barquisimeto”</w:t>
      </w:r>
    </w:p>
    <w:p>
      <w:pPr>
        <w:pStyle w:val="Heading2"/>
        <w:spacing w:before="280" w:after="140"/>
      </w:pPr>
      <w:r>
        <w:rPr>
          <w:rFonts w:ascii="Arial" w:cs="Arial" w:eastAsia="Arial" w:hAnsi="Arial"/>
          <w:b/>
          <w:bCs/>
          <w:color w:val="1B4F72"/>
          <w:sz w:val="26"/>
          <w:szCs w:val="26"/>
        </w:rPr>
        <w:t xml:space="preserve">Equipment Status</w:t>
      </w:r>
    </w:p>
    <w:p>
      <w:pPr>
        <w:pStyle w:val="ListParagraph"/>
        <w:numPr>
          <w:ilvl w:val="0"/>
          <w:numId w:val="2"/>
        </w:numPr>
        <w:spacing w:before="40" w:after="40"/>
      </w:pPr>
      <w:r>
        <w:rPr>
          <w:rFonts w:ascii="Arial" w:cs="Arial" w:eastAsia="Arial" w:hAnsi="Arial"/>
          <w:sz w:val="22"/>
          <w:szCs w:val="22"/>
        </w:rPr>
        <w:t xml:space="preserve">All machines in working order</w:t>
      </w:r>
    </w:p>
    <w:p>
      <w:pPr>
        <w:pStyle w:val="ListParagraph"/>
        <w:numPr>
          <w:ilvl w:val="0"/>
          <w:numId w:val="2"/>
        </w:numPr>
        <w:spacing w:before="40" w:after="40"/>
      </w:pPr>
      <w:r>
        <w:rPr>
          <w:rFonts w:ascii="Arial" w:cs="Arial" w:eastAsia="Arial" w:hAnsi="Arial"/>
          <w:sz w:val="22"/>
          <w:szCs w:val="22"/>
        </w:rPr>
        <w:t xml:space="preserve">Several pieces of equipment still factory-sealed / in original packaging</w:t>
      </w:r>
    </w:p>
    <w:p>
      <w:pPr>
        <w:pStyle w:val="ListParagraph"/>
        <w:numPr>
          <w:ilvl w:val="0"/>
          <w:numId w:val="2"/>
        </w:numPr>
        <w:spacing w:before="40" w:after="40"/>
      </w:pPr>
      <w:r>
        <w:rPr>
          <w:rFonts w:ascii="Arial" w:cs="Arial" w:eastAsia="Arial" w:hAnsi="Arial"/>
          <w:sz w:val="22"/>
          <w:szCs w:val="22"/>
        </w:rPr>
        <w:t xml:space="preserve">Only raw material needed to begin production: zinc ingots</w:t>
      </w:r>
    </w:p>
    <w:p>
      <w:pPr>
        <w:pStyle w:val="ListParagraph"/>
        <w:numPr>
          <w:ilvl w:val="0"/>
          <w:numId w:val="2"/>
        </w:numPr>
        <w:spacing w:before="40" w:after="40"/>
      </w:pPr>
      <w:r>
        <w:rPr>
          <w:rFonts w:ascii="Arial" w:cs="Arial" w:eastAsia="Arial" w:hAnsi="Arial"/>
          <w:sz w:val="22"/>
          <w:szCs w:val="22"/>
        </w:rPr>
        <w:t xml:space="preserve">German-engineered kettles from W. Pilling Riepe GmbH &amp; Co. KG (Gutenbergstrasse 2, 38652 Halon, Germany)</w:t>
      </w:r>
    </w:p>
    <w:p>
      <w:pPr>
        <w:pStyle w:val="Heading2"/>
        <w:spacing w:before="280" w:after="140"/>
      </w:pPr>
      <w:r>
        <w:rPr>
          <w:rFonts w:ascii="Arial" w:cs="Arial" w:eastAsia="Arial" w:hAnsi="Arial"/>
          <w:b/>
          <w:bCs/>
          <w:color w:val="1B4F72"/>
          <w:sz w:val="26"/>
          <w:szCs w:val="26"/>
        </w:rPr>
        <w:t xml:space="preserve">Financial Status</w:t>
      </w:r>
    </w:p>
    <w:p>
      <w:pPr>
        <w:pStyle w:val="ListParagraph"/>
        <w:numPr>
          <w:ilvl w:val="0"/>
          <w:numId w:val="2"/>
        </w:numPr>
        <w:spacing w:before="40" w:after="40"/>
      </w:pPr>
      <w:r>
        <w:rPr>
          <w:rFonts w:ascii="Arial" w:cs="Arial" w:eastAsia="Arial" w:hAnsi="Arial"/>
          <w:sz w:val="22"/>
          <w:szCs w:val="22"/>
        </w:rPr>
        <w:t xml:space="preserve">Zero debt</w:t>
      </w:r>
    </w:p>
    <w:p>
      <w:pPr>
        <w:pStyle w:val="ListParagraph"/>
        <w:numPr>
          <w:ilvl w:val="0"/>
          <w:numId w:val="2"/>
        </w:numPr>
        <w:spacing w:before="40" w:after="40"/>
      </w:pPr>
      <w:r>
        <w:rPr>
          <w:rFonts w:ascii="Arial" w:cs="Arial" w:eastAsia="Arial" w:hAnsi="Arial"/>
          <w:sz w:val="22"/>
          <w:szCs w:val="22"/>
        </w:rPr>
        <w:t xml:space="preserve">No liens or legal encumbrances</w:t>
      </w:r>
    </w:p>
    <w:p>
      <w:pPr>
        <w:pStyle w:val="ListParagraph"/>
        <w:numPr>
          <w:ilvl w:val="0"/>
          <w:numId w:val="2"/>
        </w:numPr>
        <w:spacing w:before="40" w:after="40"/>
      </w:pPr>
      <w:r>
        <w:rPr>
          <w:rFonts w:ascii="Arial" w:cs="Arial" w:eastAsia="Arial" w:hAnsi="Arial"/>
          <w:sz w:val="22"/>
          <w:szCs w:val="22"/>
        </w:rPr>
        <w:t xml:space="preserve">Clean title on all properties</w:t>
      </w:r>
    </w:p>
    <w:p>
      <w:pPr>
        <w:pStyle w:val="ListParagraph"/>
        <w:numPr>
          <w:ilvl w:val="0"/>
          <w:numId w:val="2"/>
        </w:numPr>
        <w:spacing w:before="40" w:after="40"/>
      </w:pPr>
      <w:r>
        <w:rPr>
          <w:rFonts w:ascii="Arial" w:cs="Arial" w:eastAsia="Arial" w:hAnsi="Arial"/>
          <w:sz w:val="22"/>
          <w:szCs w:val="22"/>
        </w:rPr>
        <w:t xml:space="preserve">Historical P&amp;L reflects Venezuela’s macroeconomic crisis, not operational failure (see Section: P&amp;L Overview)</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Production Capabilities</w:t>
      </w:r>
    </w:p>
    <w:p>
      <w:pPr>
        <w:pStyle w:val="Heading2"/>
        <w:spacing w:before="280" w:after="140"/>
      </w:pPr>
      <w:r>
        <w:rPr>
          <w:rFonts w:ascii="Arial" w:cs="Arial" w:eastAsia="Arial" w:hAnsi="Arial"/>
          <w:b/>
          <w:bCs/>
          <w:color w:val="1B4F72"/>
          <w:sz w:val="26"/>
          <w:szCs w:val="26"/>
        </w:rPr>
        <w:t xml:space="preserve">Hot-Dip Galvanizing Line</w:t>
      </w:r>
    </w:p>
    <w:p>
      <w:pPr>
        <w:spacing w:before="80" w:after="80"/>
      </w:pPr>
      <w:r>
        <w:rPr>
          <w:rFonts w:ascii="Arial" w:cs="Arial" w:eastAsia="Arial" w:hAnsi="Arial"/>
          <w:b/>
          <w:bCs/>
          <w:sz w:val="22"/>
          <w:szCs w:val="22"/>
        </w:rPr>
        <w:t xml:space="preserve">Installed capacity: 400 tons per month.</w:t>
      </w:r>
    </w:p>
    <w:p>
      <w:pPr>
        <w:spacing w:before="100"/>
      </w:pPr>
    </w:p>
    <w:p>
      <w:pPr>
        <w:spacing w:before="80" w:after="80"/>
      </w:pPr>
      <w:r>
        <w:rPr>
          <w:rFonts w:ascii="Arial" w:cs="Arial" w:eastAsia="Arial" w:hAnsi="Arial"/>
          <w:b/>
          <w:bCs/>
          <w:sz w:val="22"/>
          <w:szCs w:val="22"/>
        </w:rPr>
        <w:t xml:space="preserve">Galvanizing Kettles: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Kettle Type</w:t>
            </w:r>
          </w:p>
        </w:tc>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Dimensions</w:t>
            </w:r>
          </w:p>
        </w:tc>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Large-Format Pilling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7.00 x 0.80 x 1.40 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Long profiles, large structures</w:t>
            </w:r>
          </w:p>
        </w:tc>
      </w:tr>
      <w:tr>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Mid-Range</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3.00 x 0.60 x 1.00 m</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Industrial hardware, intermediate parts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Precision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65 x 65 x 65 cm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Small parts, fasteners, bolts</w:t>
            </w:r>
          </w:p>
        </w:tc>
      </w:tr>
    </w:tbl>
    <w:p>
      <w:pPr>
        <w:spacing w:before="200"/>
      </w:pPr>
    </w:p>
    <w:p>
      <w:pPr>
        <w:spacing w:before="80" w:after="80"/>
      </w:pPr>
      <w:r>
        <w:rPr>
          <w:rFonts w:ascii="Arial" w:cs="Arial" w:eastAsia="Arial" w:hAnsi="Arial"/>
          <w:sz w:val="22"/>
          <w:szCs w:val="22"/>
        </w:rPr>
        <w:t xml:space="preserve">Process: Zinc (SHG 99.9%) melted at 450°C. Chemical preparation uses Hydrochloric Acid (pickling) and Zinc Ammonium Chloride (flux).</w:t>
      </w:r>
    </w:p>
    <w:p>
      <w:pPr>
        <w:pStyle w:val="Heading2"/>
        <w:spacing w:before="280" w:after="140"/>
      </w:pPr>
      <w:r>
        <w:rPr>
          <w:rFonts w:ascii="Arial" w:cs="Arial" w:eastAsia="Arial" w:hAnsi="Arial"/>
          <w:b/>
          <w:bCs/>
          <w:color w:val="1B4F72"/>
          <w:sz w:val="26"/>
          <w:szCs w:val="26"/>
        </w:rPr>
        <w:t xml:space="preserve">Copper Electrolytic Plant</w:t>
      </w:r>
    </w:p>
    <w:p>
      <w:pPr>
        <w:spacing w:before="80" w:after="80"/>
      </w:pPr>
      <w:r>
        <w:rPr>
          <w:rFonts w:ascii="Arial" w:cs="Arial" w:eastAsia="Arial" w:hAnsi="Arial"/>
          <w:b/>
          <w:bCs/>
          <w:sz w:val="22"/>
          <w:szCs w:val="22"/>
        </w:rPr>
        <w:t xml:space="preserve">Installed capacity: 936 grounding rods per day (continuous 24-hour cycle).</w:t>
      </w:r>
    </w:p>
    <w:p>
      <w:pPr>
        <w:spacing w:before="80" w:after="80"/>
      </w:pPr>
      <w:r>
        <w:rPr>
          <w:rFonts w:ascii="Arial" w:cs="Arial" w:eastAsia="Arial" w:hAnsi="Arial"/>
          <w:sz w:val="22"/>
          <w:szCs w:val="22"/>
        </w:rPr>
        <w:t xml:space="preserve">Manufactures electrical grounding rods from 5/8” to 1” diameter, 1.20m to 3m length. Copper layer thickness: 300 µm ± 50, quality-certified through rigorous controls on both manufacturing process and finished product.</w:t>
      </w:r>
    </w:p>
    <w:p>
      <w:pPr>
        <w:spacing w:before="80" w:after="80"/>
      </w:pPr>
      <w:r>
        <w:rPr>
          <w:rFonts w:ascii="Arial" w:cs="Arial" w:eastAsia="Arial" w:hAnsi="Arial"/>
          <w:sz w:val="22"/>
          <w:szCs w:val="22"/>
        </w:rPr>
        <w:t xml:space="preserve">This line directly serves the electrical infrastructure sector — another critical component of Venezuela’s recovery, given that power grid instability is identified as a fundamental constraint on oil operations.</w:t>
      </w:r>
    </w:p>
    <w:p>
      <w:pPr>
        <w:spacing w:before="40" w:after="40"/>
      </w:pPr>
      <w:r>
        <w:rPr>
          <w:rFonts w:ascii="Arial" w:cs="Arial" w:eastAsia="Arial" w:hAnsi="Arial"/>
          <w:i/>
          <w:iCs/>
          <w:color w:val="888888"/>
          <w:sz w:val="16"/>
          <w:szCs w:val="16"/>
        </w:rPr>
        <w:t xml:space="preserve">Source: DiscoveryAlert, Rebuilding Venezuela's Oil Industry Recovery Guide, January 2026</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9-Meter Galvanizing Furnace System (Installed)</w:t>
      </w:r>
    </w:p>
    <w:p>
      <w:pPr>
        <w:spacing w:before="80" w:after="80"/>
      </w:pPr>
      <w:r>
        <w:rPr>
          <w:rFonts w:ascii="Arial" w:cs="Arial" w:eastAsia="Arial" w:hAnsi="Arial"/>
          <w:sz w:val="22"/>
          <w:szCs w:val="22"/>
        </w:rPr>
        <w:t xml:space="preserve">The facility includes a complete 9-meter galvanizing furnace system. Replacement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Qty</w:t>
            </w:r>
          </w:p>
        </w:tc>
        <w:tc>
          <w:tcPr>
            <w:tcW w:type="dxa" w:w="15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 Price ($)</w:t>
            </w:r>
          </w:p>
        </w:tc>
        <w:tc>
          <w:tcPr>
            <w:tcW w:type="dxa" w:w="15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Structure for Galvanizing Furnace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285,000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285,000</w:t>
            </w:r>
          </w:p>
        </w:tc>
      </w:tr>
      <w:tr>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Refractory Ceramics, Mineral Wool &amp; Anchors</w:t>
            </w:r>
          </w:p>
        </w:tc>
        <w:tc>
          <w:tcPr>
            <w:tcW w:type="dxa" w:w="1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65,000</w:t>
            </w:r>
          </w:p>
        </w:tc>
        <w:tc>
          <w:tcPr>
            <w:tcW w:type="dxa" w:w="1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65,000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Kettle/Caldron (9m x 80cm x 1.40m, 2" thick)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80,000</w:t>
            </w:r>
          </w:p>
        </w:tc>
      </w:tr>
      <w:tr>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Fabricated Metal Structure</w:t>
            </w:r>
          </w:p>
        </w:tc>
        <w:tc>
          <w:tcPr>
            <w:tcW w:type="dxa" w:w="1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100,000</w:t>
            </w:r>
          </w:p>
        </w:tc>
        <w:tc>
          <w:tcPr>
            <w:tcW w:type="dxa" w:w="1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100,000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Plans &amp; Assembly Consultancy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40,000</w:t>
            </w:r>
          </w:p>
        </w:tc>
      </w:tr>
      <w:tr>
        <w:tc>
          <w:tcPr>
            <w:tcW w:type="dxa" w:w="46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FURNACE SYSTEM TOTAL</w:t>
            </w:r>
          </w:p>
        </w:tc>
        <w:tc>
          <w:tcPr>
            <w:tcW w:type="dxa" w:w="15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15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15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$570,000</w:t>
            </w:r>
          </w:p>
        </w:tc>
      </w:tr>
    </w:tbl>
    <w:p>
      <w:pPr>
        <w:spacing w:before="80" w:after="80"/>
      </w:pPr>
      <w:r>
        <w:rPr>
          <w:rFonts w:ascii="Arial" w:cs="Arial" w:eastAsia="Arial" w:hAnsi="Arial"/>
          <w:sz w:val="22"/>
          <w:szCs w:val="22"/>
        </w:rPr>
        <w:t xml:space="preserve">Note: This represents only the main furnace system. Additional installed equipment includes the pickling/chemical treatment line, mid-range and precision kettles, chemical treatment tanks and transformers, the complete copper electrolytic plant, and all associated control systems. Total equipment replacement value is estimated to significantly exceed the asking price.</w:t>
      </w:r>
    </w:p>
    <w:p>
      <w:pPr>
        <w:pStyle w:val="Heading2"/>
        <w:spacing w:before="280" w:after="140"/>
      </w:pPr>
      <w:r>
        <w:rPr>
          <w:rFonts w:ascii="Arial" w:cs="Arial" w:eastAsia="Arial" w:hAnsi="Arial"/>
          <w:b/>
          <w:bCs/>
          <w:color w:val="1B4F72"/>
          <w:sz w:val="26"/>
          <w:szCs w:val="26"/>
        </w:rPr>
        <w:t xml:space="preserve">Key Combustion &amp; Control Components</w:t>
      </w:r>
    </w:p>
    <w:p>
      <w:pPr>
        <w:spacing w:before="80" w:after="80"/>
      </w:pPr>
      <w:r>
        <w:rPr>
          <w:rFonts w:ascii="Arial" w:cs="Arial" w:eastAsia="Arial" w:hAnsi="Arial"/>
          <w:sz w:val="22"/>
          <w:szCs w:val="22"/>
        </w:rPr>
        <w:t xml:space="preserve">4x Hauck RSV120 burners, 4x Kromschröder pulse-fired butterfly valves, Spencer air combustion fan (375 CFM, 5hp TEFC), Allen Bradley MicroLogix PLC, Honeywell DC330/DC230 temperature controllers, Honeywell DC230L bath limit controller, Monarch 2-channel paperless recorder, Kromschröder PF 19 flame safety rack, and comprehensive refractory insulation system.</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Operating Cost Structure</w:t>
      </w:r>
    </w:p>
    <w:p>
      <w:pPr>
        <w:pStyle w:val="Heading2"/>
        <w:spacing w:before="280" w:after="140"/>
      </w:pPr>
      <w:r>
        <w:rPr>
          <w:rFonts w:ascii="Arial" w:cs="Arial" w:eastAsia="Arial" w:hAnsi="Arial"/>
          <w:b/>
          <w:bCs/>
          <w:color w:val="1B4F72"/>
          <w:sz w:val="26"/>
          <w:szCs w:val="26"/>
        </w:rPr>
        <w:t xml:space="preserve">Raw Material Requirements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Quantity</w:t>
            </w:r>
          </w:p>
        </w:tc>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(USD)</w:t>
            </w:r>
          </w:p>
        </w:tc>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(USD)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Zinc SHG 99.9%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140 Tons / Year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$3,600/ton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$504,000</w:t>
            </w:r>
          </w:p>
        </w:tc>
      </w:tr>
      <w:tr>
        <w:tc>
          <w:tcPr>
            <w:tcW w:type="dxa" w:w="23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Hydrochloric Acid</w:t>
            </w:r>
          </w:p>
        </w:tc>
        <w:tc>
          <w:tcPr>
            <w:tcW w:type="dxa" w:w="23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Tons / Month</w:t>
            </w:r>
          </w:p>
        </w:tc>
        <w:tc>
          <w:tcPr>
            <w:tcW w:type="dxa" w:w="23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$1,173.91/ton</w:t>
            </w:r>
          </w:p>
        </w:tc>
        <w:tc>
          <w:tcPr>
            <w:tcW w:type="dxa" w:w="23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$5,870/yr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Ammonium Chloride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 Ton / 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$2,300/ton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$27,600/yr</w:t>
            </w:r>
          </w:p>
        </w:tc>
      </w:tr>
    </w:tbl>
    <w:p>
      <w:pPr>
        <w:pStyle w:val="Heading2"/>
        <w:spacing w:before="280" w:after="140"/>
      </w:pPr>
      <w:r>
        <w:rPr>
          <w:rFonts w:ascii="Arial" w:cs="Arial" w:eastAsia="Arial" w:hAnsi="Arial"/>
          <w:b/>
          <w:bCs/>
          <w:color w:val="1B4F72"/>
          <w:sz w:val="26"/>
          <w:szCs w:val="26"/>
        </w:rPr>
        <w:t xml:space="preserve">Galvanizing Yield with 140 Tons of Zinc</w:t>
      </w:r>
    </w:p>
    <w:p>
      <w:pPr>
        <w:pStyle w:val="ListParagraph"/>
        <w:numPr>
          <w:ilvl w:val="0"/>
          <w:numId w:val="2"/>
        </w:numPr>
        <w:spacing w:before="40" w:after="40"/>
      </w:pPr>
      <w:r>
        <w:rPr>
          <w:rFonts w:ascii="Arial" w:cs="Arial" w:eastAsia="Arial" w:hAnsi="Arial"/>
          <w:sz w:val="22"/>
          <w:szCs w:val="22"/>
        </w:rPr>
        <w:t xml:space="preserve">High-efficiency scenario (7% coating weight): Up to 2,000 tons of steel galvanized per year</w:t>
      </w:r>
    </w:p>
    <w:p>
      <w:pPr>
        <w:pStyle w:val="ListParagraph"/>
        <w:numPr>
          <w:ilvl w:val="0"/>
          <w:numId w:val="2"/>
        </w:numPr>
        <w:spacing w:before="40" w:after="40"/>
      </w:pPr>
      <w:r>
        <w:rPr>
          <w:rFonts w:ascii="Arial" w:cs="Arial" w:eastAsia="Arial" w:hAnsi="Arial"/>
          <w:sz w:val="22"/>
          <w:szCs w:val="22"/>
        </w:rPr>
        <w:t xml:space="preserve">Standard scenario (10% coating weight): Approximately 1,400 tons of steel galvanized per year</w:t>
      </w:r>
    </w:p>
    <w:p>
      <w:pPr>
        <w:pStyle w:val="Heading2"/>
        <w:spacing w:before="280" w:after="140"/>
      </w:pPr>
      <w:r>
        <w:rPr>
          <w:rFonts w:ascii="Arial" w:cs="Arial" w:eastAsia="Arial" w:hAnsi="Arial"/>
          <w:b/>
          <w:bCs/>
          <w:color w:val="1B4F72"/>
          <w:sz w:val="26"/>
          <w:szCs w:val="26"/>
        </w:rPr>
        <w:t xml:space="preserve">Fixed Monthly Overhead</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tblGrid>
      <w:tr>
        <w:tc>
          <w:tcPr>
            <w:tcW w:type="dxa" w:w="32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21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Cost</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$1,800</w:t>
            </w:r>
          </w:p>
        </w:tc>
      </w:tr>
      <w:tr>
        <w:tc>
          <w:tcPr>
            <w:tcW w:type="dxa" w:w="32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Electricity</w:t>
            </w:r>
          </w:p>
        </w:tc>
        <w:tc>
          <w:tcPr>
            <w:tcW w:type="dxa" w:w="2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$200</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Security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$1,200</w:t>
            </w:r>
          </w:p>
        </w:tc>
      </w:tr>
      <w:tr>
        <w:tc>
          <w:tcPr>
            <w:tcW w:type="dxa" w:w="32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Salaries / Wages</w:t>
            </w:r>
          </w:p>
        </w:tc>
        <w:tc>
          <w:tcPr>
            <w:tcW w:type="dxa" w:w="2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$2,300</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Cleaning / Maintenance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$100</w:t>
            </w:r>
          </w:p>
        </w:tc>
      </w:tr>
      <w:tr>
        <w:tc>
          <w:tcPr>
            <w:tcW w:type="dxa" w:w="32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MONTHLY OVERHEAD</w:t>
            </w:r>
          </w:p>
        </w:tc>
        <w:tc>
          <w:tcPr>
            <w:tcW w:type="dxa" w:w="21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$5,600</w:t>
            </w:r>
          </w:p>
        </w:tc>
      </w:tr>
    </w:tbl>
    <w:p>
      <w:pPr>
        <w:pBdr>
          <w:left w:val="single" w:color="2E86C1" w:sz="12" w:space="8"/>
        </w:pBdr>
        <w:shd w:fill="D6EAF8" w:val="clear"/>
        <w:spacing w:before="160" w:after="160"/>
      </w:pPr>
      <w:r>
        <w:rPr>
          <w:rFonts w:ascii="Arial" w:cs="Arial" w:eastAsia="Arial" w:hAnsi="Arial"/>
          <w:b/>
          <w:bCs/>
          <w:color w:val="0D2137"/>
          <w:sz w:val="22"/>
          <w:szCs w:val="22"/>
        </w:rPr>
        <w:t xml:space="preserve">Monthly fixed overhead of just $5,600 means the facility can ramp up gradually without significant cash burn. Annual fixed costs of $67,200 are remarkably low for a facility of this capacity.</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Copper Electrolytic Plant — Second Revenue Stream</w:t>
      </w:r>
    </w:p>
    <w:p>
      <w:pPr>
        <w:spacing w:before="80" w:after="80"/>
      </w:pPr>
      <w:r>
        <w:rPr>
          <w:rFonts w:ascii="Arial" w:cs="Arial" w:eastAsia="Arial" w:hAnsi="Arial"/>
          <w:sz w:val="22"/>
          <w:szCs w:val="22"/>
        </w:rPr>
        <w:t xml:space="preserve">The facility includes a complete copper electroplating line for manufacturing electrical grounding rods. This provides a second, independent revenue stream tied directly to Venezuela’s electrical infrastructure rebuilding needs.</w:t>
      </w:r>
    </w:p>
    <w:p>
      <w:pPr>
        <w:spacing w:before="80" w:after="80"/>
      </w:pPr>
      <w:r>
        <w:rPr>
          <w:rFonts w:ascii="Arial" w:cs="Arial" w:eastAsia="Arial" w:hAnsi="Arial"/>
          <w:sz w:val="22"/>
          <w:szCs w:val="22"/>
        </w:rPr>
        <w:t xml:space="preserve">Installed capacity: 936 rods per day on a continuous 24-hour cycle.</w:t>
      </w:r>
    </w:p>
    <w:p>
      <w:pPr>
        <w:pStyle w:val="Heading2"/>
        <w:spacing w:before="280" w:after="140"/>
      </w:pPr>
      <w:r>
        <w:rPr>
          <w:rFonts w:ascii="Arial" w:cs="Arial" w:eastAsia="Arial" w:hAnsi="Arial"/>
          <w:b/>
          <w:bCs/>
          <w:color w:val="1B4F72"/>
          <w:sz w:val="26"/>
          <w:szCs w:val="26"/>
        </w:rPr>
        <w:t xml:space="preserve">Chemical Inputs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(Spanish)</w:t>
            </w:r>
          </w:p>
        </w:tc>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English</w:t>
            </w:r>
          </w:p>
        </w:tc>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Quantity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Ácido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5,000 kg/month</w:t>
            </w:r>
          </w:p>
        </w:tc>
      </w:tr>
      <w:tr>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Cloruro de Amonio</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Ammonium Chloride</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kg/month (startup)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Planta de Cobre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Electrolytic Copper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 tons (for 4 tanks)</w:t>
            </w:r>
          </w:p>
        </w:tc>
      </w:tr>
      <w:tr>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Sulfato de Níquel</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Nickel Sulfate</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600 kg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Cloruro de Níquel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Nickel Chloride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120 kg</w:t>
            </w:r>
          </w:p>
        </w:tc>
      </w:tr>
      <w:tr>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Ácido Bórico</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Boric Acid</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 kg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Níquel en Briquetas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Nickel Briquettes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kg</w:t>
            </w:r>
          </w:p>
        </w:tc>
      </w:tr>
      <w:tr>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Ácido Sulfúrico</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Sulfuric Acid</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900 kg</w:t>
            </w:r>
          </w:p>
        </w:tc>
      </w:tr>
    </w:tbl>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Strategic Positioning &amp; Market Context</w:t>
      </w:r>
    </w:p>
    <w:p>
      <w:pPr>
        <w:pStyle w:val="Heading2"/>
        <w:spacing w:before="280" w:after="140"/>
      </w:pPr>
      <w:r>
        <w:rPr>
          <w:rFonts w:ascii="Arial" w:cs="Arial" w:eastAsia="Arial" w:hAnsi="Arial"/>
          <w:b/>
          <w:bCs/>
          <w:color w:val="1B4F72"/>
          <w:sz w:val="26"/>
          <w:szCs w:val="26"/>
        </w:rPr>
        <w:t xml:space="preserve">Location Advantage</w:t>
      </w:r>
    </w:p>
    <w:p>
      <w:pPr>
        <w:spacing w:before="80" w:after="80"/>
      </w:pPr>
      <w:r>
        <w:rPr>
          <w:rFonts w:ascii="Arial" w:cs="Arial" w:eastAsia="Arial" w:hAnsi="Arial"/>
          <w:sz w:val="22"/>
          <w:szCs w:val="22"/>
        </w:rPr>
        <w:t xml:space="preserve">Barquisimeto is Venezuela’s fourth-largest city (metro population ~1.27 million) and serves as the primary commercial, industrial, and transportation hub for the country’s central-western region. It is connected by highway to all major urban centers and has international airport access.</w:t>
      </w:r>
    </w:p>
    <w:p>
      <w:pPr>
        <w:spacing w:before="40" w:after="40"/>
      </w:pPr>
      <w:r>
        <w:rPr>
          <w:rFonts w:ascii="Arial" w:cs="Arial" w:eastAsia="Arial" w:hAnsi="Arial"/>
          <w:i/>
          <w:iCs/>
          <w:color w:val="888888"/>
          <w:sz w:val="16"/>
          <w:szCs w:val="16"/>
        </w:rPr>
        <w:t xml:space="preserve">Source: Britannica; Wikipedia, “Barquisimeto”</w:t>
      </w:r>
    </w:p>
    <w:p>
      <w:pPr>
        <w:spacing w:before="80" w:after="80"/>
      </w:pPr>
      <w:r>
        <w:rPr>
          <w:rFonts w:ascii="Arial" w:cs="Arial" w:eastAsia="Arial" w:hAnsi="Arial"/>
          <w:sz w:val="22"/>
          <w:szCs w:val="22"/>
        </w:rPr>
        <w:t xml:space="preserve">From an industrial perspective, Lara State’s manufacturing activity is concentrated in Barquisimeto, which has industrial zones of significant magnitude and production capacity.</w:t>
      </w:r>
    </w:p>
    <w:p>
      <w:pPr>
        <w:spacing w:before="40" w:after="40"/>
      </w:pPr>
      <w:r>
        <w:rPr>
          <w:rFonts w:ascii="Arial" w:cs="Arial" w:eastAsia="Arial" w:hAnsi="Arial"/>
          <w:i/>
          <w:iCs/>
          <w:color w:val="888888"/>
          <w:sz w:val="16"/>
          <w:szCs w:val="16"/>
        </w:rPr>
        <w:t xml:space="preserve">Source: Wikipedia, “Lara (state)”</w:t>
      </w:r>
    </w:p>
    <w:p>
      <w:pPr>
        <w:pStyle w:val="Heading2"/>
        <w:spacing w:before="280" w:after="140"/>
      </w:pPr>
      <w:r>
        <w:rPr>
          <w:rFonts w:ascii="Arial" w:cs="Arial" w:eastAsia="Arial" w:hAnsi="Arial"/>
          <w:b/>
          <w:bCs/>
          <w:color w:val="1B4F72"/>
          <w:sz w:val="26"/>
          <w:szCs w:val="26"/>
        </w:rPr>
        <w:t xml:space="preserve">Proximity to Oil Operations</w:t>
      </w:r>
    </w:p>
    <w:p>
      <w:pPr>
        <w:spacing w:before="80" w:after="80"/>
      </w:pPr>
      <w:r>
        <w:rPr>
          <w:rFonts w:ascii="Arial" w:cs="Arial" w:eastAsia="Arial" w:hAnsi="Arial"/>
          <w:sz w:val="22"/>
          <w:szCs w:val="22"/>
        </w:rPr>
        <w:t xml:space="preserve">Venezuela’s major oil operations are concentrated in the Orinoco Belt (south-central) and the Maracaibo Basin (Zulia State, northwest). Barquisimeto sits in the central-western corridor between these regions, with highway access to both. As infrastructure rebuild activity expands, regional galvanizing capacity will be in critical demand.</w:t>
      </w:r>
    </w:p>
    <w:p>
      <w:pPr>
        <w:spacing w:before="80" w:after="80"/>
      </w:pPr>
      <w:r>
        <w:rPr>
          <w:rFonts w:ascii="Arial" w:cs="Arial" w:eastAsia="Arial" w:hAnsi="Arial"/>
          <w:sz w:val="22"/>
          <w:szCs w:val="22"/>
        </w:rPr>
        <w:t xml:space="preserve">PDVSA has recently entered into nine production-sharing agreements with Chinese and Argentine companies, allocating operational rights on blocks in Zulia state and the Orinoco Belt. The first foreign company to produce crude under a 20-year concession, Anhui Guangda Mining Investment, is projected to generate 600,000 barrels per day under its arrangements with PDVSA.</w:t>
      </w:r>
    </w:p>
    <w:p>
      <w:pPr>
        <w:spacing w:before="40" w:after="40"/>
      </w:pPr>
      <w:r>
        <w:rPr>
          <w:rFonts w:ascii="Arial" w:cs="Arial" w:eastAsia="Arial" w:hAnsi="Arial"/>
          <w:i/>
          <w:iCs/>
          <w:color w:val="888888"/>
          <w:sz w:val="16"/>
          <w:szCs w:val="16"/>
        </w:rPr>
        <w:t xml:space="preserve">Source: Speyside Group, “Venezuela at a Crossroads”</w:t>
      </w:r>
    </w:p>
    <w:p>
      <w:pPr>
        <w:pStyle w:val="Heading2"/>
        <w:spacing w:before="280" w:after="140"/>
      </w:pPr>
      <w:r>
        <w:rPr>
          <w:rFonts w:ascii="Arial" w:cs="Arial" w:eastAsia="Arial" w:hAnsi="Arial"/>
          <w:b/>
          <w:bCs/>
          <w:color w:val="1B4F72"/>
          <w:sz w:val="26"/>
          <w:szCs w:val="26"/>
        </w:rPr>
        <w:t xml:space="preserve">Competitive Landscape</w:t>
      </w:r>
    </w:p>
    <w:p>
      <w:pPr>
        <w:spacing w:before="80" w:after="80"/>
      </w:pPr>
      <w:r>
        <w:rPr>
          <w:rFonts w:ascii="Arial" w:cs="Arial" w:eastAsia="Arial" w:hAnsi="Arial"/>
          <w:sz w:val="22"/>
          <w:szCs w:val="22"/>
        </w:rPr>
        <w:t xml:space="preserve">Venezuela’s industrial base has been devastated by the economic crisis. Rystad Energy explicitly warns that years of domestic industrial atrophy and limited availability of skilled labor make it unlikely that a rapid increase in service demand could be absorbed in the near term. This means existing, operational facilities like PYG Lara have a significant first-mover advantage.</w:t>
      </w:r>
    </w:p>
    <w:p>
      <w:pPr>
        <w:spacing w:before="40" w:after="40"/>
      </w:pPr>
      <w:r>
        <w:rPr>
          <w:rFonts w:ascii="Arial" w:cs="Arial" w:eastAsia="Arial" w:hAnsi="Arial"/>
          <w:i/>
          <w:iCs/>
          <w:color w:val="888888"/>
          <w:sz w:val="16"/>
          <w:szCs w:val="16"/>
        </w:rPr>
        <w:t xml:space="preserve">Source: Rystad Energy via AJOT</w:t>
      </w:r>
    </w:p>
    <w:p>
      <w:pPr>
        <w:pBdr>
          <w:left w:val="single" w:color="2E86C1" w:sz="12" w:space="8"/>
        </w:pBdr>
        <w:shd w:fill="D6EAF8" w:val="clear"/>
        <w:spacing w:before="160" w:after="160"/>
      </w:pPr>
      <w:r>
        <w:rPr>
          <w:rFonts w:ascii="Arial" w:cs="Arial" w:eastAsia="Arial" w:hAnsi="Arial"/>
          <w:b/>
          <w:bCs/>
          <w:color w:val="0D2137"/>
          <w:sz w:val="22"/>
          <w:szCs w:val="22"/>
        </w:rPr>
        <w:t xml:space="preserve">An operational galvanizing plant with trained-ready infrastructure in Venezuela today is not competing in a crowded market — it’s filling a vacuum.</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Risk Factors &amp; Considerations</w:t>
      </w:r>
    </w:p>
    <w:p>
      <w:pPr>
        <w:spacing w:before="80" w:after="80"/>
      </w:pPr>
      <w:r>
        <w:rPr>
          <w:rFonts w:ascii="Arial" w:cs="Arial" w:eastAsia="Arial" w:hAnsi="Arial"/>
          <w:sz w:val="22"/>
          <w:szCs w:val="22"/>
        </w:rPr>
        <w:t xml:space="preserve">This document presents the investment opportunity transparently. Prospective buyers should consider the following risks:</w:t>
      </w:r>
    </w:p>
    <w:p>
      <w:pPr>
        <w:pStyle w:val="Heading2"/>
        <w:spacing w:before="280" w:after="140"/>
      </w:pPr>
      <w:r>
        <w:rPr>
          <w:rFonts w:ascii="Arial" w:cs="Arial" w:eastAsia="Arial" w:hAnsi="Arial"/>
          <w:b/>
          <w:bCs/>
          <w:color w:val="1B4F72"/>
          <w:sz w:val="26"/>
          <w:szCs w:val="26"/>
        </w:rPr>
        <w:t xml:space="preserve">Political &amp; Regulatory Risk</w:t>
      </w:r>
    </w:p>
    <w:p>
      <w:pPr>
        <w:pStyle w:val="ListParagraph"/>
        <w:numPr>
          <w:ilvl w:val="0"/>
          <w:numId w:val="2"/>
        </w:numPr>
        <w:spacing w:before="40" w:after="40"/>
      </w:pPr>
      <w:r>
        <w:rPr>
          <w:rFonts w:ascii="Arial" w:cs="Arial" w:eastAsia="Arial" w:hAnsi="Arial"/>
          <w:sz w:val="22"/>
          <w:szCs w:val="22"/>
        </w:rPr>
        <w:t xml:space="preserve">Venezuela’s political situation remains fluid following the January 2026 regime change. Long-term political stability is not guaranteed.</w:t>
      </w:r>
    </w:p>
    <w:p>
      <w:pPr>
        <w:pStyle w:val="ListParagraph"/>
        <w:numPr>
          <w:ilvl w:val="0"/>
          <w:numId w:val="2"/>
        </w:numPr>
        <w:spacing w:before="40" w:after="40"/>
      </w:pPr>
      <w:r>
        <w:rPr>
          <w:rFonts w:ascii="Arial" w:cs="Arial" w:eastAsia="Arial" w:hAnsi="Arial"/>
          <w:sz w:val="22"/>
          <w:szCs w:val="22"/>
        </w:rPr>
        <w:t xml:space="preserve">Major oil companies including ExxonMobil have expressed caution about committing capital due to Venezuela’s history of nationalization and contract renegotiation.</w:t>
      </w:r>
    </w:p>
    <w:p>
      <w:pPr>
        <w:spacing w:before="40" w:after="40"/>
      </w:pPr>
      <w:r>
        <w:rPr>
          <w:rFonts w:ascii="Arial" w:cs="Arial" w:eastAsia="Arial" w:hAnsi="Arial"/>
          <w:i/>
          <w:iCs/>
          <w:color w:val="888888"/>
          <w:sz w:val="16"/>
          <w:szCs w:val="16"/>
        </w:rPr>
        <w:t xml:space="preserve">Source: CNBC, January 28, 2026; Atlantic Council, January 8, 2026</w:t>
      </w:r>
    </w:p>
    <w:p>
      <w:pPr>
        <w:pStyle w:val="Heading2"/>
        <w:spacing w:before="280" w:after="140"/>
      </w:pPr>
      <w:r>
        <w:rPr>
          <w:rFonts w:ascii="Arial" w:cs="Arial" w:eastAsia="Arial" w:hAnsi="Arial"/>
          <w:b/>
          <w:bCs/>
          <w:color w:val="1B4F72"/>
          <w:sz w:val="26"/>
          <w:szCs w:val="26"/>
        </w:rPr>
        <w:t xml:space="preserve">Macroeconomic Risk</w:t>
      </w:r>
    </w:p>
    <w:p>
      <w:pPr>
        <w:pStyle w:val="ListParagraph"/>
        <w:numPr>
          <w:ilvl w:val="0"/>
          <w:numId w:val="2"/>
        </w:numPr>
        <w:spacing w:before="40" w:after="40"/>
      </w:pPr>
      <w:r>
        <w:rPr>
          <w:rFonts w:ascii="Arial" w:cs="Arial" w:eastAsia="Arial" w:hAnsi="Arial"/>
          <w:sz w:val="22"/>
          <w:szCs w:val="22"/>
        </w:rPr>
        <w:t xml:space="preserve">The IMF projects inflation at approximately 682% for 2026, among the highest in the world.</w:t>
      </w:r>
    </w:p>
    <w:p>
      <w:pPr>
        <w:pStyle w:val="ListParagraph"/>
        <w:numPr>
          <w:ilvl w:val="0"/>
          <w:numId w:val="2"/>
        </w:numPr>
        <w:spacing w:before="40" w:after="40"/>
      </w:pPr>
      <w:r>
        <w:rPr>
          <w:rFonts w:ascii="Arial" w:cs="Arial" w:eastAsia="Arial" w:hAnsi="Arial"/>
          <w:sz w:val="22"/>
          <w:szCs w:val="22"/>
        </w:rPr>
        <w:t xml:space="preserve">Venezuela’s GDP contracted by an estimated 75-80% between 2012 and 2020.</w:t>
      </w:r>
    </w:p>
    <w:p>
      <w:pPr>
        <w:pStyle w:val="ListParagraph"/>
        <w:numPr>
          <w:ilvl w:val="0"/>
          <w:numId w:val="2"/>
        </w:numPr>
        <w:spacing w:before="40" w:after="40"/>
      </w:pPr>
      <w:r>
        <w:rPr>
          <w:rFonts w:ascii="Arial" w:cs="Arial" w:eastAsia="Arial" w:hAnsi="Arial"/>
          <w:sz w:val="22"/>
          <w:szCs w:val="22"/>
        </w:rPr>
        <w:t xml:space="preserve">Currency instability may affect pricing and cost calculations.</w:t>
      </w:r>
    </w:p>
    <w:p>
      <w:pPr>
        <w:spacing w:before="40" w:after="40"/>
      </w:pPr>
      <w:r>
        <w:rPr>
          <w:rFonts w:ascii="Arial" w:cs="Arial" w:eastAsia="Arial" w:hAnsi="Arial"/>
          <w:i/>
          <w:iCs/>
          <w:color w:val="888888"/>
          <w:sz w:val="16"/>
          <w:szCs w:val="16"/>
        </w:rPr>
        <w:t xml:space="preserve">Source: Center for Global Development; IMF estimates</w:t>
      </w:r>
    </w:p>
    <w:p>
      <w:pPr>
        <w:pStyle w:val="Heading2"/>
        <w:spacing w:before="280" w:after="140"/>
      </w:pPr>
      <w:r>
        <w:rPr>
          <w:rFonts w:ascii="Arial" w:cs="Arial" w:eastAsia="Arial" w:hAnsi="Arial"/>
          <w:b/>
          <w:bCs/>
          <w:color w:val="1B4F72"/>
          <w:sz w:val="26"/>
          <w:szCs w:val="26"/>
        </w:rPr>
        <w:t xml:space="preserve">Operational Risk</w:t>
      </w:r>
    </w:p>
    <w:p>
      <w:pPr>
        <w:pStyle w:val="ListParagraph"/>
        <w:numPr>
          <w:ilvl w:val="0"/>
          <w:numId w:val="2"/>
        </w:numPr>
        <w:spacing w:before="40" w:after="40"/>
      </w:pPr>
      <w:r>
        <w:rPr>
          <w:rFonts w:ascii="Arial" w:cs="Arial" w:eastAsia="Arial" w:hAnsi="Arial"/>
          <w:sz w:val="22"/>
          <w:szCs w:val="22"/>
        </w:rPr>
        <w:t xml:space="preserve">Supply chain for zinc and chemical inputs may face disruptions.</w:t>
      </w:r>
    </w:p>
    <w:p>
      <w:pPr>
        <w:pStyle w:val="ListParagraph"/>
        <w:numPr>
          <w:ilvl w:val="0"/>
          <w:numId w:val="2"/>
        </w:numPr>
        <w:spacing w:before="40" w:after="40"/>
      </w:pPr>
      <w:r>
        <w:rPr>
          <w:rFonts w:ascii="Arial" w:cs="Arial" w:eastAsia="Arial" w:hAnsi="Arial"/>
          <w:sz w:val="22"/>
          <w:szCs w:val="22"/>
        </w:rPr>
        <w:t xml:space="preserve">Skilled labor availability may be limited due to emigration during the crisis years.</w:t>
      </w:r>
    </w:p>
    <w:p>
      <w:pPr>
        <w:pStyle w:val="ListParagraph"/>
        <w:numPr>
          <w:ilvl w:val="0"/>
          <w:numId w:val="2"/>
        </w:numPr>
        <w:spacing w:before="40" w:after="40"/>
      </w:pPr>
      <w:r>
        <w:rPr>
          <w:rFonts w:ascii="Arial" w:cs="Arial" w:eastAsia="Arial" w:hAnsi="Arial"/>
          <w:sz w:val="22"/>
          <w:szCs w:val="22"/>
        </w:rPr>
        <w:t xml:space="preserve">Infrastructure reliability (power grid, water supply) may affect operations.</w:t>
      </w:r>
    </w:p>
    <w:p>
      <w:pPr>
        <w:pStyle w:val="Heading2"/>
        <w:spacing w:before="280" w:after="140"/>
      </w:pPr>
      <w:r>
        <w:rPr>
          <w:rFonts w:ascii="Arial" w:cs="Arial" w:eastAsia="Arial" w:hAnsi="Arial"/>
          <w:b/>
          <w:bCs/>
          <w:color w:val="1B4F72"/>
          <w:sz w:val="26"/>
          <w:szCs w:val="26"/>
        </w:rPr>
        <w:t xml:space="preserve">Mitigating Factors</w:t>
      </w:r>
    </w:p>
    <w:p>
      <w:pPr>
        <w:pStyle w:val="ListParagraph"/>
        <w:numPr>
          <w:ilvl w:val="0"/>
          <w:numId w:val="2"/>
        </w:numPr>
        <w:spacing w:before="40" w:after="40"/>
      </w:pPr>
      <w:r>
        <w:rPr>
          <w:rFonts w:ascii="Arial" w:cs="Arial" w:eastAsia="Arial" w:hAnsi="Arial"/>
          <w:sz w:val="22"/>
          <w:szCs w:val="22"/>
        </w:rPr>
        <w:t xml:space="preserve">Extremely low fixed cost base ($5,600/month) allows for gradual ramp-up without cash pressure.</w:t>
      </w:r>
    </w:p>
    <w:p>
      <w:pPr>
        <w:pStyle w:val="ListParagraph"/>
        <w:numPr>
          <w:ilvl w:val="0"/>
          <w:numId w:val="2"/>
        </w:numPr>
        <w:spacing w:before="40" w:after="40"/>
      </w:pPr>
      <w:r>
        <w:rPr>
          <w:rFonts w:ascii="Arial" w:cs="Arial" w:eastAsia="Arial" w:hAnsi="Arial"/>
          <w:sz w:val="22"/>
          <w:szCs w:val="22"/>
        </w:rPr>
        <w:t xml:space="preserve">Physical assets (3 owned properties + equipment) provide downside protection regardless of operating scenario.</w:t>
      </w:r>
    </w:p>
    <w:p>
      <w:pPr>
        <w:pStyle w:val="ListParagraph"/>
        <w:numPr>
          <w:ilvl w:val="0"/>
          <w:numId w:val="2"/>
        </w:numPr>
        <w:spacing w:before="40" w:after="40"/>
      </w:pPr>
      <w:r>
        <w:rPr>
          <w:rFonts w:ascii="Arial" w:cs="Arial" w:eastAsia="Arial" w:hAnsi="Arial"/>
          <w:sz w:val="22"/>
          <w:szCs w:val="22"/>
        </w:rPr>
        <w:t xml:space="preserve">Dual revenue streams (galvanizing + copper rods) diversify operational risk.</w:t>
      </w:r>
    </w:p>
    <w:p>
      <w:pPr>
        <w:pStyle w:val="ListParagraph"/>
        <w:numPr>
          <w:ilvl w:val="0"/>
          <w:numId w:val="2"/>
        </w:numPr>
        <w:spacing w:before="40" w:after="40"/>
      </w:pPr>
      <w:r>
        <w:rPr>
          <w:rFonts w:ascii="Arial" w:cs="Arial" w:eastAsia="Arial" w:hAnsi="Arial"/>
          <w:sz w:val="22"/>
          <w:szCs w:val="22"/>
        </w:rPr>
        <w:t xml:space="preserve">No debt means no financial distress risk during ramp-up period.</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Investment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Asking Price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$1,000,000 USD</w:t>
            </w:r>
          </w:p>
        </w:tc>
      </w:tr>
      <w:tr>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Real Estate</w:t>
            </w:r>
          </w:p>
        </w:tc>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owned warehouses (no lease)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Galvanizing Capacity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400 tons/month</w:t>
            </w:r>
          </w:p>
        </w:tc>
      </w:tr>
      <w:tr>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Copper Rod Capacity</w:t>
            </w:r>
          </w:p>
        </w:tc>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936 rods/day (24hr cycle)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Equipment Condition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Working order; some factory-sealed</w:t>
            </w:r>
          </w:p>
        </w:tc>
      </w:tr>
      <w:tr>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Debt / Liens</w:t>
            </w:r>
          </w:p>
        </w:tc>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Monthly Fixed Costs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$5,600</w:t>
            </w:r>
          </w:p>
        </w:tc>
      </w:tr>
      <w:tr>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 Annual Zinc Cost (140 tons)</w:t>
            </w:r>
          </w:p>
        </w:tc>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$504,000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Furnace System Replacement Value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$570,000+ (furnace system alone)</w:t>
            </w:r>
          </w:p>
        </w:tc>
      </w:tr>
      <w:tr>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Ready to Produce</w:t>
            </w:r>
          </w:p>
        </w:tc>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Yes — requires zinc only</w:t>
            </w:r>
          </w:p>
        </w:tc>
      </w:tr>
    </w:tbl>
    <w:p>
      <w:pPr>
        <w:spacing w:before="300"/>
      </w:pPr>
    </w:p>
    <w:p>
      <w:pPr>
        <w:pBdr>
          <w:left w:val="single" w:color="2E86C1" w:sz="12" w:space="8"/>
        </w:pBdr>
        <w:shd w:fill="D6EAF8" w:val="clear"/>
        <w:spacing w:before="160" w:after="160"/>
      </w:pPr>
      <w:r>
        <w:rPr>
          <w:rFonts w:ascii="Arial" w:cs="Arial" w:eastAsia="Arial" w:hAnsi="Arial"/>
          <w:b/>
          <w:bCs/>
          <w:color w:val="0D2137"/>
          <w:sz w:val="22"/>
          <w:szCs w:val="22"/>
        </w:rPr>
        <w:t xml:space="preserve">At $1M, a buyer acquires three properties, a fully-equipped dual-production facility, and positioning in a market where $156 billion in infrastructure services are projected over the next 15 years. The equipment alone approaches the asking price in replacement value.</w:t>
      </w:r>
    </w:p>
    <w:p>
      <w:pPr>
        <w:spacing w:before="400"/>
      </w:pPr>
    </w:p>
    <w:p>
      <w:pPr>
        <w:spacing w:before="80" w:after="80"/>
      </w:pPr>
      <w:r>
        <w:rPr>
          <w:rFonts w:ascii="Arial" w:cs="Arial" w:eastAsia="Arial" w:hAnsi="Arial"/>
          <w:b/>
          <w:bCs/>
          <w:color w:val="CC0000"/>
          <w:sz w:val="22"/>
          <w:szCs w:val="22"/>
        </w:rPr>
        <w:t xml:space="preserve">[P&amp;L OVERVIEW TO BE INSERTED HERE]</w:t>
      </w:r>
    </w:p>
    <w:p>
      <w:pPr>
        <w:spacing w:before="100"/>
      </w:pPr>
    </w:p>
    <w:p>
      <w:pPr>
        <w:spacing w:before="80" w:after="80"/>
      </w:pPr>
      <w:r>
        <w:rPr>
          <w:rFonts w:ascii="Arial" w:cs="Arial" w:eastAsia="Arial" w:hAnsi="Arial"/>
          <w:b/>
          <w:bCs/>
          <w:color w:val="CC0000"/>
          <w:sz w:val="22"/>
          <w:szCs w:val="22"/>
        </w:rPr>
        <w:t xml:space="preserve">[PHOTOS &amp; FACILITY DOCUMENTATION TO BE APPENDED]</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Contact Information</w:t>
      </w:r>
    </w:p>
    <w:p>
      <w:pPr>
        <w:spacing w:before="80" w:after="80"/>
      </w:pPr>
      <w:r>
        <w:rPr>
          <w:rFonts w:ascii="Arial" w:cs="Arial" w:eastAsia="Arial" w:hAnsi="Arial"/>
          <w:sz w:val="22"/>
          <w:szCs w:val="22"/>
        </w:rPr>
        <w:t xml:space="preserve">Company: Prensados y Galvanizados de Lara, S.A.</w:t>
      </w:r>
    </w:p>
    <w:p>
      <w:pPr>
        <w:spacing w:before="80" w:after="80"/>
      </w:pPr>
      <w:r>
        <w:rPr>
          <w:rFonts w:ascii="Arial" w:cs="Arial" w:eastAsia="Arial" w:hAnsi="Arial"/>
          <w:sz w:val="22"/>
          <w:szCs w:val="22"/>
        </w:rPr>
        <w:t xml:space="preserve">Instagram: @pyglarasa</w:t>
      </w:r>
    </w:p>
    <w:p>
      <w:pPr>
        <w:spacing w:before="80" w:after="80"/>
      </w:pPr>
      <w:r>
        <w:rPr>
          <w:rFonts w:ascii="Arial" w:cs="Arial" w:eastAsia="Arial" w:hAnsi="Arial"/>
          <w:sz w:val="22"/>
          <w:szCs w:val="22"/>
        </w:rPr>
        <w:t xml:space="preserve">Phone: +584245715349</w:t>
      </w:r>
    </w:p>
    <w:p>
      <w:pPr>
        <w:spacing w:before="80" w:after="80"/>
      </w:pPr>
      <w:r>
        <w:rPr>
          <w:rFonts w:ascii="Arial" w:cs="Arial" w:eastAsia="Arial" w:hAnsi="Arial"/>
          <w:sz w:val="22"/>
          <w:szCs w:val="22"/>
        </w:rPr>
        <w:t xml:space="preserve">Address: 26th Street, between 1st and 2nd Avenue, Warehouse No. 25-90, Barquisimeto, Lara State, 3001, Venezuela</w:t>
      </w:r>
    </w:p>
    <w:p>
      <w:pPr>
        <w:spacing w:before="400"/>
      </w:pPr>
    </w:p>
    <w:p>
      <w:pPr>
        <w:pStyle w:val="Heading2"/>
        <w:spacing w:before="280" w:after="140"/>
      </w:pPr>
      <w:r>
        <w:rPr>
          <w:rFonts w:ascii="Arial" w:cs="Arial" w:eastAsia="Arial" w:hAnsi="Arial"/>
          <w:b/>
          <w:bCs/>
          <w:color w:val="1B4F72"/>
          <w:sz w:val="26"/>
          <w:szCs w:val="26"/>
        </w:rPr>
        <w:t xml:space="preserve">Disclaimer</w:t>
      </w:r>
    </w:p>
    <w:p>
      <w:pPr>
        <w:spacing w:before="80" w:after="80"/>
      </w:pPr>
      <w:r>
        <w:rPr>
          <w:rFonts w:ascii="Arial" w:cs="Arial" w:eastAsia="Arial" w:hAnsi="Arial"/>
          <w:color w:val="666666"/>
          <w:sz w:val="22"/>
          <w:szCs w:val="22"/>
        </w:rPr>
        <w:t xml:space="preserve">This document has been prepared for informational purposes only and does not constitute an offer to sell or a solicitation of an offer to buy any securities or assets. All financial projections and market data referenced herein are sourced from third-party publications and are included for context only — they do not represent guarantees of future performance. Prospective investors should conduct their own independent due diligence, including but not limited to legal, financial, tax, and operational review, before making any investment decision. Historical P&amp;L performance reflects Venezuela’s macroeconomic conditions and should be evaluated in that context.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AAAAAA"/>
        <w:sz w:val="14"/>
        <w:szCs w:val="14"/>
      </w:rPr>
      <w:t xml:space="preserve">CONFIDENTIAL  |  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4" w:space="4"/>
      </w:pBdr>
    </w:pPr>
    <w:r>
      <w:rPr>
        <w:rFonts w:ascii="Arial" w:cs="Arial" w:eastAsia="Arial" w:hAnsi="Arial"/>
        <w:b/>
        <w:bCs/>
        <w:color w:val="0D2137"/>
        <w:sz w:val="16"/>
        <w:szCs w:val="16"/>
      </w:rPr>
      <w:t xml:space="preserve">Prensados y Galvanizados de Lara, S.A.</w:t>
    </w:r>
    <w:r>
      <w:rPr>
        <w:rFonts w:ascii="Arial" w:cs="Arial" w:eastAsia="Arial" w:hAnsi="Arial"/>
        <w:i/>
        <w:iCs/>
        <w:color w:val="2E86C1"/>
        <w:sz w:val="16"/>
        <w:szCs w:val="16"/>
      </w:rPr>
      <w:t xml:space="preserve">  |  Investment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137"/>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2026-02-18T00:18:10.085Z</dcterms:created>
  <dcterms:modified xsi:type="dcterms:W3CDTF">2026-02-18T00:18:10.086Z</dcterms:modified>
</cp:coreProperties>
</file>

<file path=docProps/custom.xml><?xml version="1.0" encoding="utf-8"?>
<Properties xmlns="http://schemas.openxmlformats.org/officeDocument/2006/custom-properties" xmlns:vt="http://schemas.openxmlformats.org/officeDocument/2006/docPropsVTypes"/>
</file>