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2D2D2D"/>
          <w:sz w:val="44"/>
          <w:szCs w:val="44"/>
        </w:rPr>
        <w:t xml:space="preserve">DOCUMENTO DE DIVULGACIÓN</w:t>
      </w:r>
    </w:p>
    <w:p>
      <w:pPr>
        <w:spacing w:after="100"/>
        <w:jc w:val="center"/>
      </w:pPr>
      <w:r>
        <w:rPr>
          <w:rFonts w:ascii="Arial" w:cs="Arial" w:eastAsia="Arial" w:hAnsi="Arial"/>
          <w:b/>
          <w:bCs/>
          <w:color w:val="2D2D2D"/>
          <w:sz w:val="44"/>
          <w:szCs w:val="44"/>
        </w:rPr>
        <w:t xml:space="preserve">E INFORMACIÓN LEGAL</w:t>
      </w:r>
    </w:p>
    <w:p>
      <w:pPr>
        <w:pBdr>
          <w:bottom w:val="single" w:color="333333" w:sz="6" w:space="1"/>
        </w:pBdr>
        <w:spacing w:after="400"/>
        <w:jc w:val="center"/>
      </w:pPr>
    </w:p>
    <w:p>
      <w:pPr>
        <w:spacing w:after="100"/>
        <w:jc w:val="center"/>
      </w:pPr>
      <w:r>
        <w:rPr>
          <w:rFonts w:ascii="Arial" w:cs="Arial" w:eastAsia="Arial" w:hAnsi="Arial"/>
          <w:b/>
          <w:bCs/>
          <w:color w:val="444444"/>
          <w:sz w:val="28"/>
          <w:szCs w:val="28"/>
        </w:rPr>
        <w:t xml:space="preserve">PRENSADOS Y GALVANIZADOS DE LARA, S.A.</w:t>
      </w:r>
    </w:p>
    <w:p>
      <w:pPr>
        <w:spacing w:after="100"/>
        <w:jc w:val="center"/>
      </w:pPr>
      <w:r>
        <w:rPr>
          <w:rFonts w:ascii="Arial" w:cs="Arial" w:eastAsia="Arial" w:hAnsi="Arial"/>
          <w:color w:val="CC0000"/>
          <w:sz w:val="22"/>
          <w:szCs w:val="22"/>
        </w:rPr>
        <w:t xml:space="preserve">RIF: [INSERTAR RIF]</w:t>
      </w:r>
    </w:p>
    <w:p>
      <w:pPr>
        <w:spacing w:after="100"/>
        <w:jc w:val="center"/>
      </w:pPr>
      <w:r>
        <w:rPr>
          <w:rFonts w:ascii="Arial" w:cs="Arial" w:eastAsia="Arial" w:hAnsi="Arial"/>
          <w:i/>
          <w:iCs/>
          <w:color w:val="666666"/>
          <w:sz w:val="22"/>
          <w:szCs w:val="22"/>
        </w:rPr>
        <w:t xml:space="preserve">Barquisimeto, Estado Lara, República Bolivariana de Venezuela</w:t>
      </w:r>
    </w:p>
    <w:p>
      <w:pPr>
        <w:spacing w:after="600"/>
        <w:jc w:val="center"/>
      </w:pPr>
      <w:r>
        <w:rPr>
          <w:rFonts w:ascii="Arial" w:cs="Arial" w:eastAsia="Arial" w:hAnsi="Arial"/>
          <w:color w:val="666666"/>
          <w:sz w:val="22"/>
          <w:szCs w:val="22"/>
        </w:rPr>
        <w:t xml:space="preserve">Febrero 2026</w:t>
      </w:r>
    </w:p>
    <w:p>
      <w:pPr>
        <w:jc w:val="center"/>
      </w:pPr>
      <w:r>
        <w:rPr>
          <w:rFonts w:ascii="Arial" w:cs="Arial" w:eastAsia="Arial" w:hAnsi="Arial"/>
          <w:b/>
          <w:bCs/>
          <w:color w:val="CC0000"/>
          <w:sz w:val="24"/>
          <w:szCs w:val="24"/>
        </w:rPr>
        <w:t xml:space="preserve">ESTRICTAMENTE CONFIDENCIAL</w:t>
      </w:r>
    </w:p>
    <w:p>
      <w:r>
        <w:br w:type="page"/>
      </w:r>
    </w:p>
    <w:p>
      <w:pPr>
        <w:pStyle w:val="Heading1"/>
      </w:pPr>
      <w:r>
        <w:t xml:space="preserve">I. IDENTIFICACIÓN DE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Denominación Social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Prensados y Galvanizados de Lara, S.A.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Forma Jurídica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Sociedad Anónima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RIF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[INSERTAR NÚMERO DE RIF]</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Registro Mercantil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[INSERTAR DATOS DE REGISTRO MERCANTIL]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Domicilio Fiscal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Calle 26, entre Av. 1ra y 2da, Galpón No. 25-90, Barquisimeto, Estado Lara, 3001, Venezuela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Objeto Social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Galvanizado por inmersión en caliente de estructuras metálicas; fabricación de varillas de puesta a tierra con recubrimiento electrolítico de cobre; y actividades conexas de tratamiento de superficies metálicas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Capital Social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[INSERTAR MONTO DEL CAPITAL SOCIAL Y DISTRIBUCIÓN ACCIONARIA]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Representante Legal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[INSERTAR NOMBRE Y CÉDULA DEL REPRESENTANTE LEGAL]</w:t>
            </w:r>
          </w:p>
        </w:tc>
      </w:tr>
    </w:tbl>
    <w:p>
      <w:pPr>
        <w:pStyle w:val="Heading1"/>
      </w:pPr>
      <w:r>
        <w:t xml:space="preserve">II. OBJETO DEL DOCUMENTO</w:t>
      </w:r>
    </w:p>
    <w:p>
      <w:pPr>
        <w:spacing w:after="200"/>
      </w:pPr>
      <w:r>
        <w:rPr>
          <w:sz w:val="22"/>
          <w:szCs w:val="22"/>
        </w:rPr>
        <w:t xml:space="preserve">El presente documento tiene como finalidad divulgar información relevante sobre la empresa Prensados y Galvanizados de Lara, S.A. (en adelante “PyGLara” o “la Empresa”) a potenciales inversionistas, socios estratégicos o terceros interesados, en cumplimiento con los principios de transparencia y buena fe que rigen las relaciones comerciales en la República Bolivariana de Venezuela.</w:t>
      </w:r>
    </w:p>
    <w:p>
      <w:pPr>
        <w:spacing w:after="200"/>
      </w:pPr>
      <w:r>
        <w:rPr>
          <w:sz w:val="22"/>
          <w:szCs w:val="22"/>
        </w:rPr>
        <w:t xml:space="preserve">Este documento no constituye una oferta pública de valores, ni una invitación a suscribir acciones o participaciones. La información aquí contenida es de carácter informativo y deberá ser complementada con la debida diligencia (due diligence) que cada inversionista potencial considere necesaria.</w:t>
      </w:r>
    </w:p>
    <w:p>
      <w:pPr>
        <w:pStyle w:val="Heading1"/>
      </w:pPr>
      <w:r>
        <w:t xml:space="preserve">III. DESCRIPCIÓN DE ACTIVOS PRINCIPALES</w:t>
      </w:r>
    </w:p>
    <w:p>
      <w:pPr>
        <w:pStyle w:val="Heading2"/>
      </w:pPr>
      <w:r>
        <w:t xml:space="preserve">3.1 Activos Inmobiliarios</w:t>
      </w:r>
    </w:p>
    <w:p>
      <w:pPr>
        <w:spacing w:after="200"/>
      </w:pPr>
      <w:r>
        <w:rPr>
          <w:sz w:val="22"/>
          <w:szCs w:val="22"/>
        </w:rPr>
        <w:t xml:space="preserve">La Empresa opera desde un galpón industrial ubicado en la Calle 26, entre Avenida 1ra y 2da, Galpón No. 25-90, Barquisimeto, Estado Lara. [INSERTAR: Indicar si el inmueble es propiedad de la empresa, arrendado, o bajo otra figura jurídica, incluyendo datos de registro y gravamenes si los hubiere.]</w:t>
      </w:r>
    </w:p>
    <w:p>
      <w:pPr>
        <w:pStyle w:val="Heading2"/>
      </w:pPr>
      <w:r>
        <w:t xml:space="preserve">3.2 Maquinaria y Equipos</w:t>
      </w:r>
    </w:p>
    <w:p>
      <w:pPr>
        <w:spacing w:after="200"/>
      </w:pPr>
      <w:r>
        <w:rPr>
          <w:sz w:val="22"/>
          <w:szCs w:val="22"/>
        </w:rPr>
        <w:t xml:space="preserve">La Empresa cuenta con los siguientes activos productivos principales:</w:t>
      </w:r>
    </w:p>
    <w:p>
      <w:pPr>
        <w:pStyle w:val="ListParagraph"/>
        <w:numPr>
          <w:ilvl w:val="0"/>
          <w:numId w:val="2"/>
        </w:numPr>
        <w:spacing w:after="80"/>
      </w:pPr>
      <w:r>
        <w:rPr>
          <w:sz w:val="22"/>
          <w:szCs w:val="22"/>
        </w:rPr>
        <w:t xml:space="preserve">Horno y sistema de galvanizado por inmersión en caliente con calderos W. Pilling Riepe GmbH &amp; Co. KG (Alemania) de múltiples dimensiones (7.00m, 3.00m y 0.65m)</w:t>
      </w:r>
    </w:p>
    <w:p>
      <w:pPr>
        <w:pStyle w:val="ListParagraph"/>
        <w:numPr>
          <w:ilvl w:val="0"/>
          <w:numId w:val="2"/>
        </w:numPr>
        <w:spacing w:after="80"/>
      </w:pPr>
      <w:r>
        <w:rPr>
          <w:sz w:val="22"/>
          <w:szCs w:val="22"/>
        </w:rPr>
        <w:t xml:space="preserve">Sistema de combustión con quemadores Hauck RSV120 (4 unidades) y sistema de control Honeywell/Allen Bradley con PLC MicroLogix</w:t>
      </w:r>
    </w:p>
    <w:p>
      <w:pPr>
        <w:pStyle w:val="ListParagraph"/>
        <w:numPr>
          <w:ilvl w:val="0"/>
          <w:numId w:val="2"/>
        </w:numPr>
        <w:spacing w:after="80"/>
      </w:pPr>
      <w:r>
        <w:rPr>
          <w:sz w:val="22"/>
          <w:szCs w:val="22"/>
        </w:rPr>
        <w:t xml:space="preserve">Línea de galvanizado de 9 metros en proceso de instalación (valorizada en USD $570,000.00 aproximadamente)</w:t>
      </w:r>
    </w:p>
    <w:p>
      <w:pPr>
        <w:pStyle w:val="ListParagraph"/>
        <w:numPr>
          <w:ilvl w:val="0"/>
          <w:numId w:val="2"/>
        </w:numPr>
        <w:spacing w:after="80"/>
      </w:pPr>
      <w:r>
        <w:rPr>
          <w:sz w:val="22"/>
          <w:szCs w:val="22"/>
        </w:rPr>
        <w:t xml:space="preserve">Planta de recubrimiento electrolítico de cobre con baños de sulfato de cobre, transformadores y rectificadores</w:t>
      </w:r>
    </w:p>
    <w:p>
      <w:pPr>
        <w:pStyle w:val="ListParagraph"/>
        <w:numPr>
          <w:ilvl w:val="0"/>
          <w:numId w:val="2"/>
        </w:numPr>
        <w:spacing w:after="200"/>
      </w:pPr>
      <w:r>
        <w:rPr>
          <w:sz w:val="22"/>
          <w:szCs w:val="22"/>
        </w:rPr>
        <w:t xml:space="preserve">Tanques de preparación química (decapado, flux, enjuague)</w:t>
      </w:r>
    </w:p>
    <w:p>
      <w:pPr>
        <w:pStyle w:val="Heading1"/>
      </w:pPr>
      <w:r>
        <w:t xml:space="preserve">IV. DECLARACIONES Y DIVULGACIONES</w:t>
      </w:r>
    </w:p>
    <w:p>
      <w:pPr>
        <w:pStyle w:val="Heading2"/>
      </w:pPr>
      <w:r>
        <w:t xml:space="preserve">4.1 Situación Legal</w:t>
      </w:r>
    </w:p>
    <w:p>
      <w:pPr>
        <w:spacing w:after="200"/>
      </w:pPr>
      <w:r>
        <w:rPr>
          <w:color w:val="CC0000"/>
          <w:sz w:val="22"/>
          <w:szCs w:val="22"/>
        </w:rPr>
        <w:t xml:space="preserve">[COMPLETAR: La Empresa declara que se encuentra / no se encuentra involucrada en litigios, procedimientos judiciales, arbitrajes o investigaciones administrativas pendientes que pudieran afectar su patrimonio, operaciones o reputación. Detallar cualquier procedimiento relevante.]</w:t>
      </w:r>
    </w:p>
    <w:p>
      <w:pPr>
        <w:pStyle w:val="Heading2"/>
      </w:pPr>
      <w:r>
        <w:t xml:space="preserve">4.2 Situación Fiscal y Tributaria</w:t>
      </w:r>
    </w:p>
    <w:p>
      <w:pPr>
        <w:spacing w:after="200"/>
      </w:pPr>
      <w:r>
        <w:rPr>
          <w:color w:val="CC0000"/>
          <w:sz w:val="22"/>
          <w:szCs w:val="22"/>
        </w:rPr>
        <w:t xml:space="preserve">[COMPLETAR: La Empresa declara que se encuentra al día / tiene pendientes en sus obligaciones tributarias ante el SENIAT, IVSS, INCES, BANAVIH y demás organismos competentes. Indicar cualquier contingencia fiscal existente.]</w:t>
      </w:r>
    </w:p>
    <w:p>
      <w:pPr>
        <w:pStyle w:val="Heading2"/>
      </w:pPr>
      <w:r>
        <w:t xml:space="preserve">4.3 Situación Laboral</w:t>
      </w:r>
    </w:p>
    <w:p>
      <w:pPr>
        <w:spacing w:after="200"/>
      </w:pPr>
      <w:r>
        <w:rPr>
          <w:color w:val="CC0000"/>
          <w:sz w:val="22"/>
          <w:szCs w:val="22"/>
        </w:rPr>
        <w:t xml:space="preserve">[COMPLETAR: Indicar número de trabajadores, cumplimiento de la LOTTT, convenios colectivos vigentes, demandas laborales pendientes, pasivos laborales acumulados.]</w:t>
      </w:r>
    </w:p>
    <w:p>
      <w:pPr>
        <w:pStyle w:val="Heading2"/>
      </w:pPr>
      <w:r>
        <w:t xml:space="preserve">4.4 Permisos y Licencias</w:t>
      </w:r>
    </w:p>
    <w:p>
      <w:pPr>
        <w:spacing w:after="200"/>
      </w:pPr>
      <w:r>
        <w:rPr>
          <w:color w:val="CC0000"/>
          <w:sz w:val="22"/>
          <w:szCs w:val="22"/>
        </w:rPr>
        <w:t xml:space="preserve">[COMPLETAR: Detallar permisos ambientales, licencia de actividad económica municipal, permisos del Ministerio del Poder Popular para Ecosocialismo, autorizaciones de manejo de sustancias químicas controladas (ácido clorhídrico, ácido sulfúrico), conformidad de uso, permiso sanitario y habilitación industrial.]</w:t>
      </w:r>
    </w:p>
    <w:p>
      <w:pPr>
        <w:pStyle w:val="Heading2"/>
      </w:pPr>
      <w:r>
        <w:t xml:space="preserve">4.5 Gravámenes y Cargas</w:t>
      </w:r>
    </w:p>
    <w:p>
      <w:pPr>
        <w:spacing w:after="200"/>
      </w:pPr>
      <w:r>
        <w:rPr>
          <w:color w:val="CC0000"/>
          <w:sz w:val="22"/>
          <w:szCs w:val="22"/>
        </w:rPr>
        <w:t xml:space="preserve">[COMPLETAR: Indicar si existen hipotecas, prendas, embargos, medidas preventivas o de cualquier naturaleza que afecten los bienes de la empresa, incluyendo maquinaria y el inmueble.]</w:t>
      </w:r>
    </w:p>
    <w:p>
      <w:pPr>
        <w:pStyle w:val="Heading2"/>
      </w:pPr>
      <w:r>
        <w:t xml:space="preserve">4.6 Obligaciones Financieras</w:t>
      </w:r>
    </w:p>
    <w:p>
      <w:pPr>
        <w:spacing w:after="200"/>
      </w:pPr>
      <w:r>
        <w:rPr>
          <w:color w:val="CC0000"/>
          <w:sz w:val="22"/>
          <w:szCs w:val="22"/>
        </w:rPr>
        <w:t xml:space="preserve">[COMPLETAR: Detallar créditos bancarios vigentes, préstamos de terceros, obligaciones con proveedores relevantes, y cualquier deuda o compromiso financiero pendiente.]</w:t>
      </w:r>
    </w:p>
    <w:p>
      <w:pPr>
        <w:pStyle w:val="Heading2"/>
      </w:pPr>
      <w:r>
        <w:t xml:space="preserve">4.7 Cumplimiento Ambiental</w:t>
      </w:r>
    </w:p>
    <w:p>
      <w:pPr>
        <w:spacing w:after="200"/>
      </w:pPr>
      <w:r>
        <w:rPr>
          <w:color w:val="CC0000"/>
          <w:sz w:val="22"/>
          <w:szCs w:val="22"/>
        </w:rPr>
        <w:t xml:space="preserve">[COMPLETAR: Dada la naturaleza de la actividad (manejo de zinc fundido, ácidos, sales químicas y aguas residuales industriales), detallar el plan de manejo ambiental, tratamiento de efluentes, disposición de residuos peligrosos y cumplimiento de la normativa ambiental vigente.]</w:t>
      </w:r>
    </w:p>
    <w:p>
      <w:r>
        <w:br w:type="page"/>
      </w:r>
    </w:p>
    <w:p>
      <w:pPr>
        <w:pStyle w:val="Heading1"/>
      </w:pPr>
      <w:r>
        <w:t xml:space="preserve">V. FACTORES DE RIESGO</w:t>
      </w:r>
    </w:p>
    <w:p>
      <w:pPr>
        <w:spacing w:after="200"/>
      </w:pPr>
      <w:r>
        <w:rPr>
          <w:sz w:val="22"/>
          <w:szCs w:val="22"/>
        </w:rPr>
        <w:t xml:space="preserve">Los potenciales inversionistas deben considerar, entre otros, los siguientes factores de riesgo:</w:t>
      </w:r>
    </w:p>
    <w:p>
      <w:pPr>
        <w:pStyle w:val="ListParagraph"/>
        <w:numPr>
          <w:ilvl w:val="0"/>
          <w:numId w:val="3"/>
        </w:numPr>
        <w:spacing w:after="100"/>
      </w:pPr>
      <w:r>
        <w:rPr>
          <w:b/>
          <w:bCs/>
          <w:sz w:val="22"/>
          <w:szCs w:val="22"/>
        </w:rPr>
        <w:t xml:space="preserve">Riesgo País: </w:t>
      </w:r>
      <w:r>
        <w:rPr>
          <w:sz w:val="22"/>
          <w:szCs w:val="22"/>
        </w:rPr>
        <w:t xml:space="preserve">Venezuela presenta un entorno macroeconómico volátil, con riesgos relacionados a inflación, tipo de cambio, controles de precios, regulaciones cambiarias y sanciones internacionales.</w:t>
      </w:r>
    </w:p>
    <w:p>
      <w:pPr>
        <w:pStyle w:val="ListParagraph"/>
        <w:numPr>
          <w:ilvl w:val="0"/>
          <w:numId w:val="3"/>
        </w:numPr>
        <w:spacing w:after="100"/>
      </w:pPr>
      <w:r>
        <w:rPr>
          <w:b/>
          <w:bCs/>
          <w:sz w:val="22"/>
          <w:szCs w:val="22"/>
        </w:rPr>
        <w:t xml:space="preserve">Riesgo Regulatorio: </w:t>
      </w:r>
      <w:r>
        <w:rPr>
          <w:sz w:val="22"/>
          <w:szCs w:val="22"/>
        </w:rPr>
        <w:t xml:space="preserve">Cambios en la legislación ambiental, laboral, tributaria o comercial podrían afectar las operaciones y rentabilidad de la empresa.</w:t>
      </w:r>
    </w:p>
    <w:p>
      <w:pPr>
        <w:pStyle w:val="ListParagraph"/>
        <w:numPr>
          <w:ilvl w:val="0"/>
          <w:numId w:val="3"/>
        </w:numPr>
        <w:spacing w:after="100"/>
      </w:pPr>
      <w:r>
        <w:rPr>
          <w:b/>
          <w:bCs/>
          <w:sz w:val="22"/>
          <w:szCs w:val="22"/>
        </w:rPr>
        <w:t xml:space="preserve">Riesgo de Mercado: </w:t>
      </w:r>
      <w:r>
        <w:rPr>
          <w:sz w:val="22"/>
          <w:szCs w:val="22"/>
        </w:rPr>
        <w:t xml:space="preserve">La demanda de servicios de galvanizado está directamente vinculada al sector de la construcción e infraestructura, los cuales pueden verse afectados por ciclos económicos.</w:t>
      </w:r>
    </w:p>
    <w:p>
      <w:pPr>
        <w:pStyle w:val="ListParagraph"/>
        <w:numPr>
          <w:ilvl w:val="0"/>
          <w:numId w:val="3"/>
        </w:numPr>
        <w:spacing w:after="100"/>
      </w:pPr>
      <w:r>
        <w:rPr>
          <w:b/>
          <w:bCs/>
          <w:sz w:val="22"/>
          <w:szCs w:val="22"/>
        </w:rPr>
        <w:t xml:space="preserve">Riesgo de Suministro: </w:t>
      </w:r>
      <w:r>
        <w:rPr>
          <w:sz w:val="22"/>
          <w:szCs w:val="22"/>
        </w:rPr>
        <w:t xml:space="preserve">La dependencia de materias primas importadas (zinc de alta pureza, productos químicos) expone a la empresa a interrupciones en la cadena de suministro y fluctuaciones de precios internacionales.</w:t>
      </w:r>
    </w:p>
    <w:p>
      <w:pPr>
        <w:pStyle w:val="ListParagraph"/>
        <w:numPr>
          <w:ilvl w:val="0"/>
          <w:numId w:val="3"/>
        </w:numPr>
        <w:spacing w:after="100"/>
      </w:pPr>
      <w:r>
        <w:rPr>
          <w:b/>
          <w:bCs/>
          <w:sz w:val="22"/>
          <w:szCs w:val="22"/>
        </w:rPr>
        <w:t xml:space="preserve">Riesgo Operativo: </w:t>
      </w:r>
      <w:r>
        <w:rPr>
          <w:sz w:val="22"/>
          <w:szCs w:val="22"/>
        </w:rPr>
        <w:t xml:space="preserve">El manejo de sustancias peligrosas (zinc fundido a 450°C, ácidos) conlleva riesgos inherentes de seguridad industrial y responsabilidad ambiental.</w:t>
      </w:r>
    </w:p>
    <w:p>
      <w:pPr>
        <w:pStyle w:val="ListParagraph"/>
        <w:numPr>
          <w:ilvl w:val="0"/>
          <w:numId w:val="3"/>
        </w:numPr>
        <w:spacing w:after="200"/>
      </w:pPr>
      <w:r>
        <w:rPr>
          <w:b/>
          <w:bCs/>
          <w:sz w:val="22"/>
          <w:szCs w:val="22"/>
        </w:rPr>
        <w:t xml:space="preserve">Riesgo de Servicios Públicos: </w:t>
      </w:r>
      <w:r>
        <w:rPr>
          <w:sz w:val="22"/>
          <w:szCs w:val="22"/>
        </w:rPr>
        <w:t xml:space="preserve">Interrupciones en el suministro de gas, electricidad y agua pueden afectar la continuidad operativa.</w:t>
      </w:r>
    </w:p>
    <w:p>
      <w:pPr>
        <w:pStyle w:val="Heading1"/>
      </w:pPr>
      <w:r>
        <w:t xml:space="preserve">VI. LIMITACIONES DE RESPONSABILIDAD</w:t>
      </w:r>
    </w:p>
    <w:p>
      <w:pPr>
        <w:spacing w:after="200"/>
      </w:pPr>
      <w:r>
        <w:rPr>
          <w:sz w:val="22"/>
          <w:szCs w:val="22"/>
        </w:rPr>
        <w:t xml:space="preserve">La información contenida en este documento ha sido proporcionada por la Empresa y no ha sido verificada de forma independiente. Ni la Empresa, ni sus representantes, directores o asesores asumen responsabilidad alguna por la exactitud, integridad o actualidad de la información presentada.</w:t>
      </w:r>
    </w:p>
    <w:p>
      <w:pPr>
        <w:spacing w:after="200"/>
      </w:pPr>
      <w:r>
        <w:rPr>
          <w:sz w:val="22"/>
          <w:szCs w:val="22"/>
        </w:rPr>
        <w:t xml:space="preserve">Cada inversionista potencial es responsable de realizar su propia evaluación independiente (due diligence), incluyendo pero no limitado a: auditoría financiera, revisión legal, evaluación ambiental, y cualquier otra verificación que considere necesaria para la toma de decisiones de inversión.</w:t>
      </w:r>
    </w:p>
    <w:p>
      <w:pPr>
        <w:spacing w:after="200"/>
      </w:pPr>
      <w:r>
        <w:rPr>
          <w:sz w:val="22"/>
          <w:szCs w:val="22"/>
        </w:rPr>
        <w:t xml:space="preserve">Las proyecciones, estimaciones y declaraciones prospectivas contenidas en cualquier documentación complementaria están sujetas a incertidumbres y riesgos que podrían causar que los resultados reales difieran materialmente de los esperados.</w:t>
      </w:r>
    </w:p>
    <w:p>
      <w:pPr>
        <w:pStyle w:val="Heading1"/>
      </w:pPr>
      <w:r>
        <w:t xml:space="preserve">VII. CONFIDENCIALIDAD</w:t>
      </w:r>
    </w:p>
    <w:p>
      <w:pPr>
        <w:spacing w:after="200"/>
      </w:pPr>
      <w:r>
        <w:rPr>
          <w:sz w:val="22"/>
          <w:szCs w:val="22"/>
        </w:rPr>
        <w:t xml:space="preserve">El receptor de este documento se compromete a mantener la confidencialidad de toda la información contenida en el mismo, a no divulgarla a terceros sin autorización previa por escrito de la Empresa, y a utilizarla exclusivamente para los fines de evaluación de una potencial inversión o relación comercial.</w:t>
      </w:r>
    </w:p>
    <w:p>
      <w:pPr>
        <w:pStyle w:val="Heading1"/>
      </w:pPr>
      <w:r>
        <w:t xml:space="preserve">VIII. LEY APLICABLE Y JURISDICCIÓN</w:t>
      </w:r>
    </w:p>
    <w:p>
      <w:pPr>
        <w:spacing w:after="200"/>
      </w:pPr>
      <w:r>
        <w:rPr>
          <w:sz w:val="22"/>
          <w:szCs w:val="22"/>
        </w:rPr>
        <w:t xml:space="preserve">Este documento se rige por las leyes de la República Bolivariana de Venezuela. Cualquier controversia que surja en relación con el mismo será sometida a los tribunales competentes de la circunscripción judicial del Estado Lara, salvo acuerdo expreso de las partes de someter la controversia a arbitraje.</w:t>
      </w:r>
    </w:p>
    <w:p>
      <w:pPr>
        <w:pStyle w:val="Heading1"/>
      </w:pPr>
      <w:r>
        <w:t xml:space="preserve">IX. FIRMAS</w:t>
      </w:r>
    </w:p>
    <w:p>
      <w:pPr>
        <w:spacing w:before="400"/>
      </w:pPr>
    </w:p>
    <w:p>
      <w:pPr>
        <w:spacing w:after="0"/>
      </w:pPr>
      <w:r>
        <w:rPr>
          <w:sz w:val="22"/>
          <w:szCs w:val="22"/>
        </w:rPr>
        <w:t xml:space="preserve">________________________________________</w:t>
      </w:r>
    </w:p>
    <w:p>
      <w:pPr>
        <w:spacing w:after="80"/>
      </w:pPr>
      <w:r>
        <w:rPr>
          <w:b/>
          <w:bCs/>
          <w:sz w:val="22"/>
          <w:szCs w:val="22"/>
        </w:rPr>
        <w:t xml:space="preserve">Por la Empresa:</w:t>
      </w:r>
    </w:p>
    <w:p>
      <w:pPr>
        <w:spacing w:after="0"/>
      </w:pPr>
      <w:r>
        <w:rPr>
          <w:sz w:val="22"/>
          <w:szCs w:val="22"/>
        </w:rPr>
        <w:t xml:space="preserve">Nombre: [INSERTAR NOMBRE]</w:t>
      </w:r>
    </w:p>
    <w:p>
      <w:pPr>
        <w:spacing w:after="0"/>
      </w:pPr>
      <w:r>
        <w:rPr>
          <w:sz w:val="22"/>
          <w:szCs w:val="22"/>
        </w:rPr>
        <w:t xml:space="preserve">Cédula: [INSERTAR CÉDULA]</w:t>
      </w:r>
    </w:p>
    <w:p>
      <w:pPr>
        <w:spacing w:after="0"/>
      </w:pPr>
      <w:r>
        <w:rPr>
          <w:sz w:val="22"/>
          <w:szCs w:val="22"/>
        </w:rPr>
        <w:t xml:space="preserve">Cargo: [INSERTAR CARGO]</w:t>
      </w:r>
    </w:p>
    <w:p>
      <w:pPr>
        <w:spacing w:after="0"/>
      </w:pPr>
      <w:r>
        <w:rPr>
          <w:sz w:val="22"/>
          <w:szCs w:val="22"/>
        </w:rPr>
        <w:t xml:space="preserve">Fecha: ____________________</w:t>
      </w:r>
    </w:p>
    <w:p>
      <w:pPr>
        <w:spacing w:before="600"/>
      </w:pPr>
    </w:p>
    <w:p>
      <w:pPr>
        <w:spacing w:after="0"/>
      </w:pPr>
      <w:r>
        <w:rPr>
          <w:sz w:val="22"/>
          <w:szCs w:val="22"/>
        </w:rPr>
        <w:t xml:space="preserve">________________________________________</w:t>
      </w:r>
    </w:p>
    <w:p>
      <w:pPr>
        <w:spacing w:after="80"/>
      </w:pPr>
      <w:r>
        <w:rPr>
          <w:b/>
          <w:bCs/>
          <w:sz w:val="22"/>
          <w:szCs w:val="22"/>
        </w:rPr>
        <w:t xml:space="preserve">Receptor / Inversionista Potencial:</w:t>
      </w:r>
    </w:p>
    <w:p>
      <w:pPr>
        <w:spacing w:after="0"/>
      </w:pPr>
      <w:r>
        <w:rPr>
          <w:sz w:val="22"/>
          <w:szCs w:val="22"/>
        </w:rPr>
        <w:t xml:space="preserve">Nombre: ____________________</w:t>
      </w:r>
    </w:p>
    <w:p>
      <w:pPr>
        <w:spacing w:after="0"/>
      </w:pPr>
      <w:r>
        <w:rPr>
          <w:sz w:val="22"/>
          <w:szCs w:val="22"/>
        </w:rPr>
        <w:t xml:space="preserve">Cédula / Pasaporte: ____________________</w:t>
      </w:r>
    </w:p>
    <w:p>
      <w:pPr>
        <w:spacing w:after="0"/>
      </w:pPr>
      <w:r>
        <w:rPr>
          <w:sz w:val="22"/>
          <w:szCs w:val="22"/>
        </w:rPr>
        <w:t xml:space="preserve">Fecha: 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space="1"/>
      </w:pBdr>
      <w:tabs>
        <w:tab w:val="right" w:pos="9026"/>
      </w:tabs>
    </w:pPr>
    <w:r>
      <w:rPr>
        <w:rFonts w:ascii="Arial" w:cs="Arial" w:eastAsia="Arial" w:hAnsi="Arial"/>
        <w:b/>
        <w:bCs/>
        <w:color w:val="333333"/>
        <w:sz w:val="16"/>
        <w:szCs w:val="16"/>
      </w:rPr>
      <w:t xml:space="preserve">DOCUMENTO DE DIVULGACIÓN LEGAL</w:t>
    </w:r>
    <w:r>
      <w:rPr>
        <w:rFonts w:ascii="Arial" w:cs="Arial" w:eastAsia="Arial" w:hAnsi="Arial"/>
        <w:i/>
        <w:iCs/>
        <w:color w:val="888888"/>
        <w:sz w:val="16"/>
        <w:szCs w:val="16"/>
      </w:rPr>
      <w:t xml:space="preserve">	PyGLara S.A.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D2D"/>
      <w:sz w:val="30"/>
      <w:szCs w:val="30"/>
    </w:rPr>
  </w:style>
  <w:style w:type="paragraph" w:styleId="Heading2">
    <w:name w:val="Heading 2"/>
    <w:basedOn w:val="Normal"/>
    <w:next w:val="Normal"/>
    <w:qFormat/>
    <w:pPr>
      <w:spacing w:before="240" w:after="16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2026-02-17T15:28:08.998Z</dcterms:created>
  <dcterms:modified xsi:type="dcterms:W3CDTF">2026-02-17T15:28:08.999Z</dcterms:modified>
</cp:coreProperties>
</file>

<file path=docProps/custom.xml><?xml version="1.0" encoding="utf-8"?>
<Properties xmlns="http://schemas.openxmlformats.org/officeDocument/2006/custom-properties" xmlns:vt="http://schemas.openxmlformats.org/officeDocument/2006/docPropsVTypes"/>
</file>