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e60d05f725eebb189412e7d2b1039dbe1c8a014"/>
    <w:p>
      <w:pPr>
        <w:pStyle w:val="Heading1"/>
        <w:spacing w:before="1134" w:after="283"/>
        <w:keepNext w:val="1"/>
        <w:jc w:val="center"/>
      </w:pPr>
      <w:r>
        <w:rPr>
          <w:b/>
          <w:color w:val="1A2E4A"/>
          <w:sz w:val="44"/>
        </w:rPr>
        <w:t xml:space="preserve">INVENTARIO DE COLATERAL Y VALORACIÓN DE ACTIVOS</w:t>
      </w:r>
    </w:p>
    <w:bookmarkStart w:id="9" w:name="X5e78b863c8584e38b3a471d691a604d166d76e5"/>
    <w:p>
      <w:pPr>
        <w:pStyle w:val="Heading2"/>
        <w:spacing w:before="240" w:after="80"/>
        <w:keepNext w:val="1"/>
        <w:pBdr>
          <w:left w:val="single" w:sz="18" w:space="8" w:color="C8A032"/>
        </w:pBdr>
      </w:pPr>
      <w:r>
        <w:t xml:space="preserve">Prensados y Galvanizados de Lara, S.A. (PYGLARA)</w:t>
      </w:r>
    </w:p>
    <w:p>
      <w:pPr>
        <w:spacing w:after="120"/>
      </w:pPr>
      <w:r>
        <w:pict>
          <v:rect style="width:0;height:1.5pt" o:hralign="center" o:hrstd="t" o:hr="t"/>
        </w:pict>
      </w:r>
    </w:p>
    <w:bookmarkEnd w:id="9"/>
    <w:bookmarkStart w:id="10" w:name="portada"/>
    <w:p>
      <w:pPr>
        <w:pStyle w:val="Heading2"/>
        <w:spacing w:before="240" w:after="80"/>
        <w:keepNext w:val="1"/>
        <w:pBdr>
          <w:left w:val="single" w:sz="18" w:space="8" w:color="C8A032"/>
        </w:pBdr>
      </w:pPr>
      <w:r>
        <w:t xml:space="preserve">PORTADA</w:t>
      </w:r>
    </w:p>
    <w:p>
      <w:pPr>
        <w:pStyle w:val="FirstParagraph"/>
        <w:spacing w:after="120"/>
      </w:pPr>
      <w:r>
        <w:rPr>
          <w:b/>
          <w:bCs/>
        </w:rPr>
        <w:t xml:space="preserve">Empresa:</w:t>
      </w:r>
      <w:r>
        <w:t xml:space="preserve"> </w:t>
      </w:r>
      <w:r>
        <w:t xml:space="preserve">Prensados y Galvanizados de Lara, S.A. (PYGLARA)</w:t>
      </w:r>
      <w:r>
        <w:t xml:space="preserve"> </w:t>
      </w:r>
      <w:r>
        <w:rPr>
          <w:b/>
          <w:bCs/>
        </w:rPr>
        <w:t xml:space="preserve">Dirección:</w:t>
      </w:r>
      <w:r>
        <w:t xml:space="preserve"> </w:t>
      </w:r>
      <w:r>
        <w:t xml:space="preserve">Calle 26, entre Av. 1ra y 2da, Galpón No. 25-90, Zona Industrial I, Barquisimeto, Estado Lara, 3001, Venezuela</w:t>
      </w:r>
      <w:r>
        <w:t xml:space="preserve"> </w:t>
      </w:r>
      <w:r>
        <w:rPr>
          <w:b/>
          <w:bCs/>
        </w:rPr>
        <w:t xml:space="preserve">RIF:</w:t>
      </w:r>
      <w:r>
        <w:t xml:space="preserve"> </w:t>
      </w:r>
      <w:r>
        <w:t xml:space="preserve">J-07014488-0</w:t>
      </w:r>
      <w:r>
        <w:t xml:space="preserve"> </w:t>
      </w:r>
      <w:r>
        <w:rPr>
          <w:b/>
          <w:bCs/>
        </w:rPr>
        <w:t xml:space="preserve">Teléfono:</w:t>
      </w:r>
      <w:r>
        <w:t xml:space="preserve"> </w:t>
      </w:r>
      <w:r>
        <w:t xml:space="preserve">+58 424 571 5349 |</w:t>
      </w:r>
      <w:r>
        <w:t xml:space="preserve"> </w:t>
      </w:r>
      <w:r>
        <w:rPr>
          <w:b/>
          <w:bCs/>
        </w:rPr>
        <w:t xml:space="preserve">Instagram:</w:t>
      </w:r>
      <w:r>
        <w:t xml:space="preserve"> </w:t>
      </w:r>
      <w:r>
        <w:t xml:space="preserve">@pyglarasa</w:t>
      </w:r>
      <w:r>
        <w:t xml:space="preserve"> </w:t>
      </w:r>
      <w:r>
        <w:rPr>
          <w:b/>
          <w:bCs/>
        </w:rPr>
        <w:t xml:space="preserve">Representantes:</w:t>
      </w:r>
      <w:r>
        <w:t xml:space="preserve"> </w:t>
      </w:r>
      <w:r>
        <w:t xml:space="preserve">Francisco Ballesteros Zamorano (84%) y Nelly Alvarado de Ballesteros (16%)</w:t>
      </w:r>
      <w:r>
        <w:t xml:space="preserve"> </w:t>
      </w:r>
      <w:r>
        <w:rPr>
          <w:b/>
          <w:bCs/>
        </w:rPr>
        <w:t xml:space="preserve">Fecha de preparación:</w:t>
      </w:r>
      <w:r>
        <w:t xml:space="preserve"> </w:t>
      </w:r>
      <w:r>
        <w:t xml:space="preserve">Abril 2026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  <w:spacing w:after="120"/>
      </w:pPr>
      <w:r>
        <w:rPr>
          <w:b/>
          <w:bCs/>
        </w:rPr>
        <w:t xml:space="preserve">Objeto del documento:</w:t>
      </w:r>
      <w:r>
        <w:t xml:space="preserve"> </w:t>
      </w:r>
      <w:r>
        <w:t xml:space="preserve">Inventario formal de activos fijos y valoración de colateral para solicitud de crédito ante instituciones financieras venezolanas (BNC, Banesco, Mercantil). Preparado conforme a los estándares de presentación bancaria venezolana.</w:t>
      </w:r>
    </w:p>
    <w:p>
      <w:pPr>
        <w:pStyle w:val="BodyText"/>
        <w:spacing w:after="120"/>
      </w:pPr>
      <w:r>
        <w:rPr>
          <w:b/>
          <w:bCs/>
        </w:rPr>
        <w:t xml:space="preserve">Propósito del crédito solicitado:</w:t>
      </w:r>
      <w:r>
        <w:t xml:space="preserve"> </w:t>
      </w:r>
      <w:r>
        <w:t xml:space="preserve">Financiamiento para adquisición de zinc SHG 99,99% — primera carga del horno de galvanizado de 7 metros (estimado: ~USD $211.000 para 50 TM).</w:t>
      </w:r>
    </w:p>
    <w:p>
      <w:pPr>
        <w:spacing w:after="120"/>
      </w:pPr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/>
          <w:iCs/>
        </w:rPr>
        <w:t xml:space="preserve">Los valores indicados son estimaciones basadas en comparables de mercado y costo de reposición. Los títulos de propiedad están disponibles para revisión notarial por parte de la institución financiera.</w:t>
      </w:r>
    </w:p>
    <w:p>
      <w:pPr>
        <w:spacing w:after="120"/>
      </w:pPr>
      <w:r>
        <w:pict>
          <v:rect style="width:0;height:1.5pt" o:hralign="center" o:hrstd="t" o:hr="t"/>
        </w:pict>
      </w:r>
    </w:p>
    <w:bookmarkEnd w:id="10"/>
    <w:bookmarkStart w:id="14" w:name="sección-1-inmuebles"/>
    <w:p>
      <w:pPr>
        <w:pStyle w:val="Heading2"/>
        <w:spacing w:before="240" w:after="80"/>
        <w:keepNext w:val="1"/>
        <w:pBdr>
          <w:left w:val="single" w:sz="18" w:space="8" w:color="C8A032"/>
        </w:pBdr>
        <w:pageBreakBefore w:val="1"/>
      </w:pPr>
      <w:r>
        <w:t xml:space="preserve">SECCIÓN 1: INMUEBLES</w:t>
      </w:r>
    </w:p>
    <w:bookmarkStart w:id="11" w:name="descripción-y-ubicación"/>
    <w:p>
      <w:pPr>
        <w:pStyle w:val="Heading3"/>
        <w:spacing w:before="240" w:after="80"/>
        <w:keepNext w:val="1"/>
      </w:pPr>
      <w:r>
        <w:t xml:space="preserve">1.1 Descripción y Ubicación</w:t>
      </w:r>
    </w:p>
    <w:p>
      <w:pPr>
        <w:pStyle w:val="FirstParagraph"/>
        <w:spacing w:after="120"/>
        <w:keepNext w:val="1"/>
      </w:pPr>
      <w:r>
        <w:t xml:space="preserve">PYGLARA opera desde dos (2) galpones industriales de propiedad propia, libres de gravamen, ubicados en la Zona Industrial I de Barquisimeto, Estado Lara — una de las principales zonas industriales del país con acceso directo a las redes viales nacionales.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 w:val="1"/>
        </w:trPr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Inmueble</w:t>
            </w:r>
          </w:p>
        </w:tc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Área Aproximada</w:t>
            </w:r>
          </w:p>
        </w:tc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Galpón Principal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2.500 m²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Línea de galvanizado en caliente + línea de cobre electrolítico</w:t>
            </w:r>
          </w:p>
        </w:tc>
      </w:tr>
      <w:tr>
        <w:trPr>
          <w:cantSplit w:val="1"/>
        </w:trPr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Galpón Secundario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~1.140 m²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Almacenamiento, área de preparación y soporte operacional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1A1A1A"/>
                <w:sz w:val="18"/>
              </w:rPr>
              <w:t xml:space="preserve">TOTAL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1A1A1A"/>
                <w:sz w:val="18"/>
              </w:rPr>
              <w:t xml:space="preserve">~3.640 m²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</w:p>
        </w:tc>
      </w:tr>
    </w:tbl>
    <w:p>
      <w:pPr>
        <w:pStyle w:val="BodyText"/>
        <w:spacing w:after="120"/>
      </w:pPr>
      <w:r>
        <w:rPr>
          <w:b/>
          <w:bCs/>
        </w:rPr>
        <w:t xml:space="preserve">Accesos:</w:t>
      </w:r>
      <w:r>
        <w:t xml:space="preserve"> </w:t>
      </w:r>
      <w:r>
        <w:t xml:space="preserve">- Acceso de personal y vehículos livianos: Carrera 2</w:t>
      </w:r>
      <w:r>
        <w:t xml:space="preserve"> </w:t>
      </w:r>
      <w:r>
        <w:t xml:space="preserve">- Acceso de carga y transporte pesado: Carrera 1</w:t>
      </w:r>
    </w:p>
    <w:bookmarkEnd w:id="11"/>
    <w:bookmarkStart w:id="12" w:name="situación-legal"/>
    <w:p>
      <w:pPr>
        <w:pStyle w:val="Heading3"/>
        <w:spacing w:before="240" w:after="80"/>
        <w:keepNext w:val="1"/>
        <w:keepNext w:val="1"/>
      </w:pPr>
      <w:r>
        <w:t xml:space="preserve">1.2 Situación Legal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 w:val="1"/>
        </w:trPr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Aspecto</w:t>
            </w:r>
          </w:p>
        </w:tc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Estado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Título de propiedad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1A1A1A"/>
                <w:sz w:val="18"/>
              </w:rPr>
              <w:t xml:space="preserve">LIMPIO</w:t>
            </w:r>
            <w:r>
              <w:rPr>
                <w:rFonts w:ascii="Calibri" w:hAnsi="Calibri"/>
                <w:color w:val="1A1A1A"/>
                <w:sz w:val="18"/>
              </w:rPr>
              <w:t xml:space="preserve"> </w:t>
            </w:r>
            <w:r>
              <w:rPr>
                <w:rFonts w:ascii="Calibri" w:hAnsi="Calibri"/>
                <w:color w:val="1A1A1A"/>
                <w:sz w:val="18"/>
              </w:rPr>
              <w:t xml:space="preserve">— sin hipotecas ni gravámenes registrados</w:t>
            </w:r>
          </w:p>
        </w:tc>
      </w:tr>
      <w:tr>
        <w:trPr>
          <w:cantSplit w:val="1"/>
        </w:trPr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Disponibilidad de documentos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Registro Mercantil y títulos disponibles para revisión notarial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Pasivo conocido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Cuenta por pagar a PDVSA Gas (monto pendiente de confirmar — ver Sección 4)</w:t>
            </w:r>
          </w:p>
        </w:tc>
      </w:tr>
    </w:tbl>
    <w:p>
      <w:pPr>
        <w:pStyle w:val="BodyText"/>
        <w:spacing w:after="120"/>
      </w:pPr>
      <w:r>
        <w:t xml:space="preserve">Los documentos de propiedad están disponibles para verificación ante el Registro Subalterno correspondiente.</w:t>
      </w:r>
    </w:p>
    <w:bookmarkEnd w:id="12"/>
    <w:bookmarkStart w:id="13" w:name="valoración-de-inmuebles"/>
    <w:p>
      <w:pPr>
        <w:pStyle w:val="Heading3"/>
        <w:spacing w:before="240" w:after="80"/>
        <w:keepNext w:val="1"/>
      </w:pPr>
      <w:r>
        <w:t xml:space="preserve">1.3 Valoración de Inmuebles</w:t>
      </w:r>
    </w:p>
    <w:p>
      <w:pPr>
        <w:pStyle w:val="FirstParagraph"/>
        <w:spacing w:after="120"/>
        <w:keepNext w:val="1"/>
      </w:pPr>
      <w:r>
        <w:t xml:space="preserve">La valoración se realiza mediante comparables de mercado para galpones industriales en la Zona Industrial I de Barquisimeto, Estado Lara.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 w:val="1"/>
        </w:trPr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Escenario</w:t>
            </w:r>
          </w:p>
        </w:tc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Precio/m² (USD)</w:t>
            </w:r>
          </w:p>
        </w:tc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Valoración Total (USD)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Conservador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$190/m²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1A1A1A"/>
                <w:sz w:val="18"/>
              </w:rPr>
              <w:t xml:space="preserve">$691.600</w:t>
            </w:r>
          </w:p>
        </w:tc>
      </w:tr>
      <w:tr>
        <w:trPr>
          <w:cantSplit w:val="1"/>
        </w:trPr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Referencia media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$230/m²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1A1A1A"/>
                <w:sz w:val="18"/>
              </w:rPr>
              <w:t xml:space="preserve">$837.200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Referencia alta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$272/m²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1A1A1A"/>
                <w:sz w:val="18"/>
              </w:rPr>
              <w:t xml:space="preserve">$990.080</w:t>
            </w:r>
          </w:p>
        </w:tc>
      </w:tr>
    </w:tbl>
    <w:p>
      <w:pPr>
        <w:pStyle w:val="BlockText"/>
      </w:pPr>
      <w:r>
        <w:rPr>
          <w:i/>
          <w:iCs/>
        </w:rPr>
        <w:t xml:space="preserve">Fuente de comparables: mercado de galpones industriales Zona Industrial I, Barquisimeto (2025–2026). Valores en dólares estadounidenses (USD).</w:t>
      </w:r>
    </w:p>
    <w:p>
      <w:pPr>
        <w:pStyle w:val="FirstParagraph"/>
        <w:spacing w:after="120"/>
      </w:pPr>
      <w:r>
        <w:rPr>
          <w:b/>
          <w:bCs/>
        </w:rPr>
        <w:t xml:space="preserve">Valoración de inmuebles a efectos de colateral: $691.600 – $990.080 USD</w:t>
      </w:r>
    </w:p>
    <w:p>
      <w:pPr>
        <w:spacing w:after="120"/>
      </w:pPr>
      <w:r>
        <w:pict>
          <v:rect style="width:0;height:1.5pt" o:hralign="center" o:hrstd="t" o:hr="t"/>
        </w:pict>
      </w:r>
    </w:p>
    <w:bookmarkEnd w:id="13"/>
    <w:bookmarkEnd w:id="14"/>
    <w:bookmarkStart w:id="19" w:name="X2bd400b1219fcf7e832fa93db8d7d94657c65f1"/>
    <w:p>
      <w:pPr>
        <w:pStyle w:val="Heading2"/>
        <w:spacing w:before="240" w:after="80"/>
        <w:keepNext w:val="1"/>
        <w:pBdr>
          <w:left w:val="single" w:sz="18" w:space="8" w:color="C8A032"/>
        </w:pBdr>
        <w:pageBreakBefore w:val="1"/>
      </w:pPr>
      <w:r>
        <w:t xml:space="preserve">SECCIÓN 2: INVENTARIO DE EQUIPOS Y MAQUINARIA</w:t>
      </w:r>
    </w:p>
    <w:bookmarkStart w:id="15" w:name="equipos-de-galvanizado-en-caliente"/>
    <w:p>
      <w:pPr>
        <w:pStyle w:val="Heading3"/>
        <w:spacing w:before="240" w:after="80"/>
        <w:keepNext w:val="1"/>
        <w:keepNext w:val="1"/>
      </w:pPr>
      <w:r>
        <w:t xml:space="preserve">2.1 Equipos de Galvanizado en Caliente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 w:val="1"/>
        </w:trPr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Equipo</w:t>
            </w:r>
          </w:p>
        </w:tc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Fabricante / Origen</w:t>
            </w:r>
          </w:p>
        </w:tc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Dimensiones / Capacidad</w:t>
            </w:r>
          </w:p>
        </w:tc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Estado Operativo</w:t>
            </w:r>
          </w:p>
        </w:tc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Costo Estimado de Reposición (USD)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Cuba de galvanizado 7 metros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W. Pilling Riepe GmbH &amp; Co. KG (Alemania)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7m longitud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INSTALADA — quemadores en buen estado. Pendiente: carga de zinc (50 TM ~$211.000)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$320.000 – $420.000</w:t>
            </w:r>
          </w:p>
        </w:tc>
      </w:tr>
      <w:tr>
        <w:trPr>
          <w:cantSplit w:val="1"/>
        </w:trPr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Cuba de galvanizado 9 metros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W. Pilling Riepe GmbH &amp; Co. KG (Alemania)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9m longitud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PENDIENTE DE INSTALACIÓN — en planta, valorada en $570.000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1A1A1A"/>
                <w:sz w:val="18"/>
              </w:rPr>
              <w:t xml:space="preserve">$570.000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Cuba centrífuga 65 cm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—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65 cm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1A1A1A"/>
                <w:sz w:val="18"/>
              </w:rPr>
              <w:t xml:space="preserve">ACTIVA</w:t>
            </w:r>
            <w:r>
              <w:rPr>
                <w:rFonts w:ascii="Calibri" w:hAnsi="Calibri"/>
                <w:color w:val="1A1A1A"/>
                <w:sz w:val="18"/>
              </w:rPr>
              <w:t xml:space="preserve"> </w:t>
            </w:r>
            <w:r>
              <w:rPr>
                <w:rFonts w:ascii="Calibri" w:hAnsi="Calibri"/>
                <w:color w:val="1A1A1A"/>
                <w:sz w:val="18"/>
              </w:rPr>
              <w:t xml:space="preserve">— en operación, buen estado. Galvaniza clavos y piezas pequeñas.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$40.000 – $70.000</w:t>
            </w:r>
          </w:p>
        </w:tc>
      </w:tr>
      <w:tr>
        <w:trPr>
          <w:cantSplit w:val="1"/>
        </w:trPr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Cuba de 3,5 metros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—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L: 3,5m / A: 0,65m / H: 1,20m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INACTIVA — requiere reparación y acondicionamiento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$80.000 – $120.000</w:t>
            </w:r>
          </w:p>
        </w:tc>
      </w:tr>
    </w:tbl>
    <w:p>
      <w:pPr>
        <w:pStyle w:val="BodyText"/>
        <w:spacing w:after="120"/>
      </w:pPr>
      <w:r>
        <w:rPr>
          <w:b/>
          <w:bCs/>
        </w:rPr>
        <w:t xml:space="preserve">Nota técnica:</w:t>
      </w:r>
      <w:r>
        <w:t xml:space="preserve"> </w:t>
      </w:r>
      <w:r>
        <w:t xml:space="preserve">Las operaciones de galvanizado de PYGLARA cumplen con los estándares</w:t>
      </w:r>
      <w:r>
        <w:t xml:space="preserve"> </w:t>
      </w:r>
      <w:r>
        <w:rPr>
          <w:b/>
          <w:bCs/>
        </w:rPr>
        <w:t xml:space="preserve">COVENIN 1212-81</w:t>
      </w:r>
      <w:r>
        <w:t xml:space="preserve"> </w:t>
      </w:r>
      <w:r>
        <w:t xml:space="preserve">(norma venezolana para galvanizado),</w:t>
      </w:r>
      <w:r>
        <w:t xml:space="preserve"> </w:t>
      </w:r>
      <w:r>
        <w:rPr>
          <w:b/>
          <w:bCs/>
        </w:rPr>
        <w:t xml:space="preserve">ASTM A123</w:t>
      </w:r>
      <w:r>
        <w:t xml:space="preserve"> </w:t>
      </w:r>
      <w:r>
        <w:t xml:space="preserve">(recubrimientos de zinc sobre hierro y acero) y</w:t>
      </w:r>
      <w:r>
        <w:t xml:space="preserve"> </w:t>
      </w:r>
      <w:r>
        <w:rPr>
          <w:b/>
          <w:bCs/>
        </w:rPr>
        <w:t xml:space="preserve">ASTM A153</w:t>
      </w:r>
      <w:r>
        <w:t xml:space="preserve"> </w:t>
      </w:r>
      <w:r>
        <w:t xml:space="preserve">(recubrimientos de zinc sobre herrajes). La empresa cuenta con equipo de medición de espesores e Ing. Miriam (36+ años de experiencia) emite certificados de calidad por lote.</w:t>
      </w:r>
    </w:p>
    <w:p>
      <w:pPr>
        <w:pStyle w:val="BodyText"/>
        <w:spacing w:after="120"/>
      </w:pPr>
      <w:r>
        <w:rPr>
          <w:b/>
          <w:bCs/>
        </w:rPr>
        <w:t xml:space="preserve">Capacidad instalada:</w:t>
      </w:r>
      <w:r>
        <w:t xml:space="preserve"> </w:t>
      </w:r>
      <w:r>
        <w:t xml:space="preserve">1.440 TM/mes (capacidad nameplate) — mejor mes histórico documentado: 300 TM.</w:t>
      </w:r>
    </w:p>
    <w:bookmarkEnd w:id="15"/>
    <w:bookmarkStart w:id="16" w:name="línea-de-cobre-electrolítico"/>
    <w:p>
      <w:pPr>
        <w:pStyle w:val="Heading3"/>
        <w:spacing w:before="240" w:after="80"/>
        <w:keepNext w:val="1"/>
        <w:keepNext w:val="1"/>
      </w:pPr>
      <w:r>
        <w:t xml:space="preserve">2.2 Línea de Cobre Electrolítico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 w:val="1"/>
        </w:trPr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Equipo</w:t>
            </w:r>
          </w:p>
        </w:tc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Cantidad</w:t>
            </w:r>
          </w:p>
        </w:tc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Estado</w:t>
            </w:r>
          </w:p>
        </w:tc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Costo Estimado de Reposición (USD)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Rectificadores trifásicos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6 unidades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REQUIERE REPARACIÓN — renovación estimada $10.000–$20.000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$15.000 – $25.000 c/u</w:t>
            </w:r>
          </w:p>
        </w:tc>
      </w:tr>
      <w:tr>
        <w:trPr>
          <w:cantSplit w:val="1"/>
        </w:trPr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Tanques de proceso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10 unidades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REQUIERE REVESTIMIENTO — fibra de vidrio, estimado $5.000–$10.000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$8.000 – $15.000 c/u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1A1A1A"/>
                <w:sz w:val="18"/>
              </w:rPr>
              <w:t xml:space="preserve">Subtotal línea cobre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1A1A1A"/>
                <w:sz w:val="18"/>
              </w:rPr>
              <w:t xml:space="preserve">$170.000 – $300.000</w:t>
            </w:r>
          </w:p>
        </w:tc>
      </w:tr>
    </w:tbl>
    <w:p>
      <w:pPr>
        <w:pStyle w:val="BodyText"/>
        <w:spacing w:after="120"/>
      </w:pPr>
      <w:r>
        <w:rPr>
          <w:b/>
          <w:bCs/>
        </w:rPr>
        <w:t xml:space="preserve">Capacidad:</w:t>
      </w:r>
      <w:r>
        <w:t xml:space="preserve"> </w:t>
      </w:r>
      <w:r>
        <w:t xml:space="preserve">936 varillas de puesta a tierra/día (ciclo continuo de 24h). Recubrimiento: 300 µm ± 50 cobre. Diámetros: 5/8” a 1”. Longitudes: 1,2m a 3m.</w:t>
      </w:r>
    </w:p>
    <w:bookmarkEnd w:id="16"/>
    <w:bookmarkStart w:id="17" w:name="equipos-de-manejo-y-soporte"/>
    <w:p>
      <w:pPr>
        <w:pStyle w:val="Heading3"/>
        <w:spacing w:before="240" w:after="80"/>
        <w:keepNext w:val="1"/>
        <w:keepNext w:val="1"/>
      </w:pPr>
      <w:r>
        <w:t xml:space="preserve">2.3 Equipos de Manejo y Soporte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 w:val="1"/>
        </w:trPr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Equipo</w:t>
            </w:r>
          </w:p>
        </w:tc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Cantidad</w:t>
            </w:r>
          </w:p>
        </w:tc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Capacidad</w:t>
            </w:r>
          </w:p>
        </w:tc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Estado</w:t>
            </w:r>
          </w:p>
        </w:tc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Costo Estimado de Reposición (USD)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Montacargas Clark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3 unidades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2.500 kg c/u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En planta — estado operativo pendiente de verificación en diligencia debida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$18.000 – $25.000 c/u → $54.000 – $75.000 total</w:t>
            </w:r>
          </w:p>
        </w:tc>
      </w:tr>
      <w:tr>
        <w:trPr>
          <w:cantSplit w:val="1"/>
        </w:trPr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Puentes grúa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2 unidades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2 TM y 5 TM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En planta — mantenimiento preventivo recomendado ($5.000–$10.000)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$25.000 – $45.000 c/u → $50.000 – $90.000 total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Báscula industrial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1 unidad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—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En planta — estado operativo pendiente de verificación en diligencia debida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$5.000 – $10.000</w:t>
            </w:r>
          </w:p>
        </w:tc>
      </w:tr>
    </w:tbl>
    <w:bookmarkEnd w:id="17"/>
    <w:bookmarkStart w:id="18" w:name="inventario-de-materia-prima-en-sitio"/>
    <w:p>
      <w:pPr>
        <w:pStyle w:val="Heading3"/>
        <w:spacing w:before="240" w:after="80"/>
        <w:keepNext w:val="1"/>
        <w:keepNext w:val="1"/>
      </w:pPr>
      <w:r>
        <w:t xml:space="preserve">2.4 Inventario de Materia Prima en Sitio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 w:val="1"/>
        </w:trPr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Material</w:t>
            </w:r>
          </w:p>
        </w:tc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Cantidad Actual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Zinc SHG 99,99%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2.041 kg</w:t>
            </w:r>
          </w:p>
        </w:tc>
      </w:tr>
      <w:tr>
        <w:trPr>
          <w:cantSplit w:val="1"/>
        </w:trPr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Ácido Clorhídrico (HCl)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4.600 kg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Cloruro de Amonio (NH4Cl)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500 kg</w:t>
            </w:r>
          </w:p>
        </w:tc>
      </w:tr>
    </w:tbl>
    <w:p>
      <w:pPr>
        <w:pStyle w:val="BlockText"/>
      </w:pPr>
      <w:r>
        <w:rPr>
          <w:i/>
          <w:iCs/>
        </w:rPr>
        <w:t xml:space="preserve">El inventario en sitio tiene valor de mercado adicional pero no se incluye en la valoración de colateral fijo.</w:t>
      </w:r>
    </w:p>
    <w:p>
      <w:pPr>
        <w:spacing w:after="120"/>
      </w:pPr>
      <w:r>
        <w:pict>
          <v:rect style="width:0;height:1.5pt" o:hralign="center" o:hrstd="t" o:hr="t"/>
        </w:pict>
      </w:r>
    </w:p>
    <w:bookmarkEnd w:id="18"/>
    <w:bookmarkEnd w:id="19"/>
    <w:bookmarkStart w:id="22" w:name="sección-3-situación-legal-y-regulatoria"/>
    <w:p>
      <w:pPr>
        <w:pStyle w:val="Heading2"/>
        <w:spacing w:before="240" w:after="80"/>
        <w:keepNext w:val="1"/>
        <w:pBdr>
          <w:left w:val="single" w:sz="18" w:space="8" w:color="C8A032"/>
        </w:pBdr>
        <w:pageBreakBefore w:val="1"/>
      </w:pPr>
      <w:r>
        <w:t xml:space="preserve">SECCIÓN 3: SITUACIÓN LEGAL Y REGULATORIA</w:t>
      </w:r>
    </w:p>
    <w:bookmarkStart w:id="20" w:name="documentación-vigente"/>
    <w:p>
      <w:pPr>
        <w:pStyle w:val="Heading3"/>
        <w:spacing w:before="240" w:after="80"/>
        <w:keepNext w:val="1"/>
        <w:keepNext w:val="1"/>
      </w:pPr>
      <w:r>
        <w:t xml:space="preserve">3.1 Documentación Vigente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 w:val="1"/>
        </w:trPr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Documento / Permiso</w:t>
            </w:r>
          </w:p>
        </w:tc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Estado</w:t>
            </w:r>
          </w:p>
        </w:tc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Observaciones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RIF (SENIAT)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1A1A1A"/>
                <w:sz w:val="18"/>
              </w:rPr>
              <w:t xml:space="preserve">VIGENTE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Activo. Historial de declaraciones 2005–2019 confirmadas por contadora de la empresa y declaradas ante SENIAT.</w:t>
            </w:r>
          </w:p>
        </w:tc>
      </w:tr>
      <w:tr>
        <w:trPr>
          <w:cantSplit w:val="1"/>
        </w:trPr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Licencia municipal de operaciones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1A1A1A"/>
                <w:sz w:val="18"/>
              </w:rPr>
              <w:t xml:space="preserve">VIGENTE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—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Contrato de gas PDVSA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1A1A1A"/>
                <w:sz w:val="18"/>
              </w:rPr>
              <w:t xml:space="preserve">ACTIVO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Contrato vigente. Consumo mensual variable: $1.500–$1.800 USD.</w:t>
            </w:r>
          </w:p>
        </w:tc>
      </w:tr>
      <w:tr>
        <w:trPr>
          <w:cantSplit w:val="1"/>
        </w:trPr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Registro Mercantil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Pendiente de renovación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Renovación de 50 años vence en 2026.</w:t>
            </w:r>
          </w:p>
        </w:tc>
      </w:tr>
    </w:tbl>
    <w:bookmarkEnd w:id="20"/>
    <w:bookmarkStart w:id="21" w:name="estructura-accionaria"/>
    <w:p>
      <w:pPr>
        <w:pStyle w:val="Heading3"/>
        <w:spacing w:before="240" w:after="80"/>
        <w:keepNext w:val="1"/>
        <w:keepNext w:val="1"/>
      </w:pPr>
      <w:r>
        <w:t xml:space="preserve">3.2 Estructura Accionaria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 w:val="1"/>
        </w:trPr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Accionista</w:t>
            </w:r>
          </w:p>
        </w:tc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Participación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Francisco Ballesteros Zamorano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84%</w:t>
            </w:r>
          </w:p>
        </w:tc>
      </w:tr>
      <w:tr>
        <w:trPr>
          <w:cantSplit w:val="1"/>
        </w:trPr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Nelly Alvarado de Ballesteros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16%</w:t>
            </w:r>
          </w:p>
        </w:tc>
      </w:tr>
    </w:tbl>
    <w:p>
      <w:pPr>
        <w:pStyle w:val="BodyText"/>
        <w:spacing w:after="120"/>
      </w:pPr>
      <w:r>
        <w:rPr>
          <w:b/>
          <w:bCs/>
        </w:rPr>
        <w:t xml:space="preserve">Tipo de entidad:</w:t>
      </w:r>
      <w:r>
        <w:t xml:space="preserve"> </w:t>
      </w:r>
      <w:r>
        <w:t xml:space="preserve">Sociedad Anónima — capital 100% venezolano.</w:t>
      </w:r>
      <w:r>
        <w:t xml:space="preserve"> </w:t>
      </w:r>
      <w:r>
        <w:rPr>
          <w:b/>
          <w:bCs/>
        </w:rPr>
        <w:t xml:space="preserve">Fundadores:</w:t>
      </w:r>
      <w:r>
        <w:t xml:space="preserve"> </w:t>
      </w:r>
      <w:r>
        <w:t xml:space="preserve">Francisco Ballesteros Zamorano y Nelly Alvarado de Ballesteros.</w:t>
      </w:r>
    </w:p>
    <w:p>
      <w:pPr>
        <w:spacing w:after="120"/>
      </w:pPr>
      <w:r>
        <w:pict>
          <v:rect style="width:0;height:1.5pt" o:hralign="center" o:hrstd="t" o:hr="t"/>
        </w:pict>
      </w:r>
    </w:p>
    <w:bookmarkEnd w:id="21"/>
    <w:bookmarkEnd w:id="22"/>
    <w:bookmarkStart w:id="23" w:name="sección-4-declaración-de-pasivos"/>
    <w:p>
      <w:pPr>
        <w:pStyle w:val="Heading2"/>
        <w:spacing w:before="240" w:after="80"/>
        <w:keepNext w:val="1"/>
        <w:pBdr>
          <w:left w:val="single" w:sz="18" w:space="8" w:color="C8A032"/>
        </w:pBdr>
        <w:pageBreakBefore w:val="1"/>
      </w:pPr>
      <w:r>
        <w:t xml:space="preserve">SECCIÓN 4: DECLARACIÓN DE PASIVOS</w:t>
      </w:r>
    </w:p>
    <w:p>
      <w:pPr>
        <w:pStyle w:val="FirstParagraph"/>
        <w:spacing w:after="120"/>
      </w:pPr>
      <w:r>
        <w:t xml:space="preserve">No existen hipotecas, gravámenes ni embargos registrados sobre los inmuebles. La empresa no registra pasivos financieros pendientes a la fecha de presentación de este documento.</w:t>
      </w:r>
    </w:p>
    <w:p>
      <w:pPr>
        <w:spacing w:after="120"/>
      </w:pPr>
      <w:r>
        <w:pict>
          <v:rect style="width:0;height:1.5pt" o:hralign="center" o:hrstd="t" o:hr="t"/>
        </w:pict>
      </w:r>
    </w:p>
    <w:bookmarkEnd w:id="23"/>
    <w:bookmarkStart w:id="24" w:name="Xae578e2b8e36938e573f885a51f9d6b45c224ab"/>
    <w:p>
      <w:pPr>
        <w:pStyle w:val="Heading2"/>
        <w:spacing w:before="240" w:after="80"/>
        <w:keepNext w:val="1"/>
        <w:pBdr>
          <w:left w:val="single" w:sz="18" w:space="8" w:color="C8A032"/>
        </w:pBdr>
        <w:pageBreakBefore w:val="1"/>
        <w:keepNext w:val="1"/>
      </w:pPr>
      <w:r>
        <w:t xml:space="preserve">SECCIÓN 5: RESUMEN DE VALORACIÓN DE ACTIVOS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 w:val="1"/>
        </w:trPr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Categoría</w:t>
            </w:r>
          </w:p>
        </w:tc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Valoración Conservadora (USD)</w:t>
            </w:r>
          </w:p>
        </w:tc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Valoración Referencia Alta (USD)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1A1A1A"/>
                <w:sz w:val="18"/>
              </w:rPr>
              <w:t xml:space="preserve">Inmuebles (2 galpones, 3.640 m²)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$691.600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$990.080</w:t>
            </w:r>
          </w:p>
        </w:tc>
      </w:tr>
      <w:tr>
        <w:trPr>
          <w:cantSplit w:val="1"/>
        </w:trPr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Cuba galvanizado 7m (Pilling)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$320.000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$420.000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Cuba galvanizado 9m (Pilling)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$570.000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$570.000</w:t>
            </w:r>
          </w:p>
        </w:tc>
      </w:tr>
      <w:tr>
        <w:trPr>
          <w:cantSplit w:val="1"/>
        </w:trPr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Cuba centrífuga 65 cm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$40.000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$70.000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Cuba 3,5 metros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$80.000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$120.000</w:t>
            </w:r>
          </w:p>
        </w:tc>
      </w:tr>
      <w:tr>
        <w:trPr>
          <w:cantSplit w:val="1"/>
        </w:trPr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Línea de cobre electrolítico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$170.000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$300.000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Montacargas (3 unidades Clark)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$54.000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$75.000</w:t>
            </w:r>
          </w:p>
        </w:tc>
      </w:tr>
      <w:tr>
        <w:trPr>
          <w:cantSplit w:val="1"/>
        </w:trPr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Puentes grúa (2 unidades)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$50.000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$90.000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Báscula industrial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$5.000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$10.000</w:t>
            </w:r>
          </w:p>
        </w:tc>
      </w:tr>
      <w:tr>
        <w:trPr>
          <w:cantSplit w:val="1"/>
        </w:trPr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1A1A1A"/>
                <w:sz w:val="18"/>
              </w:rPr>
              <w:t xml:space="preserve">Subtotal equipos y maquinaria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1A1A1A"/>
                <w:sz w:val="18"/>
              </w:rPr>
              <w:t xml:space="preserve">$1.289.000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1A1A1A"/>
                <w:sz w:val="18"/>
              </w:rPr>
              <w:t xml:space="preserve">$1.655.000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1A1A1A"/>
                <w:sz w:val="18"/>
              </w:rPr>
              <w:t xml:space="preserve">Subtotal inmuebles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1A1A1A"/>
                <w:sz w:val="18"/>
              </w:rPr>
              <w:t xml:space="preserve">$691.600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1A1A1A"/>
                <w:sz w:val="18"/>
              </w:rPr>
              <w:t xml:space="preserve">$990.080</w:t>
            </w:r>
          </w:p>
        </w:tc>
      </w:tr>
      <w:tr>
        <w:trPr>
          <w:cantSplit w:val="1"/>
        </w:trPr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1A1A1A"/>
                <w:sz w:val="18"/>
              </w:rPr>
              <w:t xml:space="preserve">TOTAL ACTIVOS FIJOS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1A1A1A"/>
                <w:sz w:val="18"/>
              </w:rPr>
              <w:t xml:space="preserve">$1.980.600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1A1A1A"/>
                <w:sz w:val="18"/>
              </w:rPr>
              <w:t xml:space="preserve">$2.645.080</w:t>
            </w:r>
          </w:p>
        </w:tc>
      </w:tr>
    </w:tbl>
    <w:p>
      <w:pPr>
        <w:spacing w:after="120"/>
      </w:pPr>
      <w:r>
        <w:pict>
          <v:rect style="width:0;height:1.5pt" o:hralign="center" o:hrstd="t" o:hr="t"/>
        </w:pict>
      </w:r>
    </w:p>
    <w:bookmarkEnd w:id="24"/>
    <w:bookmarkStart w:id="25" w:name="X8da79c41c3e713a989d21db11f70b225e544407"/>
    <w:p>
      <w:pPr>
        <w:pStyle w:val="Heading2"/>
        <w:spacing w:before="240" w:after="80"/>
        <w:keepNext w:val="1"/>
        <w:pBdr>
          <w:left w:val="single" w:sz="18" w:space="8" w:color="C8A032"/>
        </w:pBdr>
        <w:pageBreakBefore w:val="1"/>
        <w:keepNext w:val="1"/>
      </w:pPr>
      <w:r>
        <w:t xml:space="preserve">SECCIÓN 6: CONTEXTO OPERACIONAL Y TRAYECTORIA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 w:val="1"/>
        </w:trPr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Indicador</w:t>
            </w:r>
          </w:p>
        </w:tc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Dato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Año de fundación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Década de 1970</w:t>
            </w:r>
          </w:p>
        </w:tc>
      </w:tr>
      <w:tr>
        <w:trPr>
          <w:cantSplit w:val="1"/>
        </w:trPr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Años de operación continua documentada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2005–2015 (P&amp;L declarado a SENIAT)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Razón del cese operativo (2015)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Interrupción del suministro de zinc SHG 99,99% — no por insolvencia financiera</w:t>
            </w:r>
          </w:p>
        </w:tc>
      </w:tr>
      <w:tr>
        <w:trPr>
          <w:cantSplit w:val="1"/>
        </w:trPr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Mejor año de ventas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2009: USD $1.739.091 (margen 18,1%)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Producción récord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2015: 675 TM de pletinas (barras planas)</w:t>
            </w:r>
          </w:p>
        </w:tc>
      </w:tr>
      <w:tr>
        <w:trPr>
          <w:cantSplit w:val="1"/>
        </w:trPr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Clientes históricos documentados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34 empresas. 6 con interés confirmado de reactivar pedidos.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Competidores activos en Venezuela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2 (PYGLARA + 1). Los demás son proyectos en fase de instalación.</w:t>
            </w:r>
          </w:p>
        </w:tc>
      </w:tr>
      <w:tr>
        <w:trPr>
          <w:cantSplit w:val="1"/>
        </w:trPr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Cotización zinc SHG 99,995% confirmada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Pan American Zinc LLC — $3.930/TM (Proforma N° 02/20/2026)</w:t>
            </w:r>
          </w:p>
        </w:tc>
      </w:tr>
    </w:tbl>
    <w:p>
      <w:pPr>
        <w:spacing w:after="120"/>
      </w:pPr>
      <w:r>
        <w:pict>
          <v:rect style="width:0;height:1.5pt" o:hralign="center" o:hrstd="t" o:hr="t"/>
        </w:pict>
      </w:r>
    </w:p>
    <w:bookmarkEnd w:id="25"/>
    <w:bookmarkStart w:id="26" w:name="declaración"/>
    <w:p>
      <w:pPr>
        <w:pStyle w:val="Heading2"/>
        <w:spacing w:before="240" w:after="80"/>
        <w:keepNext w:val="1"/>
        <w:pBdr>
          <w:left w:val="single" w:sz="18" w:space="8" w:color="C8A032"/>
        </w:pBdr>
        <w:pageBreakBefore w:val="1"/>
      </w:pPr>
      <w:r>
        <w:t xml:space="preserve">DECLARACIÓN</w:t>
      </w:r>
    </w:p>
    <w:p>
      <w:pPr>
        <w:pStyle w:val="FirstParagraph"/>
        <w:spacing w:after="120"/>
        <w:keepNext w:val="1"/>
      </w:pPr>
      <w:r>
        <w:t xml:space="preserve">Los firmantes declaran que la información contenida en este documento es fiel y verdadera a la fecha de su preparación. Los títulos de propiedad, RIF, licencias y documentos de soporte están disponibles para revisión por parte de la institución financiera solicitante.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 w:val="1"/>
        </w:trPr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FFFFFF"/>
                <w:sz w:val="18"/>
              </w:rPr>
              <w:t xml:space="preserve">Francisco Ballesteros Zamorano</w:t>
            </w:r>
          </w:p>
        </w:tc>
        <w:tc>
          <w:tcPr>
            <w:shd w:val="clear" w:color="auto" w:fill="1A2E4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FFFFFF"/>
                <w:sz w:val="18"/>
              </w:rPr>
              <w:t xml:space="preserve">Nelly Alvarado de Ballesteros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Accionista — 84%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Accionista — 16%</w:t>
            </w:r>
          </w:p>
        </w:tc>
      </w:tr>
      <w:tr>
        <w:trPr>
          <w:cantSplit w:val="1"/>
        </w:trPr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C.I.: _______________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C.I.: _______________</w:t>
            </w:r>
          </w:p>
        </w:tc>
      </w:tr>
      <w:tr>
        <w:trPr>
          <w:cantSplit w:val="1"/>
        </w:trPr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Firma: _______________</w:t>
            </w:r>
          </w:p>
        </w:tc>
        <w:tc>
          <w:tcPr>
            <w:shd w:val="clear" w:color="auto" w:fill="FFFFFF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Firma: _______________</w:t>
            </w:r>
          </w:p>
        </w:tc>
      </w:tr>
      <w:tr>
        <w:trPr>
          <w:cantSplit w:val="1"/>
        </w:trPr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Fecha: _______________</w:t>
            </w:r>
          </w:p>
        </w:tc>
        <w:tc>
          <w:tcPr>
            <w:shd w:val="clear" w:color="auto" w:fill="F5F5F5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color w:val="1A1A1A"/>
                <w:sz w:val="18"/>
              </w:rPr>
              <w:t xml:space="preserve">Fecha: _______________</w:t>
            </w:r>
          </w:p>
        </w:tc>
      </w:tr>
    </w:tbl>
    <w:p>
      <w:pPr>
        <w:spacing w:after="120"/>
      </w:pPr>
      <w:r>
        <w:pict>
          <v:rect style="width:0;height:1.5pt" o:hralign="center" o:hrstd="t" o:hr="t"/>
        </w:pict>
      </w:r>
    </w:p>
    <w:bookmarkEnd w:id="26"/>
    <w:bookmarkStart w:id="27" w:name="X5ac9ba614ef0d1b9c464f8474d14bf7b9117776"/>
    <w:p>
      <w:pPr>
        <w:pStyle w:val="Heading2"/>
        <w:spacing w:before="240" w:after="80"/>
        <w:keepNext w:val="1"/>
        <w:pBdr>
          <w:left w:val="single" w:sz="18" w:space="8" w:color="C8A032"/>
        </w:pBdr>
        <w:pageBreakBefore w:val="1"/>
      </w:pPr>
      <w:r>
        <w:t xml:space="preserve">APÉNDICE — DOCUMENTOS DE SOPORTE DISPONIBLES PARA REVISIÓN</w:t>
      </w:r>
    </w:p>
    <w:p>
      <w:pPr>
        <w:pStyle w:val="FirstParagraph"/>
        <w:spacing w:after="120"/>
      </w:pPr>
      <w:r>
        <w:t xml:space="preserve">Los siguientes documentos están disponibles a solicitud de la institución financiera:</w:t>
      </w:r>
    </w:p>
    <w:p>
      <w:pPr>
        <w:pStyle w:val="Compact"/>
        <w:numPr>
          <w:ilvl w:val="0"/>
          <w:numId w:val="1001"/>
        </w:numPr>
      </w:pPr>
      <w:r>
        <w:t xml:space="preserve">Documentos de propiedad de inmuebles (Registro Subalterno)</w:t>
      </w:r>
    </w:p>
    <w:p>
      <w:pPr>
        <w:pStyle w:val="Compact"/>
        <w:numPr>
          <w:ilvl w:val="0"/>
          <w:numId w:val="1001"/>
        </w:numPr>
      </w:pPr>
      <w:r>
        <w:t xml:space="preserve">RIF actualizado (SENIAT)</w:t>
      </w:r>
    </w:p>
    <w:p>
      <w:pPr>
        <w:pStyle w:val="Compact"/>
        <w:numPr>
          <w:ilvl w:val="0"/>
          <w:numId w:val="1001"/>
        </w:numPr>
      </w:pPr>
      <w:r>
        <w:t xml:space="preserve">Cédulas de identidad de accionistas</w:t>
      </w:r>
    </w:p>
    <w:p>
      <w:pPr>
        <w:pStyle w:val="Compact"/>
        <w:numPr>
          <w:ilvl w:val="0"/>
          <w:numId w:val="1001"/>
        </w:numPr>
      </w:pPr>
      <w:r>
        <w:t xml:space="preserve">Acta constitutiva y últimas modificaciones estatutarias (Registro Mercantil)</w:t>
      </w:r>
    </w:p>
    <w:p>
      <w:pPr>
        <w:pStyle w:val="Compact"/>
        <w:numPr>
          <w:ilvl w:val="0"/>
          <w:numId w:val="1001"/>
        </w:numPr>
      </w:pPr>
      <w:r>
        <w:t xml:space="preserve">Licencia municipal de actividades económicas</w:t>
      </w:r>
    </w:p>
    <w:p>
      <w:pPr>
        <w:pStyle w:val="Compact"/>
        <w:numPr>
          <w:ilvl w:val="0"/>
          <w:numId w:val="1001"/>
        </w:numPr>
      </w:pPr>
      <w:r>
        <w:t xml:space="preserve">Contrato de suministro de gas PDVSA</w:t>
      </w:r>
    </w:p>
    <w:p>
      <w:pPr>
        <w:pStyle w:val="Compact"/>
        <w:numPr>
          <w:ilvl w:val="0"/>
          <w:numId w:val="1001"/>
        </w:numPr>
      </w:pPr>
      <w:r>
        <w:t xml:space="preserve">Resumen P&amp;L 2005–2019 (preparado por contadora, declarado a SENIAT)</w:t>
      </w:r>
    </w:p>
    <w:p>
      <w:pPr>
        <w:pStyle w:val="Compact"/>
        <w:numPr>
          <w:ilvl w:val="0"/>
          <w:numId w:val="1001"/>
        </w:numPr>
      </w:pPr>
      <w:r>
        <w:t xml:space="preserve">Fotografías de planta, equipos y galpones</w:t>
      </w:r>
    </w:p>
    <w:p>
      <w:pPr>
        <w:spacing w:after="120"/>
      </w:pPr>
      <w:r>
        <w:pict>
          <v:rect style="width:0;height:1.5pt" o:hralign="center" o:hrstd="t" o:hr="t"/>
        </w:pict>
      </w:r>
    </w:p>
    <w:p>
      <w:pPr>
        <w:pStyle w:val="FirstParagraph"/>
        <w:spacing w:after="120"/>
      </w:pPr>
      <w:r>
        <w:rPr>
          <w:i/>
          <w:iCs/>
        </w:rPr>
        <w:t xml:space="preserve">Documento preparado en Barquisimeto, Estado Lara, Venezuela. Abril 2026.</w:t>
      </w:r>
      <w:r>
        <w:t xml:space="preserve"> </w:t>
      </w:r>
      <w:r>
        <w:rPr>
          <w:i/>
          <w:iCs/>
        </w:rPr>
        <w:t xml:space="preserve">Para consultas: +58 424 571 5349 |</w:t>
      </w:r>
      <w:r>
        <w:rPr>
          <w:i/>
          <w:iCs/>
        </w:rPr>
        <w:t xml:space="preserve"> </w:t>
      </w:r>
      <w:r>
        <w:rPr>
          <w:i/>
          <w:iCs/>
        </w:rPr>
        <w:t xml:space="preserve">@pyglarasa</w:t>
      </w:r>
    </w:p>
    <w:bookmarkEnd w:id="27"/>
    <w:bookmarkEnd w:id="28"/>
    <w:p>
      <w:pPr>
        <w:spacing w:before="0" w:after="0"/>
      </w:pPr>
      <w:r>
        <w:br w:type="page"/>
      </w:r>
    </w:p>
    <w:p>
      <w:pPr>
        <w:pStyle w:val="Heading2"/>
        <w:pBdr>
          <w:left w:val="single" w:sz="18" w:space="8" w:color="C8A032"/>
        </w:pBdr>
      </w:pPr>
      <w:r>
        <w:t>APÉNDICE II — COTIZACIÓN DE ZINC SHG 99,995%</w:t>
      </w:r>
    </w:p>
    <w:p>
      <w:pPr>
        <w:jc w:val="center"/>
      </w:pPr>
      <w:r>
        <w:rPr>
          <w:rFonts w:ascii="Calibri" w:hAnsi="Calibri"/>
          <w:b/>
          <w:color w:val="1A2E4A"/>
          <w:sz w:val="20"/>
        </w:rPr>
        <w:t>Pan American Zinc LLC — Proforma Invoice N° 02/20/2026</w:t>
      </w:r>
    </w:p>
    <w:p>
      <w:pPr>
        <w:spacing w:after="200"/>
        <w:jc w:val="center"/>
      </w:pPr>
      <w:r>
        <w:rPr>
          <w:rFonts w:ascii="Calibri" w:hAnsi="Calibri"/>
          <w:i/>
          <w:color w:val="1A1A1A"/>
          <w:sz w:val="18"/>
        </w:rPr>
        <w:t>Zinc SHG 99,995% — USD $3.930/TM — 25 TM — Total: USD $98.250</w:t>
      </w:r>
    </w:p>
    <w:p>
      <w:pPr>
        <w:jc w:val="center"/>
      </w:pPr>
      <w:r>
        <w:drawing>
          <wp:inline>
            <wp:extent cx="5400000" cy="69882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oice_p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98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pBdr>
          <w:left w:val="single" w:sz="18" w:space="8" w:color="C8A032"/>
        </w:pBdr>
      </w:pPr>
      <w:r>
        <w:t>APÉNDICE III — REGISTRO FOTOGRÁFICO DE ACTIVOS</w:t>
      </w:r>
    </w:p>
    <w:p>
      <w:pPr>
        <w:spacing w:after="200"/>
      </w:pPr>
      <w:r>
        <w:rPr>
          <w:rFonts w:ascii="Calibri" w:hAnsi="Calibri"/>
          <w:i/>
          <w:color w:val="1A1A1A"/>
          <w:sz w:val="18"/>
        </w:rPr>
        <w:t>Las siguientes fotografías muestran los activos incluidos en el inventario de colateral. Fotografías adicionales disponibles a solicitud de la institución financiera.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rPr>
          <w:cantSplit w:val="1"/>
        </w:trPr>
        <w:tc>
          <w:tcPr>
            <w:tcW w:type="dxa" w:w="4533"/>
            <w:tcW w:w="4320" w:type="dxa"/>
            <w:shd w:val="clear" w:color="auto" w:fill="FFFF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>
                  <wp:extent cx="2808000" cy="132978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ad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3297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3"/>
            <w:tcW w:w="4320" w:type="dxa"/>
            <w:shd w:val="clear" w:color="auto" w:fill="FFFF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>
                  <wp:extent cx="2808000" cy="1263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ll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2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1"/>
        </w:trPr>
        <w:tc>
          <w:tcPr>
            <w:tcW w:type="dxa" w:w="4533"/>
            <w:tcW w:w="4320" w:type="dxa"/>
            <w:shd w:val="clear" w:color="auto" w:fill="F5F5F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80" w:after="120"/>
              <w:jc w:val="left"/>
            </w:pPr>
            <w:r>
              <w:rPr>
                <w:rFonts w:ascii="Calibri" w:hAnsi="Calibri"/>
                <w:b/>
                <w:color w:val="1A2E4A"/>
                <w:sz w:val="16"/>
              </w:rPr>
              <w:t>Galpones Industriales — Zona Industrial I, Barquisimeto</w:t>
              <w:br/>
            </w:r>
            <w:r>
              <w:rPr>
                <w:rFonts w:ascii="Calibri" w:hAnsi="Calibri"/>
                <w:color w:val="1A1A1A"/>
                <w:sz w:val="15"/>
              </w:rPr>
              <w:t>Vista frontal de los dos galpones. Superficie total: ~3.640 m².</w:t>
            </w:r>
          </w:p>
        </w:tc>
        <w:tc>
          <w:tcPr>
            <w:tcW w:type="dxa" w:w="4533"/>
            <w:tcW w:w="4320" w:type="dxa"/>
            <w:shd w:val="clear" w:color="auto" w:fill="F5F5F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80" w:after="120"/>
              <w:jc w:val="left"/>
            </w:pPr>
            <w:r>
              <w:rPr>
                <w:rFonts w:ascii="Calibri" w:hAnsi="Calibri"/>
                <w:b/>
                <w:color w:val="1A2E4A"/>
                <w:sz w:val="16"/>
              </w:rPr>
              <w:t>Interior Galpón Principal — Puentes Grúa</w:t>
              <w:br/>
            </w:r>
            <w:r>
              <w:rPr>
                <w:rFonts w:ascii="Calibri" w:hAnsi="Calibri"/>
                <w:color w:val="1A1A1A"/>
                <w:sz w:val="15"/>
              </w:rPr>
              <w:t>Nave principal (2.500 m²). Puentes grúa de 2 TM y 5 TM visibles.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rPr>
          <w:cantSplit w:val="1"/>
        </w:trPr>
        <w:tc>
          <w:tcPr>
            <w:tcW w:type="dxa" w:w="4533"/>
            <w:tcW w:w="4320" w:type="dxa"/>
            <w:shd w:val="clear" w:color="auto" w:fill="FFFF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>
                  <wp:extent cx="2808000" cy="198849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ettl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9884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3"/>
            <w:tcW w:w="4320" w:type="dxa"/>
            <w:shd w:val="clear" w:color="auto" w:fill="FFFF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>
                  <wp:extent cx="2808000" cy="21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ppe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21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1"/>
        </w:trPr>
        <w:tc>
          <w:tcPr>
            <w:tcW w:type="dxa" w:w="4533"/>
            <w:tcW w:w="4320" w:type="dxa"/>
            <w:shd w:val="clear" w:color="auto" w:fill="F5F5F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80" w:after="120"/>
              <w:jc w:val="left"/>
            </w:pPr>
            <w:r>
              <w:rPr>
                <w:rFonts w:ascii="Calibri" w:hAnsi="Calibri"/>
                <w:b/>
                <w:color w:val="1A2E4A"/>
                <w:sz w:val="16"/>
              </w:rPr>
              <w:t>Cuba de Galvanizado 7 Metros — W. Pilling Riepe (Alemania)</w:t>
              <w:br/>
            </w:r>
            <w:r>
              <w:rPr>
                <w:rFonts w:ascii="Calibri" w:hAnsi="Calibri"/>
                <w:color w:val="1A1A1A"/>
                <w:sz w:val="15"/>
              </w:rPr>
              <w:t>Cuba principal instalada. Quemadores en buen estado. Requiere carga de zinc (50 TM).</w:t>
            </w:r>
          </w:p>
        </w:tc>
        <w:tc>
          <w:tcPr>
            <w:tcW w:type="dxa" w:w="4533"/>
            <w:tcW w:w="4320" w:type="dxa"/>
            <w:shd w:val="clear" w:color="auto" w:fill="F5F5F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80" w:after="120"/>
              <w:jc w:val="left"/>
            </w:pPr>
            <w:r>
              <w:rPr>
                <w:rFonts w:ascii="Calibri" w:hAnsi="Calibri"/>
                <w:b/>
                <w:color w:val="1A2E4A"/>
                <w:sz w:val="16"/>
              </w:rPr>
              <w:t>Línea de Cobre Electrolítico</w:t>
              <w:br/>
            </w:r>
            <w:r>
              <w:rPr>
                <w:rFonts w:ascii="Calibri" w:hAnsi="Calibri"/>
                <w:color w:val="1A1A1A"/>
                <w:sz w:val="15"/>
              </w:rPr>
              <w:t>Tanques de proceso y rectificadores trifásicos. Capacidad: 936 varillas/día.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rPr>
          <w:cantSplit w:val="1"/>
        </w:trPr>
        <w:tc>
          <w:tcPr>
            <w:tcW w:type="dxa" w:w="4533"/>
            <w:tcW w:w="4320" w:type="dxa"/>
            <w:shd w:val="clear" w:color="auto" w:fill="FFFF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>
                  <wp:extent cx="2808000" cy="210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21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3"/>
            <w:tcW w:w="4320" w:type="dxa"/>
            <w:shd w:val="clear" w:color="auto" w:fill="FFFF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>
                  <wp:extent cx="2808000" cy="624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cket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6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1"/>
        </w:trPr>
        <w:tc>
          <w:tcPr>
            <w:tcW w:type="dxa" w:w="4533"/>
            <w:tcW w:w="4320" w:type="dxa"/>
            <w:shd w:val="clear" w:color="auto" w:fill="F5F5F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80" w:after="120"/>
              <w:jc w:val="left"/>
            </w:pPr>
            <w:r>
              <w:rPr>
                <w:rFonts w:ascii="Calibri" w:hAnsi="Calibri"/>
                <w:b/>
                <w:color w:val="1A2E4A"/>
                <w:sz w:val="16"/>
              </w:rPr>
              <w:t>Producto Galvanizado — Pletinas (Barras Planas)</w:t>
              <w:br/>
            </w:r>
            <w:r>
              <w:rPr>
                <w:rFonts w:ascii="Calibri" w:hAnsi="Calibri"/>
                <w:color w:val="1A1A1A"/>
                <w:sz w:val="15"/>
              </w:rPr>
              <w:t>Muestra de producción. Récord 2015: 675 TM de pletinas galvanizadas.</w:t>
            </w:r>
          </w:p>
        </w:tc>
        <w:tc>
          <w:tcPr>
            <w:tcW w:type="dxa" w:w="4533"/>
            <w:tcW w:w="4320" w:type="dxa"/>
            <w:shd w:val="clear" w:color="auto" w:fill="F5F5F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80" w:after="120"/>
              <w:jc w:val="left"/>
            </w:pPr>
            <w:r>
              <w:rPr>
                <w:rFonts w:ascii="Calibri" w:hAnsi="Calibri"/>
                <w:b/>
                <w:color w:val="1A2E4A"/>
                <w:sz w:val="16"/>
              </w:rPr>
              <w:t>Producto Galvanizado — Soportes y Herrajes</w:t>
              <w:br/>
            </w:r>
            <w:r>
              <w:rPr>
                <w:rFonts w:ascii="Calibri" w:hAnsi="Calibri"/>
                <w:color w:val="1A1A1A"/>
                <w:sz w:val="15"/>
              </w:rPr>
              <w:t>Piezas galvanizadas listas para entrega a cliente.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rPr>
          <w:cantSplit w:val="1"/>
        </w:trPr>
        <w:tc>
          <w:tcPr>
            <w:tcW w:type="dxa" w:w="4533"/>
            <w:tcW w:w="4320" w:type="dxa"/>
            <w:shd w:val="clear" w:color="auto" w:fill="FFFF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>
                  <wp:extent cx="2808000" cy="3478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4-01 at 1.27.37 PM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347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3"/>
            <w:tcW w:w="4320" w:type="dxa"/>
            <w:shd w:val="clear" w:color="auto" w:fill="FFFF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>
                  <wp:extent cx="2808000" cy="198849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4-01 at 1.27.38 PM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9884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1"/>
        </w:trPr>
        <w:tc>
          <w:tcPr>
            <w:tcW w:type="dxa" w:w="4533"/>
            <w:tcW w:w="4320" w:type="dxa"/>
            <w:shd w:val="clear" w:color="auto" w:fill="F5F5F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80" w:after="120"/>
              <w:jc w:val="left"/>
            </w:pPr>
            <w:r>
              <w:rPr>
                <w:rFonts w:ascii="Calibri" w:hAnsi="Calibri"/>
                <w:b/>
                <w:color w:val="1A2E4A"/>
                <w:sz w:val="16"/>
              </w:rPr>
              <w:t>Horno de Galvanizado — Placa W. Pilling Riepe</w:t>
              <w:br/>
            </w:r>
            <w:r>
              <w:rPr>
                <w:rFonts w:ascii="Calibri" w:hAnsi="Calibri"/>
                <w:color w:val="1A1A1A"/>
                <w:sz w:val="15"/>
              </w:rPr>
              <w:t>Identificación del fabricante alemán en el horno de galvanizado.</w:t>
            </w:r>
          </w:p>
        </w:tc>
        <w:tc>
          <w:tcPr>
            <w:tcW w:type="dxa" w:w="4533"/>
            <w:tcW w:w="4320" w:type="dxa"/>
            <w:shd w:val="clear" w:color="auto" w:fill="F5F5F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80" w:after="120"/>
              <w:jc w:val="left"/>
            </w:pPr>
            <w:r>
              <w:rPr>
                <w:rFonts w:ascii="Calibri" w:hAnsi="Calibri"/>
                <w:b/>
                <w:color w:val="1A2E4A"/>
                <w:sz w:val="16"/>
              </w:rPr>
              <w:t>Cuba de Galvanizado 7m — Vista Operacional</w:t>
              <w:br/>
            </w:r>
            <w:r>
              <w:rPr>
                <w:rFonts w:ascii="Calibri" w:hAnsi="Calibri"/>
                <w:color w:val="1A1A1A"/>
                <w:sz w:val="15"/>
              </w:rPr>
              <w:t>Vista del área de operación de la cuba principal con sistema de grúas.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rPr>
          <w:cantSplit w:val="1"/>
        </w:trPr>
        <w:tc>
          <w:tcPr>
            <w:tcW w:type="dxa" w:w="4533"/>
            <w:tcW w:w="4320" w:type="dxa"/>
            <w:shd w:val="clear" w:color="auto" w:fill="FFFF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>
                  <wp:extent cx="2808000" cy="2106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4-01 at 1.25.24 PM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21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3"/>
            <w:tcW w:w="4320" w:type="dxa"/>
            <w:shd w:val="clear" w:color="auto" w:fill="FFFF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>
                  <wp:extent cx="2808000" cy="1263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4-01 at 1.25.26 PM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2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1"/>
        </w:trPr>
        <w:tc>
          <w:tcPr>
            <w:tcW w:type="dxa" w:w="4533"/>
            <w:tcW w:w="4320" w:type="dxa"/>
            <w:shd w:val="clear" w:color="auto" w:fill="F5F5F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80" w:after="120"/>
              <w:jc w:val="left"/>
            </w:pPr>
            <w:r>
              <w:rPr>
                <w:rFonts w:ascii="Calibri" w:hAnsi="Calibri"/>
                <w:b/>
                <w:color w:val="1A2E4A"/>
                <w:sz w:val="16"/>
              </w:rPr>
              <w:t>Producto en Patio — Acero Galvanizado</w:t>
              <w:br/>
            </w:r>
            <w:r>
              <w:rPr>
                <w:rFonts w:ascii="Calibri" w:hAnsi="Calibri"/>
                <w:color w:val="1A1A1A"/>
                <w:sz w:val="15"/>
              </w:rPr>
              <w:t>Producto terminado en patio de la planta.</w:t>
            </w:r>
          </w:p>
        </w:tc>
        <w:tc>
          <w:tcPr>
            <w:tcW w:type="dxa" w:w="4533"/>
            <w:tcW w:w="4320" w:type="dxa"/>
            <w:shd w:val="clear" w:color="auto" w:fill="F5F5F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80" w:after="120"/>
              <w:jc w:val="left"/>
            </w:pPr>
            <w:r>
              <w:rPr>
                <w:rFonts w:ascii="Calibri" w:hAnsi="Calibri"/>
                <w:b/>
                <w:color w:val="1A2E4A"/>
                <w:sz w:val="16"/>
              </w:rPr>
              <w:t>Operaciones de Despacho</w:t>
              <w:br/>
            </w:r>
            <w:r>
              <w:rPr>
                <w:rFonts w:ascii="Calibri" w:hAnsi="Calibri"/>
                <w:color w:val="1A1A1A"/>
                <w:sz w:val="15"/>
              </w:rPr>
              <w:t>Carga de acero galvanizado para entrega a cliente.</w:t>
            </w:r>
          </w:p>
        </w:tc>
      </w:tr>
    </w:tbl>
    <w:p>
      <w:pPr>
        <w:spacing w:after="160"/>
      </w:pPr>
    </w:p>
    <w:sectPr>
      <w:headerReference w:type="default" r:id="rId9"/>
      <w:footerReference w:type="default" r:id="rId10"/>
      <w:footnotePr>
        <w:numRestart w:val="eachSect"/>
      </w:footnotePr>
      <w:pgSz w:w="12240" w:h="15840"/>
      <w:pgMar w:top="1417" w:bottom="1417" w:left="1587" w:right="158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A2E4A"/>
        <w:sz w:val="16"/>
      </w:rPr>
      <w:t xml:space="preserve">Prensados y Galvanizados de Lara, S.A.  |  RIF: J-07014488-0  |  Barquisimeto, Lara  |  Página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1A2E4A"/>
        <w:sz w:val="16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C8A032"/>
      </w:pBdr>
    </w:pPr>
    <w:r>
      <w:rPr>
        <w:rFonts w:ascii="Calibri" w:hAnsi="Calibri"/>
        <w:i/>
        <w:color w:val="1A2E4A"/>
        <w:sz w:val="16"/>
      </w:rPr>
      <w:t>PYGLARA — Inventario de Colateral y Valoración de Activos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1A1A1A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/>
      <w:b/>
      <w:color w:val="1A2E4A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Calibri" w:hAnsi="Calibri"/>
      <w:b/>
      <w:color w:val="1A2E4A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Calibri" w:hAnsi="Calibri"/>
      <w:b/>
      <w:color w:val="1A2E4A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eg"/><Relationship Id="rId19" Type="http://schemas.openxmlformats.org/officeDocument/2006/relationships/image" Target="media/image9.jpeg"/><Relationship Id="rId20" Type="http://schemas.openxmlformats.org/officeDocument/2006/relationships/image" Target="media/image10.jpeg"/><Relationship Id="rId2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2026-04-09T22:10:06Z</dcterms:created>
  <dcterms:modified xsi:type="dcterms:W3CDTF">2026-04-09T22:10:06Z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