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pBdr>
          <w:top w:val="single" w:color="D4A017" w:sz="8" w:space="12"/>
        </w:pBdr>
        <w:spacing w:before="200" w:after="100"/>
        <w:jc w:val="center"/>
      </w:pPr>
      <w:r>
        <w:rPr>
          <w:rFonts w:ascii="Arial" w:cs="Arial" w:eastAsia="Arial" w:hAnsi="Arial"/>
          <w:b/>
          <w:bCs/>
          <w:color w:val="2E86C1"/>
          <w:sz w:val="28"/>
          <w:szCs w:val="28"/>
        </w:rPr>
        <w:t xml:space="preserve">OPORTUNIDAD DE INVERSIÓN</w:t>
      </w:r>
    </w:p>
    <w:p>
      <w:pPr>
        <w:spacing w:after="60"/>
        <w:jc w:val="center"/>
      </w:pPr>
      <w:r>
        <w:rPr>
          <w:rFonts w:ascii="Arial" w:cs="Arial" w:eastAsia="Arial" w:hAnsi="Arial"/>
          <w:b/>
          <w:bCs/>
          <w:color w:val="0D2137"/>
          <w:sz w:val="56"/>
          <w:szCs w:val="56"/>
        </w:rPr>
        <w:t xml:space="preserve">PRENSADOS Y GALVANIZADOS</w:t>
      </w:r>
    </w:p>
    <w:p>
      <w:pPr>
        <w:spacing w:after="200"/>
        <w:jc w:val="center"/>
      </w:pPr>
      <w:r>
        <w:rPr>
          <w:rFonts w:ascii="Arial" w:cs="Arial" w:eastAsia="Arial" w:hAnsi="Arial"/>
          <w:b/>
          <w:bCs/>
          <w:color w:val="0D2137"/>
          <w:sz w:val="56"/>
          <w:szCs w:val="56"/>
        </w:rPr>
        <w:t xml:space="preserve">DE LARA, S.A.</w:t>
      </w:r>
    </w:p>
    <w:p>
      <w:pPr>
        <w:pBdr>
          <w:bottom w:val="single" w:color="D4A017" w:sz="8" w:space="12"/>
        </w:pBdr>
        <w:spacing w:after="400"/>
        <w:jc w:val="center"/>
      </w:pPr>
      <w:r>
        <w:rPr>
          <w:rFonts w:ascii="Arial" w:cs="Arial" w:eastAsia="Arial" w:hAnsi="Arial"/>
          <w:color w:val="2E86C1"/>
          <w:sz w:val="24"/>
          <w:szCs w:val="24"/>
        </w:rPr>
        <w:t xml:space="preserve">Planta Llave en Mano de Galvanizado por Inmersión en Caliente y Cobreado Electrolítico</w:t>
      </w:r>
    </w:p>
    <w:p>
      <w:pPr>
        <w:spacing w:before="200" w:after="60"/>
        <w:jc w:val="center"/>
      </w:pPr>
      <w:r>
        <w:rPr>
          <w:rFonts w:ascii="Arial" w:cs="Arial" w:eastAsia="Arial" w:hAnsi="Arial"/>
          <w:color w:val="555555"/>
          <w:sz w:val="24"/>
          <w:szCs w:val="24"/>
        </w:rPr>
        <w:t xml:space="preserve">Barquisimeto, Estado Lara, Venezuela</w:t>
      </w:r>
    </w:p>
    <w:p>
      <w:pPr>
        <w:spacing w:after="60"/>
        <w:jc w:val="center"/>
      </w:pPr>
      <w:r>
        <w:rPr>
          <w:rFonts w:ascii="Arial" w:cs="Arial" w:eastAsia="Arial" w:hAnsi="Arial"/>
          <w:b/>
          <w:bCs/>
          <w:color w:val="0D2137"/>
          <w:sz w:val="28"/>
          <w:szCs w:val="28"/>
        </w:rPr>
        <w:t xml:space="preserve">Precio de Venta: $1.000.000 USD</w:t>
      </w:r>
    </w:p>
    <w:p>
      <w:pPr>
        <w:spacing w:after="400"/>
        <w:jc w:val="center"/>
      </w:pPr>
      <w:r>
        <w:rPr>
          <w:rFonts w:ascii="Arial" w:cs="Arial" w:eastAsia="Arial" w:hAnsi="Arial"/>
          <w:color w:val="777777"/>
          <w:sz w:val="20"/>
          <w:szCs w:val="20"/>
        </w:rPr>
        <w:t xml:space="preserve">Incluye 3 Galpones (Propios) | Todo el Equipamiento | Sin Deudas | Lista para Producir</w:t>
      </w:r>
    </w:p>
    <w:p>
      <w:pPr>
        <w:spacing w:before="600"/>
      </w:pPr>
    </w:p>
    <w:p>
      <w:pPr>
        <w:jc w:val="center"/>
      </w:pPr>
      <w:r>
        <w:rPr>
          <w:rFonts w:ascii="Arial" w:cs="Arial" w:eastAsia="Arial" w:hAnsi="Arial"/>
          <w:b/>
          <w:bCs/>
          <w:color w:val="AAAAAA"/>
          <w:sz w:val="20"/>
          <w:szCs w:val="20"/>
        </w:rPr>
        <w:t xml:space="preserve">CONFIDENCIAL</w:t>
      </w:r>
    </w:p>
    <w:p>
      <w:pPr>
        <w:jc w:val="center"/>
      </w:pPr>
      <w:r>
        <w:rPr>
          <w:rFonts w:ascii="Arial" w:cs="Arial" w:eastAsia="Arial" w:hAnsi="Arial"/>
          <w:color w:val="AAAAAA"/>
          <w:sz w:val="20"/>
          <w:szCs w:val="20"/>
        </w:rPr>
        <w:t xml:space="preserve">Febrero 2026</w:t>
      </w:r>
    </w:p>
    <w:p>
      <w:pPr>
        <w:sectPr>
          <w:pgSz w:w="12240" w:h="15840" w:orient="portrait"/>
          <w:pgMar w:top="1440" w:right="1440" w:bottom="1440" w:left="1440" w:header="708" w:footer="708" w:gutter="0"/>
          <w:pgNumType/>
          <w:docGrid w:linePitch="360"/>
        </w:sectPr>
      </w:pPr>
    </w:p>
    <w:p>
      <w:pPr>
        <w:pStyle w:val="Heading1"/>
        <w:pBdr>
          <w:bottom w:val="single" w:color="D4A017" w:sz="6" w:space="6"/>
        </w:pBdr>
        <w:spacing w:before="400" w:after="200"/>
      </w:pPr>
      <w:r>
        <w:rPr>
          <w:rFonts w:ascii="Arial" w:cs="Arial" w:eastAsia="Arial" w:hAnsi="Arial"/>
          <w:b/>
          <w:bCs/>
          <w:color w:val="0D2137"/>
          <w:sz w:val="32"/>
          <w:szCs w:val="32"/>
        </w:rPr>
        <w:t xml:space="preserve">Resumen Ejecutivo</w:t>
      </w:r>
    </w:p>
    <w:p>
      <w:pPr>
        <w:spacing w:before="80" w:after="80"/>
      </w:pPr>
      <w:r>
        <w:rPr>
          <w:rFonts w:ascii="Arial" w:cs="Arial" w:eastAsia="Arial" w:hAnsi="Arial"/>
          <w:sz w:val="22"/>
          <w:szCs w:val="22"/>
        </w:rPr>
        <w:t xml:space="preserve">Prensados y Galvanizados de Lara, S.A. (PYG Lara) es una planta llave en mano de galvanizado por inmersión en caliente y cobreado electrolítico ubicada en Barquisimeto, la cuarta ciudad más grande de Venezuela y un importante centro industrial en la región centro-occidental del país. La empresa se ofrece en venta por $1.000.000 USD, incluyendo tres galpones propios, toda la maquinaria y equipos (algunos aún sellados de fábrica), sin deudas ni gravámenes legales.</w:t>
      </w:r>
    </w:p>
    <w:p>
      <w:pPr>
        <w:spacing w:before="80" w:after="80"/>
      </w:pPr>
      <w:r>
        <w:rPr>
          <w:rFonts w:ascii="Arial" w:cs="Arial" w:eastAsia="Arial" w:hAnsi="Arial"/>
          <w:sz w:val="22"/>
          <w:szCs w:val="22"/>
        </w:rPr>
        <w:t xml:space="preserve">La instalación es operativa de inmediato — solo requiere zinc como materia prima para iniciar producción. Esta adquisición representa una oportunidad única de ingresar al mercado industrial venezolano en un momento en que el país se encuentra al inicio de lo que los analistas proyectan será una de las mayores reconstrucciones de infraestructura petrolera de la historia moderna.</w:t>
      </w:r>
    </w:p>
    <w:p>
      <w:pPr>
        <w:pBdr>
          <w:left w:val="single" w:color="2E86C1" w:sz="12" w:space="8"/>
        </w:pBdr>
        <w:shd w:fill="D6EAF8" w:val="clear"/>
        <w:spacing w:before="160" w:after="160"/>
      </w:pPr>
      <w:r>
        <w:rPr>
          <w:rFonts w:ascii="Arial" w:cs="Arial" w:eastAsia="Arial" w:hAnsi="Arial"/>
          <w:b/>
          <w:bCs/>
          <w:color w:val="0D2137"/>
          <w:sz w:val="22"/>
          <w:szCs w:val="22"/>
        </w:rPr>
        <w:t xml:space="preserve">Términos Clave: $1M precio de venta | 3 propiedades propias | Sin deudas | Equipos listos | 400 ton/mes galvanizado | 936 varillas/día cobre</w:t>
      </w:r>
    </w:p>
    <w:p>
      <w:pPr>
        <w:pStyle w:val="Heading1"/>
        <w:pBdr>
          <w:bottom w:val="single" w:color="D4A017" w:sz="6" w:space="6"/>
        </w:pBdr>
        <w:spacing w:before="400" w:after="200"/>
      </w:pPr>
      <w:r>
        <w:rPr>
          <w:rFonts w:ascii="Arial" w:cs="Arial" w:eastAsia="Arial" w:hAnsi="Arial"/>
          <w:b/>
          <w:bCs/>
          <w:color w:val="0D2137"/>
          <w:sz w:val="32"/>
          <w:szCs w:val="32"/>
        </w:rPr>
        <w:t xml:space="preserve">Resumen de Estado de Resultados (P&amp;L)</w:t>
      </w:r>
    </w:p>
    <w:p>
      <w:pPr>
        <w:pStyle w:val="Heading2"/>
        <w:spacing w:before="280" w:after="140"/>
      </w:pPr>
      <w:r>
        <w:rPr>
          <w:rFonts w:ascii="Arial" w:cs="Arial" w:eastAsia="Arial" w:hAnsi="Arial"/>
          <w:b/>
          <w:bCs/>
          <w:color w:val="1B4F72"/>
          <w:sz w:val="26"/>
          <w:szCs w:val="26"/>
        </w:rPr>
        <w:t xml:space="preserve">Márgenes Operativos</w:t>
      </w:r>
    </w:p>
    <w:p>
      <w:pPr>
        <w:spacing w:before="80" w:after="80"/>
      </w:pPr>
      <w:r>
        <w:rPr>
          <w:rFonts w:ascii="Arial" w:cs="Arial" w:eastAsia="Arial" w:hAnsi="Arial"/>
          <w:sz w:val="22"/>
          <w:szCs w:val="22"/>
        </w:rPr>
        <w:t xml:space="preserve">La utilidad anual estimada de la planta se ubica entre el 28% y el 32% sobre los costos de producción. Esto se alinea con las regulaciones vigentes, que establecen un margen máximo de beneficio del 30% sobre la estructura de costos de producción.</w:t>
      </w:r>
    </w:p>
    <w:p>
      <w:pPr>
        <w:spacing w:before="80" w:after="80"/>
      </w:pPr>
      <w:r>
        <w:rPr>
          <w:rFonts w:ascii="Arial" w:cs="Arial" w:eastAsia="Arial" w:hAnsi="Arial"/>
          <w:sz w:val="22"/>
          <w:szCs w:val="22"/>
        </w:rPr>
        <w:t xml:space="preserve">No obstante, mediante optimización económica interna, la empresa ha logrado mantener un markup interno de aproximadamente 50% sobre los costos. Este margen es flexible: cuando un cliente suministra material de manera constante y en altos volúmenes, el margen de utilidad interna se reduce, ya que la alta rotación de volumen garantiza un flujo operativo constante.</w:t>
      </w:r>
    </w:p>
    <w:p>
      <w:pPr>
        <w:pStyle w:val="Heading2"/>
        <w:spacing w:before="280" w:after="140"/>
      </w:pPr>
      <w:r>
        <w:rPr>
          <w:rFonts w:ascii="Arial" w:cs="Arial" w:eastAsia="Arial" w:hAnsi="Arial"/>
          <w:b/>
          <w:bCs/>
          <w:color w:val="1B4F72"/>
          <w:sz w:val="26"/>
          <w:szCs w:val="26"/>
        </w:rPr>
        <w:t xml:space="preserve">Nota sobre Pérdidas Históricas</w:t>
      </w:r>
    </w:p>
    <w:p>
      <w:pPr>
        <w:spacing w:before="80" w:after="80"/>
      </w:pPr>
      <w:r>
        <w:rPr>
          <w:rFonts w:ascii="Arial" w:cs="Arial" w:eastAsia="Arial" w:hAnsi="Arial"/>
          <w:sz w:val="22"/>
          <w:szCs w:val="22"/>
        </w:rPr>
        <w:t xml:space="preserve">El año de mayor déficit fue 2020. La economía se paralizó debido a la pandemia del COVID-19 y las operaciones de galvanizado no fueron clasificadas dentro de los sectores autorizados como esenciales. A pesar de no estar en producción activa, la empresa garantizó y cubrió la nómina completa de todos sus empleados.</w:t>
      </w:r>
    </w:p>
    <w:p>
      <w:pPr>
        <w:pBdr>
          <w:left w:val="single" w:color="2E86C1" w:sz="12" w:space="8"/>
        </w:pBdr>
        <w:shd w:fill="D6EAF8" w:val="clear"/>
        <w:spacing w:before="160" w:after="160"/>
      </w:pPr>
      <w:r>
        <w:rPr>
          <w:rFonts w:ascii="Arial" w:cs="Arial" w:eastAsia="Arial" w:hAnsi="Arial"/>
          <w:b/>
          <w:bCs/>
          <w:color w:val="0D2137"/>
          <w:sz w:val="22"/>
          <w:szCs w:val="22"/>
        </w:rPr>
        <w:t xml:space="preserve">Las pérdidas históricas reflejan la crisis macroeconómica de Venezuela (contracción del PIB del 75-80% entre 2012-2020) y la pandemia — no un fracaso del modelo de negocio. Con la reapertura petrolera, las condiciones de mercado que generaron esas pérdidas se han invertido fundamentalmente.</w:t>
      </w:r>
    </w:p>
    <w:p>
      <w:pPr>
        <w:pStyle w:val="Heading2"/>
        <w:spacing w:before="280" w:after="140"/>
      </w:pPr>
      <w:r>
        <w:rPr>
          <w:rFonts w:ascii="Arial" w:cs="Arial" w:eastAsia="Arial" w:hAnsi="Arial"/>
          <w:b/>
          <w:bCs/>
          <w:color w:val="1B4F72"/>
          <w:sz w:val="26"/>
          <w:szCs w:val="26"/>
        </w:rPr>
        <w:t xml:space="preserve">Potencial de Desregulación del Margen</w:t>
      </w:r>
    </w:p>
    <w:p>
      <w:pPr>
        <w:spacing w:before="80" w:after="80"/>
      </w:pPr>
      <w:r>
        <w:rPr>
          <w:rFonts w:ascii="Arial" w:cs="Arial" w:eastAsia="Arial" w:hAnsi="Arial"/>
          <w:sz w:val="22"/>
          <w:szCs w:val="22"/>
        </w:rPr>
        <w:t xml:space="preserve">La regulación actual de precios que limita los márgenes al 30% proviene del marco de control de precios de la era Maduro (Ley de Precios Justos / SUNDDE). Con el cambio de régimen de enero de 2026, el nuevo gobierno ha demostrado una clara dirección hacia la desregulación y los precios de mercado:</w:t>
      </w:r>
    </w:p>
    <w:p>
      <w:pPr>
        <w:pStyle w:val="ListParagraph"/>
        <w:numPr>
          <w:ilvl w:val="0"/>
          <w:numId w:val="2"/>
        </w:numPr>
        <w:spacing w:before="40" w:after="40"/>
      </w:pPr>
      <w:r>
        <w:rPr>
          <w:rFonts w:ascii="Arial" w:cs="Arial" w:eastAsia="Arial" w:hAnsi="Arial"/>
          <w:sz w:val="22"/>
          <w:szCs w:val="22"/>
        </w:rPr>
        <w:t xml:space="preserve">La nueva ley de hidrocarburos redujo las regalías del 30% al 15% para atraer inversión extranjera.</w:t>
      </w:r>
    </w:p>
    <w:p>
      <w:pPr>
        <w:pStyle w:val="ListParagraph"/>
        <w:numPr>
          <w:ilvl w:val="0"/>
          <w:numId w:val="2"/>
        </w:numPr>
        <w:spacing w:before="40" w:after="40"/>
      </w:pPr>
      <w:r>
        <w:rPr>
          <w:rFonts w:ascii="Arial" w:cs="Arial" w:eastAsia="Arial" w:hAnsi="Arial"/>
          <w:sz w:val="22"/>
          <w:szCs w:val="22"/>
        </w:rPr>
        <w:t xml:space="preserve">Se permitió a empresas extranjeras asumir gestión técnica, operativa y financiera de empresas mixtas.</w:t>
      </w:r>
    </w:p>
    <w:p>
      <w:pPr>
        <w:pStyle w:val="ListParagraph"/>
        <w:numPr>
          <w:ilvl w:val="0"/>
          <w:numId w:val="2"/>
        </w:numPr>
        <w:spacing w:before="40" w:after="40"/>
      </w:pPr>
      <w:r>
        <w:rPr>
          <w:rFonts w:ascii="Arial" w:cs="Arial" w:eastAsia="Arial" w:hAnsi="Arial"/>
          <w:sz w:val="22"/>
          <w:szCs w:val="22"/>
        </w:rPr>
        <w:t xml:space="preserve">Las sanciones se levantaron parcialmente para que Venezuela pueda vender petróleo a precios de mercado.</w:t>
      </w:r>
    </w:p>
    <w:p>
      <w:pPr>
        <w:spacing w:before="40" w:after="40"/>
      </w:pPr>
      <w:r>
        <w:rPr>
          <w:rFonts w:ascii="Arial" w:cs="Arial" w:eastAsia="Arial" w:hAnsi="Arial"/>
          <w:i/>
          <w:iCs/>
          <w:color w:val="888888"/>
          <w:sz w:val="16"/>
          <w:szCs w:val="16"/>
        </w:rPr>
        <w:t xml:space="preserve">Fuente: Al Jazeera, 23 de enero 2026; Columbia University Center on Global Energy Policy, 8 de enero 2026</w:t>
      </w:r>
    </w:p>
    <w:p>
      <w:pPr>
        <w:spacing w:before="80" w:after="80"/>
      </w:pPr>
      <w:r>
        <w:rPr>
          <w:rFonts w:ascii="Arial" w:cs="Arial" w:eastAsia="Arial" w:hAnsi="Arial"/>
          <w:sz w:val="22"/>
          <w:szCs w:val="22"/>
        </w:rPr>
        <w:t xml:space="preserve">Si las regulaciones de precios se flexibilizan en línea con esta tendencia desregulatoria, el margen de utilidad de la planta podría incrementarse del 28-32% actual hasta el 50% o más que ya logra internamente, mejorando significativamente los retornos de inversión.</w:t>
      </w:r>
    </w:p>
    <w:p>
      <w:pPr>
        <w:pStyle w:val="Heading2"/>
        <w:spacing w:before="280" w:after="140"/>
      </w:pPr>
      <w:r>
        <w:rPr>
          <w:rFonts w:ascii="Arial" w:cs="Arial" w:eastAsia="Arial" w:hAnsi="Arial"/>
          <w:b/>
          <w:bCs/>
          <w:color w:val="1B4F72"/>
          <w:sz w:val="26"/>
          <w:szCs w:val="26"/>
        </w:rPr>
        <w:t xml:space="preserve">Mantenimiento Requerido para Arranque</w:t>
      </w:r>
    </w:p>
    <w:p>
      <w:pPr>
        <w:spacing w:before="80" w:after="80"/>
      </w:pPr>
      <w:r>
        <w:rPr>
          <w:rFonts w:ascii="Arial" w:cs="Arial" w:eastAsia="Arial" w:hAnsi="Arial"/>
          <w:sz w:val="22"/>
          <w:szCs w:val="22"/>
        </w:rPr>
        <w:t xml:space="preserve">Se han identificado las siguientes acciones de mantenimiento preventivo y correctivo previo al arranque:</w:t>
      </w:r>
    </w:p>
    <w:p>
      <w:pPr>
        <w:pStyle w:val="ListParagraph"/>
        <w:numPr>
          <w:ilvl w:val="0"/>
          <w:numId w:val="2"/>
        </w:numPr>
        <w:spacing w:before="40" w:after="40"/>
      </w:pPr>
      <w:r>
        <w:rPr>
          <w:rFonts w:ascii="Arial" w:cs="Arial" w:eastAsia="Arial" w:hAnsi="Arial"/>
          <w:sz w:val="22"/>
          <w:szCs w:val="22"/>
        </w:rPr>
        <w:t xml:space="preserve">Puentes grúa: Mantenimiento preventivo incluyendo verificación de soportes de carga, sistemas de freno y lubricación de componentes móviles.</w:t>
      </w:r>
    </w:p>
    <w:p>
      <w:pPr>
        <w:pStyle w:val="ListParagraph"/>
        <w:numPr>
          <w:ilvl w:val="0"/>
          <w:numId w:val="2"/>
        </w:numPr>
        <w:spacing w:before="40" w:after="40"/>
      </w:pPr>
      <w:r>
        <w:rPr>
          <w:rFonts w:ascii="Arial" w:cs="Arial" w:eastAsia="Arial" w:hAnsi="Arial"/>
          <w:sz w:val="22"/>
          <w:szCs w:val="22"/>
        </w:rPr>
        <w:t xml:space="preserve">Caldero de 7 metros: Reemplazo completo de quemadores para optimizar eficiencia térmica.</w:t>
      </w:r>
    </w:p>
    <w:p>
      <w:pPr>
        <w:pStyle w:val="ListParagraph"/>
        <w:numPr>
          <w:ilvl w:val="0"/>
          <w:numId w:val="2"/>
        </w:numPr>
        <w:spacing w:before="40" w:after="40"/>
      </w:pPr>
      <w:r>
        <w:rPr>
          <w:rFonts w:ascii="Arial" w:cs="Arial" w:eastAsia="Arial" w:hAnsi="Arial"/>
          <w:sz w:val="22"/>
          <w:szCs w:val="22"/>
        </w:rPr>
        <w:t xml:space="preserve">Planta de Cobre — Rectificadores: Renovación de unidades de protección catódica para asegurar flujo constante de corriente y mitigar desgaste por inactividad.</w:t>
      </w:r>
    </w:p>
    <w:p>
      <w:pPr>
        <w:pStyle w:val="ListParagraph"/>
        <w:numPr>
          <w:ilvl w:val="0"/>
          <w:numId w:val="2"/>
        </w:numPr>
        <w:spacing w:before="40" w:after="40"/>
      </w:pPr>
      <w:r>
        <w:rPr>
          <w:rFonts w:ascii="Arial" w:cs="Arial" w:eastAsia="Arial" w:hAnsi="Arial"/>
          <w:sz w:val="22"/>
          <w:szCs w:val="22"/>
        </w:rPr>
        <w:t xml:space="preserve">Planta de Cobre — Tanques: Aplicación de recubrimiento de fibra de vidrio para reforzar la integridad estructural y maximizar resistencia a agentes corrosivos.</w:t>
      </w:r>
    </w:p>
    <w:p>
      <w:pPr>
        <w:spacing w:before="80" w:after="80"/>
      </w:pPr>
      <w:r>
        <w:rPr>
          <w:rFonts w:ascii="Arial" w:cs="Arial" w:eastAsia="Arial" w:hAnsi="Arial"/>
          <w:i/>
          <w:iCs/>
          <w:color w:val="666666"/>
          <w:sz w:val="22"/>
          <w:szCs w:val="22"/>
        </w:rPr>
        <w:t xml:space="preserve">Nota: Todos estos son mantenimientos menores y rutinarios. Ningún componente estructural está comprometido.</w:t>
      </w:r>
    </w:p>
    <w:p>
      <w:r>
        <w:br w:type="page"/>
      </w:r>
    </w:p>
    <w:p>
      <w:pPr>
        <w:pStyle w:val="Heading1"/>
        <w:pBdr>
          <w:bottom w:val="single" w:color="D4A017" w:sz="6" w:space="6"/>
        </w:pBdr>
        <w:spacing w:before="400" w:after="200"/>
      </w:pPr>
      <w:r>
        <w:rPr>
          <w:rFonts w:ascii="Arial" w:cs="Arial" w:eastAsia="Arial" w:hAnsi="Arial"/>
          <w:b/>
          <w:bCs/>
          <w:color w:val="0D2137"/>
          <w:sz w:val="32"/>
          <w:szCs w:val="32"/>
        </w:rPr>
        <w:t xml:space="preserve">Bienes Inmuebles: Tres Galpones Propios</w:t>
      </w:r>
    </w:p>
    <w:p>
      <w:pPr>
        <w:pStyle w:val="Heading2"/>
        <w:spacing w:before="280" w:after="140"/>
      </w:pPr>
      <w:r>
        <w:rPr>
          <w:rFonts w:ascii="Arial" w:cs="Arial" w:eastAsia="Arial" w:hAnsi="Arial"/>
          <w:b/>
          <w:bCs/>
          <w:color w:val="1B4F72"/>
          <w:sz w:val="26"/>
          <w:szCs w:val="26"/>
        </w:rPr>
        <w:t xml:space="preserve">Descripción de la Propiedad</w:t>
      </w:r>
    </w:p>
    <w:p>
      <w:pPr>
        <w:spacing w:before="80" w:after="80"/>
      </w:pPr>
      <w:r>
        <w:rPr>
          <w:rFonts w:ascii="Arial" w:cs="Arial" w:eastAsia="Arial" w:hAnsi="Arial"/>
          <w:sz w:val="22"/>
          <w:szCs w:val="22"/>
        </w:rPr>
        <w:t xml:space="preserve">La venta incluye tres (3) galpones de propiedad plena, sin arrendamiento ni hipotecas, ubicados en zona industrial de Barquisimeto, junto a la intersección de vías principales. La ubicación ofrece fácil acceso y salida para vehículos pesados, gandolas y transporte de carga, requisito esencial para operaciones de galvanizado a escala industrial.</w:t>
      </w:r>
    </w:p>
    <w:p>
      <w:pPr>
        <w:pStyle w:val="ListParagraph"/>
        <w:numPr>
          <w:ilvl w:val="0"/>
          <w:numId w:val="2"/>
        </w:numPr>
        <w:spacing w:before="40" w:after="40"/>
      </w:pPr>
      <w:r>
        <w:rPr>
          <w:rFonts w:ascii="Arial" w:cs="Arial" w:eastAsia="Arial" w:hAnsi="Arial"/>
          <w:sz w:val="22"/>
          <w:szCs w:val="22"/>
        </w:rPr>
        <w:t xml:space="preserve">Título de propiedad limpio sobre las tres propiedades</w:t>
      </w:r>
    </w:p>
    <w:p>
      <w:pPr>
        <w:pStyle w:val="ListParagraph"/>
        <w:numPr>
          <w:ilvl w:val="0"/>
          <w:numId w:val="2"/>
        </w:numPr>
        <w:spacing w:before="40" w:after="40"/>
      </w:pPr>
      <w:r>
        <w:rPr>
          <w:rFonts w:ascii="Arial" w:cs="Arial" w:eastAsia="Arial" w:hAnsi="Arial"/>
          <w:sz w:val="22"/>
          <w:szCs w:val="22"/>
        </w:rPr>
        <w:t xml:space="preserve">Zona industrial consolidada — bienes raíces prime para uso industrial</w:t>
      </w:r>
    </w:p>
    <w:p>
      <w:pPr>
        <w:pStyle w:val="ListParagraph"/>
        <w:numPr>
          <w:ilvl w:val="0"/>
          <w:numId w:val="2"/>
        </w:numPr>
        <w:spacing w:before="40" w:after="40"/>
      </w:pPr>
      <w:r>
        <w:rPr>
          <w:rFonts w:ascii="Arial" w:cs="Arial" w:eastAsia="Arial" w:hAnsi="Arial"/>
          <w:sz w:val="22"/>
          <w:szCs w:val="22"/>
        </w:rPr>
        <w:t xml:space="preserve">Acceso inmediato a vías principales y red de autopistas de Barquisimeto</w:t>
      </w:r>
    </w:p>
    <w:p>
      <w:pPr>
        <w:pStyle w:val="ListParagraph"/>
        <w:numPr>
          <w:ilvl w:val="0"/>
          <w:numId w:val="2"/>
        </w:numPr>
        <w:spacing w:before="40" w:after="40"/>
      </w:pPr>
      <w:r>
        <w:rPr>
          <w:rFonts w:ascii="Arial" w:cs="Arial" w:eastAsia="Arial" w:hAnsi="Arial"/>
          <w:sz w:val="22"/>
          <w:szCs w:val="22"/>
        </w:rPr>
        <w:t xml:space="preserve">Sin deudas, gravámenes ni compromisos legales</w:t>
      </w:r>
    </w:p>
    <w:p>
      <w:pPr>
        <w:pStyle w:val="Heading2"/>
        <w:spacing w:before="280" w:after="140"/>
      </w:pPr>
      <w:r>
        <w:rPr>
          <w:rFonts w:ascii="Arial" w:cs="Arial" w:eastAsia="Arial" w:hAnsi="Arial"/>
          <w:b/>
          <w:bCs/>
          <w:color w:val="1B4F72"/>
          <w:sz w:val="26"/>
          <w:szCs w:val="26"/>
        </w:rPr>
        <w:t xml:space="preserve">Valoración Comparativa del Mercado Inmobiliario Industrial</w:t>
      </w:r>
    </w:p>
    <w:p>
      <w:pPr>
        <w:spacing w:before="80" w:after="80"/>
      </w:pPr>
      <w:r>
        <w:rPr>
          <w:rFonts w:ascii="Arial" w:cs="Arial" w:eastAsia="Arial" w:hAnsi="Arial"/>
          <w:sz w:val="22"/>
          <w:szCs w:val="22"/>
        </w:rPr>
        <w:t xml:space="preserve">Para estimar el valor de los tres galpones, se recopilaron comparables de ventas recientes de galpones industriales en las zonas industriales de Barquisimeto: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1600"/>
        <w:gridCol w:w="1760"/>
      </w:tblGrid>
      <w:tr>
        <w:tc>
          <w:tcPr>
            <w:tcW w:type="dxa" w:w="2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Propiedad Comparable</w:t>
            </w:r>
          </w:p>
        </w:tc>
        <w:tc>
          <w:tcPr>
            <w:tcW w:type="dxa" w:w="16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Superficie</w:t>
            </w:r>
          </w:p>
        </w:tc>
        <w:tc>
          <w:tcPr>
            <w:tcW w:type="dxa" w:w="16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Precio (USD)</w:t>
            </w:r>
          </w:p>
        </w:tc>
        <w:tc>
          <w:tcPr>
            <w:tcW w:type="dxa" w:w="16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USD/m²</w:t>
            </w:r>
          </w:p>
        </w:tc>
        <w:tc>
          <w:tcPr>
            <w:tcW w:type="dxa" w:w="176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Fuente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Galpón Zona Industrial II (conjunto cerrado)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405 m²</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$110.000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$272</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Area Inmuebles</w:t>
            </w:r>
          </w:p>
        </w:tc>
      </w:tr>
      <w:tr>
        <w:tc>
          <w:tcPr>
            <w:tcW w:type="dxa" w:w="28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Galpón Zona Industrial III (nave + cava)</w:t>
            </w:r>
          </w:p>
        </w:tc>
        <w:tc>
          <w:tcPr>
            <w:tcW w:type="dxa" w:w="16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3.000 m²</w:t>
            </w:r>
          </w:p>
        </w:tc>
        <w:tc>
          <w:tcPr>
            <w:tcW w:type="dxa" w:w="16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$800.000</w:t>
            </w:r>
          </w:p>
        </w:tc>
        <w:tc>
          <w:tcPr>
            <w:tcW w:type="dxa" w:w="16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$267</w:t>
            </w:r>
          </w:p>
        </w:tc>
        <w:tc>
          <w:tcPr>
            <w:tcW w:type="dxa" w:w="17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Open House Inmueble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Galpón Zona Industrial II (complejo privado)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~1.000 m² est.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$190.000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~$190</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Rentahouse</w:t>
            </w:r>
          </w:p>
        </w:tc>
      </w:tr>
      <w:tr>
        <w:tc>
          <w:tcPr>
            <w:tcW w:type="dxa" w:w="28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 Galpones adosados Zona Industrial II</w:t>
            </w:r>
          </w:p>
        </w:tc>
        <w:tc>
          <w:tcPr>
            <w:tcW w:type="dxa" w:w="16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2.000 m² total</w:t>
            </w:r>
          </w:p>
        </w:tc>
        <w:tc>
          <w:tcPr>
            <w:tcW w:type="dxa" w:w="16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En venta</w:t>
            </w:r>
          </w:p>
        </w:tc>
        <w:tc>
          <w:tcPr>
            <w:tcW w:type="dxa" w:w="16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w:t>
            </w:r>
          </w:p>
        </w:tc>
        <w:tc>
          <w:tcPr>
            <w:tcW w:type="dxa" w:w="17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Zoe Soluciones</w:t>
            </w:r>
          </w:p>
        </w:tc>
      </w:tr>
    </w:tbl>
    <w:p>
      <w:pPr>
        <w:spacing w:before="40" w:after="40"/>
      </w:pPr>
      <w:r>
        <w:rPr>
          <w:rFonts w:ascii="Arial" w:cs="Arial" w:eastAsia="Arial" w:hAnsi="Arial"/>
          <w:i/>
          <w:iCs/>
          <w:color w:val="888888"/>
          <w:sz w:val="16"/>
          <w:szCs w:val="16"/>
        </w:rPr>
        <w:t xml:space="preserve">Fuente: Listados activos en Area Inmuebles, Open House Inmueble, Rentahouse.com.ve, y Zoe Soluciones Inmobiliarias, consultados en febrero 2026</w:t>
      </w:r>
    </w:p>
    <w:p>
      <w:pPr>
        <w:spacing w:before="200"/>
      </w:pPr>
    </w:p>
    <w:p>
      <w:pPr>
        <w:spacing w:before="80" w:after="80"/>
      </w:pPr>
      <w:r>
        <w:rPr>
          <w:rFonts w:ascii="Arial" w:cs="Arial" w:eastAsia="Arial" w:hAnsi="Arial"/>
          <w:b/>
          <w:bCs/>
          <w:sz w:val="22"/>
          <w:szCs w:val="22"/>
        </w:rPr>
        <w:t xml:space="preserve">Rango de precio observado en zona industrial de Barquisimeto: $190 - $272 USD por metro cuadrado.</w:t>
      </w:r>
    </w:p>
    <w:p>
      <w:pPr>
        <w:pStyle w:val="Heading2"/>
        <w:spacing w:before="280" w:after="140"/>
      </w:pPr>
      <w:r>
        <w:rPr>
          <w:rFonts w:ascii="Arial" w:cs="Arial" w:eastAsia="Arial" w:hAnsi="Arial"/>
          <w:b/>
          <w:bCs/>
          <w:color w:val="1B4F72"/>
          <w:sz w:val="26"/>
          <w:szCs w:val="26"/>
        </w:rPr>
        <w:t xml:space="preserve">Estimación de Valor Inmobiliario</w:t>
      </w:r>
    </w:p>
    <w:p>
      <w:pPr>
        <w:spacing w:before="80" w:after="80"/>
      </w:pPr>
      <w:r>
        <w:rPr>
          <w:rFonts w:ascii="Arial" w:cs="Arial" w:eastAsia="Arial" w:hAnsi="Arial"/>
          <w:sz w:val="22"/>
          <w:szCs w:val="22"/>
        </w:rPr>
        <w:t xml:space="preserve">Sin conocer la superficie exacta de los tres galpones de PYG Lara, se presenta una tabla de escenarios conservadores basados en los comparables de mercado: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Superficie Total Estimada</w:t>
            </w:r>
          </w:p>
        </w:tc>
        <w:tc>
          <w:tcPr>
            <w:tcW w:type="dxa" w:w="234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Precio Bajo ($190/m²)</w:t>
            </w:r>
          </w:p>
        </w:tc>
        <w:tc>
          <w:tcPr>
            <w:tcW w:type="dxa" w:w="234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Precio Medio ($230/m²)</w:t>
            </w:r>
          </w:p>
        </w:tc>
        <w:tc>
          <w:tcPr>
            <w:tcW w:type="dxa" w:w="234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Precio Alto ($272/m²)</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1.500 m² (500 m² x 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$285.000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$345.000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$408.000</w:t>
            </w:r>
          </w:p>
        </w:tc>
      </w:tr>
      <w:tr>
        <w:tc>
          <w:tcPr>
            <w:tcW w:type="dxa" w:w="234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2.000 m²</w:t>
            </w:r>
          </w:p>
        </w:tc>
        <w:tc>
          <w:tcPr>
            <w:tcW w:type="dxa" w:w="234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$380.000</w:t>
            </w:r>
          </w:p>
        </w:tc>
        <w:tc>
          <w:tcPr>
            <w:tcW w:type="dxa" w:w="234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$460.000</w:t>
            </w:r>
          </w:p>
        </w:tc>
        <w:tc>
          <w:tcPr>
            <w:tcW w:type="dxa" w:w="234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$544.000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3.000 m² (1.000 m² x 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$570.000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$690.000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$816.000</w:t>
            </w:r>
          </w:p>
        </w:tc>
      </w:tr>
    </w:tbl>
    <w:p>
      <w:pPr>
        <w:spacing w:before="200"/>
      </w:pPr>
    </w:p>
    <w:p>
      <w:pPr>
        <w:pBdr>
          <w:left w:val="single" w:color="2E7D32" w:sz="12" w:space="8"/>
        </w:pBdr>
        <w:shd w:fill="E8F5E9" w:val="clear"/>
        <w:spacing w:before="160" w:after="160"/>
      </w:pPr>
      <w:r>
        <w:rPr>
          <w:rFonts w:ascii="Arial" w:cs="Arial" w:eastAsia="Arial" w:hAnsi="Arial"/>
          <w:b/>
          <w:bCs/>
          <w:color w:val="1B5E20"/>
          <w:sz w:val="22"/>
          <w:szCs w:val="22"/>
        </w:rPr>
        <w:t xml:space="preserve">Incluso en el escenario más conservador (1.500 m² a $190/m²), solo los inmuebles representan $285.000 del precio de venta de $1M. Sumando el valor de reposición del equipo ($570.000+ solo del horno principal), los activos físicos superan ampliamente el precio de venta.</w:t>
      </w:r>
    </w:p>
    <w:p>
      <w:pPr>
        <w:pStyle w:val="Heading2"/>
        <w:spacing w:before="280" w:after="140"/>
      </w:pPr>
      <w:r>
        <w:rPr>
          <w:rFonts w:ascii="Arial" w:cs="Arial" w:eastAsia="Arial" w:hAnsi="Arial"/>
          <w:b/>
          <w:bCs/>
          <w:color w:val="1B4F72"/>
          <w:sz w:val="26"/>
          <w:szCs w:val="26"/>
        </w:rPr>
        <w:t xml:space="preserve">Valor Adicional: Alquiler como Fuente de Ingresos</w:t>
      </w:r>
    </w:p>
    <w:p>
      <w:pPr>
        <w:spacing w:before="80" w:after="80"/>
      </w:pPr>
      <w:r>
        <w:rPr>
          <w:rFonts w:ascii="Arial" w:cs="Arial" w:eastAsia="Arial" w:hAnsi="Arial"/>
          <w:sz w:val="22"/>
          <w:szCs w:val="22"/>
        </w:rPr>
        <w:t xml:space="preserve">Los galpones industriales en Barquisimeto generan alquileres de $1.200 a $2.500 USD/mes por unidad. Con tres galpones, incluso alquilando solo los dos secundarios (mientras el principal opera la planta), se podría generar $2.400 - $5.000 USD mensuales en ingresos de alquiler como fuente adicional de recuperación de inversión.</w:t>
      </w:r>
    </w:p>
    <w:p>
      <w:pPr>
        <w:spacing w:before="40" w:after="40"/>
      </w:pPr>
      <w:r>
        <w:rPr>
          <w:rFonts w:ascii="Arial" w:cs="Arial" w:eastAsia="Arial" w:hAnsi="Arial"/>
          <w:i/>
          <w:iCs/>
          <w:color w:val="888888"/>
          <w:sz w:val="16"/>
          <w:szCs w:val="16"/>
        </w:rPr>
        <w:t xml:space="preserve">Fuente: BienesOnline Venezuela, Galpones en alquiler Barquisimeto, febrero 2026</w:t>
      </w:r>
    </w:p>
    <w:p>
      <w:r>
        <w:br w:type="page"/>
      </w:r>
    </w:p>
    <w:p>
      <w:pPr>
        <w:pStyle w:val="Heading1"/>
        <w:pBdr>
          <w:bottom w:val="single" w:color="D4A017" w:sz="6" w:space="6"/>
        </w:pBdr>
        <w:spacing w:before="400" w:after="200"/>
      </w:pPr>
      <w:r>
        <w:rPr>
          <w:rFonts w:ascii="Arial" w:cs="Arial" w:eastAsia="Arial" w:hAnsi="Arial"/>
          <w:b/>
          <w:bCs/>
          <w:color w:val="0D2137"/>
          <w:sz w:val="32"/>
          <w:szCs w:val="32"/>
        </w:rPr>
        <w:t xml:space="preserve">¿Por Qué Ahora? El Punto de Inflexión de Venezuela</w:t>
      </w:r>
    </w:p>
    <w:p>
      <w:pPr>
        <w:pStyle w:val="Heading2"/>
        <w:spacing w:before="280" w:after="140"/>
      </w:pPr>
      <w:r>
        <w:rPr>
          <w:rFonts w:ascii="Arial" w:cs="Arial" w:eastAsia="Arial" w:hAnsi="Arial"/>
          <w:b/>
          <w:bCs/>
          <w:color w:val="1B4F72"/>
          <w:sz w:val="26"/>
          <w:szCs w:val="26"/>
        </w:rPr>
        <w:t xml:space="preserve">La Captura de Maduro y la Reapertura del Sector Petrolero</w:t>
      </w:r>
    </w:p>
    <w:p>
      <w:pPr>
        <w:spacing w:before="80" w:after="80"/>
      </w:pPr>
      <w:r>
        <w:rPr>
          <w:rFonts w:ascii="Arial" w:cs="Arial" w:eastAsia="Arial" w:hAnsi="Arial"/>
          <w:sz w:val="22"/>
          <w:szCs w:val="22"/>
        </w:rPr>
        <w:t xml:space="preserve">El 3 de enero de 2026, fuerzas estadounidenses capturaron al presidente venezolano Nicolás Maduro, alterando fundamentalmente la trayectoria económica del país. En semanas, la presidenta interina Delcy Rodríguez anunció amplias reformas al sector de hidrocarburos diseñadas para atraer inversión extranjera.</w:t>
      </w:r>
    </w:p>
    <w:p>
      <w:pPr>
        <w:spacing w:before="40" w:after="40"/>
      </w:pPr>
      <w:r>
        <w:rPr>
          <w:rFonts w:ascii="Arial" w:cs="Arial" w:eastAsia="Arial" w:hAnsi="Arial"/>
          <w:i/>
          <w:iCs/>
          <w:color w:val="888888"/>
          <w:sz w:val="16"/>
          <w:szCs w:val="16"/>
        </w:rPr>
        <w:t xml:space="preserve">Fuente: Columbia University Center on Global Energy Policy, 8 de enero 2026; Christian Science Monitor, 3 de febrero 2026</w:t>
      </w:r>
    </w:p>
    <w:p>
      <w:pPr>
        <w:spacing w:before="80" w:after="80"/>
      </w:pPr>
      <w:r>
        <w:rPr>
          <w:rFonts w:ascii="Arial" w:cs="Arial" w:eastAsia="Arial" w:hAnsi="Arial"/>
          <w:sz w:val="22"/>
          <w:szCs w:val="22"/>
        </w:rPr>
        <w:t xml:space="preserve">La nueva ley de hidrocarburos formaliza lo que se conoce como el “modelo Chevron,” permitiendo a empresas extranjeras asumir la gestión técnica, operativa y financiera de las empresas mixtas. Las regalías se redujeron del 30% hasta un mínimo del 15% para incentivar nuevas perforaciones en áreas no desarrolladas.</w:t>
      </w:r>
    </w:p>
    <w:p>
      <w:pPr>
        <w:spacing w:before="40" w:after="40"/>
      </w:pPr>
      <w:r>
        <w:rPr>
          <w:rFonts w:ascii="Arial" w:cs="Arial" w:eastAsia="Arial" w:hAnsi="Arial"/>
          <w:i/>
          <w:iCs/>
          <w:color w:val="888888"/>
          <w:sz w:val="16"/>
          <w:szCs w:val="16"/>
        </w:rPr>
        <w:t xml:space="preserve">Fuente: Al Jazeera, 23 de enero 2026</w:t>
      </w:r>
    </w:p>
    <w:p>
      <w:pPr>
        <w:spacing w:before="80" w:after="80"/>
      </w:pPr>
      <w:r>
        <w:rPr>
          <w:rFonts w:ascii="Arial" w:cs="Arial" w:eastAsia="Arial" w:hAnsi="Arial"/>
          <w:sz w:val="22"/>
          <w:szCs w:val="22"/>
        </w:rPr>
        <w:t xml:space="preserve">Venezuela ya recibió sus primeros $300 millones de ventas de crudo a EE.UU., destinados a estabilizar el mercado cambiario. Las sanciones han sido parcialmente levantadas, permitiendo a Venezuela vender petróleo a precios de mercado.</w:t>
      </w:r>
    </w:p>
    <w:p>
      <w:pPr>
        <w:spacing w:before="40" w:after="40"/>
      </w:pPr>
      <w:r>
        <w:rPr>
          <w:rFonts w:ascii="Arial" w:cs="Arial" w:eastAsia="Arial" w:hAnsi="Arial"/>
          <w:i/>
          <w:iCs/>
          <w:color w:val="888888"/>
          <w:sz w:val="16"/>
          <w:szCs w:val="16"/>
        </w:rPr>
        <w:t xml:space="preserve">Fuente: Al Jazeera, 23 de enero 2026</w:t>
      </w:r>
    </w:p>
    <w:p>
      <w:pPr>
        <w:pStyle w:val="Heading2"/>
        <w:spacing w:before="280" w:after="140"/>
      </w:pPr>
      <w:r>
        <w:rPr>
          <w:rFonts w:ascii="Arial" w:cs="Arial" w:eastAsia="Arial" w:hAnsi="Arial"/>
          <w:b/>
          <w:bCs/>
          <w:color w:val="1B4F72"/>
          <w:sz w:val="26"/>
          <w:szCs w:val="26"/>
        </w:rPr>
        <w:t xml:space="preserve">Proyecciones de Recuperación de Producción Petrolera</w:t>
      </w:r>
    </w:p>
    <w:p>
      <w:pPr>
        <w:spacing w:before="80" w:after="80"/>
      </w:pPr>
      <w:r>
        <w:rPr>
          <w:rFonts w:ascii="Arial" w:cs="Arial" w:eastAsia="Arial" w:hAnsi="Arial"/>
          <w:sz w:val="22"/>
          <w:szCs w:val="22"/>
        </w:rPr>
        <w:t xml:space="preserve">Venezuela produce actualmente aproximadamente 800.000 barriles por día, frente a más de 3 millones de bpd a finales de los años 90. Múltiples instituciones financieras han publicado pronósticos de recuperación:</w:t>
      </w:r>
    </w:p>
    <w:p>
      <w:pPr>
        <w:pStyle w:val="ListParagraph"/>
        <w:numPr>
          <w:ilvl w:val="0"/>
          <w:numId w:val="2"/>
        </w:numPr>
        <w:spacing w:before="40" w:after="40"/>
      </w:pPr>
      <w:r>
        <w:rPr>
          <w:rFonts w:ascii="Arial" w:cs="Arial" w:eastAsia="Arial" w:hAnsi="Arial"/>
          <w:sz w:val="22"/>
          <w:szCs w:val="22"/>
        </w:rPr>
        <w:t xml:space="preserve">JPMorgan Chase estima que la producción podría alcanzar 1,2 millones de bpd en meses, 1,4 millones en dos años y potencialmente 2,5 millones en la próxima década.</w:t>
      </w:r>
    </w:p>
    <w:p>
      <w:pPr>
        <w:pStyle w:val="ListParagraph"/>
        <w:numPr>
          <w:ilvl w:val="0"/>
          <w:numId w:val="2"/>
        </w:numPr>
        <w:spacing w:before="40" w:after="40"/>
      </w:pPr>
      <w:r>
        <w:rPr>
          <w:rFonts w:ascii="Arial" w:cs="Arial" w:eastAsia="Arial" w:hAnsi="Arial"/>
          <w:sz w:val="22"/>
          <w:szCs w:val="22"/>
        </w:rPr>
        <w:t xml:space="preserve">Goldman Sachs proyecta que la producción podría aumentar aproximadamente un 50% para 2030 y potencialmente duplicarse con inversión sustancial de EE.UU.</w:t>
      </w:r>
    </w:p>
    <w:p>
      <w:pPr>
        <w:pStyle w:val="ListParagraph"/>
        <w:numPr>
          <w:ilvl w:val="0"/>
          <w:numId w:val="2"/>
        </w:numPr>
        <w:spacing w:before="40" w:after="40"/>
      </w:pPr>
      <w:r>
        <w:rPr>
          <w:rFonts w:ascii="Arial" w:cs="Arial" w:eastAsia="Arial" w:hAnsi="Arial"/>
          <w:sz w:val="22"/>
          <w:szCs w:val="22"/>
        </w:rPr>
        <w:t xml:space="preserve">El Vicepresidente de Chevron declaró que la empresa podría aumentar la producción venezolana en un 50% en 18-24 meses.</w:t>
      </w:r>
    </w:p>
    <w:p>
      <w:pPr>
        <w:pStyle w:val="ListParagraph"/>
        <w:numPr>
          <w:ilvl w:val="0"/>
          <w:numId w:val="2"/>
        </w:numPr>
        <w:spacing w:before="40" w:after="40"/>
      </w:pPr>
      <w:r>
        <w:rPr>
          <w:rFonts w:ascii="Arial" w:cs="Arial" w:eastAsia="Arial" w:hAnsi="Arial"/>
          <w:sz w:val="22"/>
          <w:szCs w:val="22"/>
        </w:rPr>
        <w:t xml:space="preserve">Rystad Energy estima que alcanzar 3 millones de bpd para 2040 requeriría $183 mil millones en gasto de capital total en petróleo y gas.</w:t>
      </w:r>
    </w:p>
    <w:p>
      <w:pPr>
        <w:spacing w:before="40" w:after="40"/>
      </w:pPr>
      <w:r>
        <w:rPr>
          <w:rFonts w:ascii="Arial" w:cs="Arial" w:eastAsia="Arial" w:hAnsi="Arial"/>
          <w:i/>
          <w:iCs/>
          <w:color w:val="888888"/>
          <w:sz w:val="16"/>
          <w:szCs w:val="16"/>
        </w:rPr>
        <w:t xml:space="preserve">Fuente: CNBC, 28 de enero 2026; Rystad Energy vía AJOT</w:t>
      </w:r>
    </w:p>
    <w:p>
      <w:pPr>
        <w:pBdr>
          <w:left w:val="single" w:color="2E86C1" w:sz="12" w:space="8"/>
        </w:pBdr>
        <w:shd w:fill="D6EAF8" w:val="clear"/>
        <w:spacing w:before="160" w:after="160"/>
      </w:pPr>
      <w:r>
        <w:rPr>
          <w:rFonts w:ascii="Arial" w:cs="Arial" w:eastAsia="Arial" w:hAnsi="Arial"/>
          <w:b/>
          <w:bCs/>
          <w:color w:val="0D2137"/>
          <w:sz w:val="22"/>
          <w:szCs w:val="22"/>
        </w:rPr>
        <w:t xml:space="preserve">$183 mil millones en capex proyectado de petróleo y gas de 2026-2040, traduciéndose en $156 mil millones en compras de servicios. Fabricación y construcción es el segmento #1 con $41 mil millones.</w:t>
      </w:r>
    </w:p>
    <w:p>
      <w:pPr>
        <w:spacing w:before="40" w:after="40"/>
      </w:pPr>
      <w:r>
        <w:rPr>
          <w:rFonts w:ascii="Arial" w:cs="Arial" w:eastAsia="Arial" w:hAnsi="Arial"/>
          <w:i/>
          <w:iCs/>
          <w:color w:val="888888"/>
          <w:sz w:val="16"/>
          <w:szCs w:val="16"/>
        </w:rPr>
        <w:t xml:space="preserve">Fuente: Rystad Energy, reportado por DirectIndustry e-Magazine, 12 de enero 2026</w:t>
      </w:r>
    </w:p>
    <w:p>
      <w:r>
        <w:br w:type="page"/>
      </w:r>
    </w:p>
    <w:p>
      <w:pPr>
        <w:pStyle w:val="Heading1"/>
        <w:pBdr>
          <w:bottom w:val="single" w:color="D4A017" w:sz="6" w:space="6"/>
        </w:pBdr>
        <w:spacing w:before="400" w:after="200"/>
      </w:pPr>
      <w:r>
        <w:rPr>
          <w:rFonts w:ascii="Arial" w:cs="Arial" w:eastAsia="Arial" w:hAnsi="Arial"/>
          <w:b/>
          <w:bCs/>
          <w:color w:val="0D2137"/>
          <w:sz w:val="32"/>
          <w:szCs w:val="32"/>
        </w:rPr>
        <w:t xml:space="preserve">¿Por Qué el Galvanizado es Clave en esta Reconstrucción?</w:t>
      </w:r>
    </w:p>
    <w:p>
      <w:pPr>
        <w:pStyle w:val="Heading2"/>
        <w:spacing w:before="280" w:after="140"/>
      </w:pPr>
      <w:r>
        <w:rPr>
          <w:rFonts w:ascii="Arial" w:cs="Arial" w:eastAsia="Arial" w:hAnsi="Arial"/>
          <w:b/>
          <w:bCs/>
          <w:color w:val="1B4F72"/>
          <w:sz w:val="26"/>
          <w:szCs w:val="26"/>
        </w:rPr>
        <w:t xml:space="preserve">La Infraestructura Petrolera Requiere Acero Galvanizado</w:t>
      </w:r>
    </w:p>
    <w:p>
      <w:pPr>
        <w:spacing w:before="80" w:after="80"/>
      </w:pPr>
      <w:r>
        <w:rPr>
          <w:rFonts w:ascii="Arial" w:cs="Arial" w:eastAsia="Arial" w:hAnsi="Arial"/>
          <w:sz w:val="22"/>
          <w:szCs w:val="22"/>
        </w:rPr>
        <w:t xml:space="preserve">Cada componente principal de la infraestructura petrolera — tuberías, tanques de almacenamiento, torres de transmisión, soportes estructurales, plataformas costa afuera y equipos de procesamiento — requiere protección contra la corrosión. En el clima tropical y de alta humedad de Venezuela, esto no es opcional; es una necesidad estructural.</w:t>
      </w:r>
    </w:p>
    <w:p>
      <w:pPr>
        <w:spacing w:before="80" w:after="80"/>
      </w:pPr>
      <w:r>
        <w:rPr>
          <w:rFonts w:ascii="Arial" w:cs="Arial" w:eastAsia="Arial" w:hAnsi="Arial"/>
          <w:sz w:val="22"/>
          <w:szCs w:val="22"/>
        </w:rPr>
        <w:t xml:space="preserve">El mercado global de servicios de galvanizado por inmersión en caliente fue valorado en aproximadamente $15.600 millones en 2023 y se proyecta que alcance $24.800 millones para 2032, con un crecimiento del 5,2% anual (CAGR). El sector de petróleo y gas es uno de los principales impulsores de la demanda.</w:t>
      </w:r>
    </w:p>
    <w:p>
      <w:pPr>
        <w:spacing w:before="40" w:after="40"/>
      </w:pPr>
      <w:r>
        <w:rPr>
          <w:rFonts w:ascii="Arial" w:cs="Arial" w:eastAsia="Arial" w:hAnsi="Arial"/>
          <w:i/>
          <w:iCs/>
          <w:color w:val="888888"/>
          <w:sz w:val="16"/>
          <w:szCs w:val="16"/>
        </w:rPr>
        <w:t xml:space="preserve">Fuente: Dataintelo, Hot Dip Galvanizing Services Market Report, 2023</w:t>
      </w:r>
    </w:p>
    <w:p>
      <w:pPr>
        <w:spacing w:before="80" w:after="80"/>
      </w:pPr>
      <w:r>
        <w:rPr>
          <w:rFonts w:ascii="Arial" w:cs="Arial" w:eastAsia="Arial" w:hAnsi="Arial"/>
          <w:sz w:val="22"/>
          <w:szCs w:val="22"/>
        </w:rPr>
        <w:t xml:space="preserve">El uso de tuberías de acero galvanizado en aplicaciones de petróleo y gas ya creció un 14,8% a nivel global, con una demanda esperada de aumento del 22,1% en los próximos años debido a la creciente dependencia de soluciones galvanizadas para instalaciones de alto riesgo.</w:t>
      </w:r>
    </w:p>
    <w:p>
      <w:pPr>
        <w:spacing w:before="40" w:after="40"/>
      </w:pPr>
      <w:r>
        <w:rPr>
          <w:rFonts w:ascii="Arial" w:cs="Arial" w:eastAsia="Arial" w:hAnsi="Arial"/>
          <w:i/>
          <w:iCs/>
          <w:color w:val="888888"/>
          <w:sz w:val="16"/>
          <w:szCs w:val="16"/>
        </w:rPr>
        <w:t xml:space="preserve">Fuente: Technavio, Galvanized Steel Market Report</w:t>
      </w:r>
    </w:p>
    <w:p>
      <w:pPr>
        <w:spacing w:before="80" w:after="80"/>
      </w:pPr>
      <w:r>
        <w:rPr>
          <w:rFonts w:ascii="Arial" w:cs="Arial" w:eastAsia="Arial" w:hAnsi="Arial"/>
          <w:sz w:val="22"/>
          <w:szCs w:val="22"/>
        </w:rPr>
        <w:t xml:space="preserve">Se proyecta que el mercado de galvanizado por inmersión en caliente crezca de $105.590 millones en 2025 a $166.660 millones para 2034. Los sectores de construcción e infraestructura representan aproximadamente el 40% de la demanda total, siendo el sector petrolero el siguiente impulsor principal.</w:t>
      </w:r>
    </w:p>
    <w:p>
      <w:pPr>
        <w:spacing w:before="40" w:after="40"/>
      </w:pPr>
      <w:r>
        <w:rPr>
          <w:rFonts w:ascii="Arial" w:cs="Arial" w:eastAsia="Arial" w:hAnsi="Arial"/>
          <w:i/>
          <w:iCs/>
          <w:color w:val="888888"/>
          <w:sz w:val="16"/>
          <w:szCs w:val="16"/>
        </w:rPr>
        <w:t xml:space="preserve">Fuente: Market Research Future (MRFR), Hot Dip Galvanizing Market Report</w:t>
      </w:r>
    </w:p>
    <w:p>
      <w:pPr>
        <w:pStyle w:val="Heading2"/>
        <w:spacing w:before="280" w:after="140"/>
      </w:pPr>
      <w:r>
        <w:rPr>
          <w:rFonts w:ascii="Arial" w:cs="Arial" w:eastAsia="Arial" w:hAnsi="Arial"/>
          <w:b/>
          <w:bCs/>
          <w:color w:val="1B4F72"/>
          <w:sz w:val="26"/>
          <w:szCs w:val="26"/>
        </w:rPr>
        <w:t xml:space="preserve">Demanda Específica en Venezuela</w:t>
      </w:r>
    </w:p>
    <w:p>
      <w:pPr>
        <w:spacing w:before="80" w:after="80"/>
      </w:pPr>
      <w:r>
        <w:rPr>
          <w:rFonts w:ascii="Arial" w:cs="Arial" w:eastAsia="Arial" w:hAnsi="Arial"/>
          <w:sz w:val="22"/>
          <w:szCs w:val="22"/>
        </w:rPr>
        <w:t xml:space="preserve">Rystad Energy desglosa los $156 mil millones en compras de servicios proyectadas para la reconstrucción petrolera. Cinco segmentos además de fabricación y construcción superan cada uno los $10 mil millones en tamaño de mercado a 15 años: equipos principales, materiales y metales, mantenimiento y mecánica, eléctrica e instrumentación, y logística y soporte. Todos involucran componentes de acero que requieren galvanizado.</w:t>
      </w:r>
    </w:p>
    <w:p>
      <w:pPr>
        <w:spacing w:before="40" w:after="40"/>
      </w:pPr>
      <w:r>
        <w:rPr>
          <w:rFonts w:ascii="Arial" w:cs="Arial" w:eastAsia="Arial" w:hAnsi="Arial"/>
          <w:i/>
          <w:iCs/>
          <w:color w:val="888888"/>
          <w:sz w:val="16"/>
          <w:szCs w:val="16"/>
        </w:rPr>
        <w:t xml:space="preserve">Fuente: Rystad Energy vía DirectIndustry e-Magazine, 12 de enero 2026</w:t>
      </w:r>
    </w:p>
    <w:p>
      <w:pPr>
        <w:spacing w:before="80" w:after="80"/>
      </w:pPr>
      <w:r>
        <w:rPr>
          <w:rFonts w:ascii="Arial" w:cs="Arial" w:eastAsia="Arial" w:hAnsi="Arial"/>
          <w:sz w:val="22"/>
          <w:szCs w:val="22"/>
        </w:rPr>
        <w:t xml:space="preserve">Las propias estimaciones de PDVSA indican que los oleoductos del país no han sido actualizados en 50 años, con $58 mil millones necesarios solo para actualizar la infraestructura de tuberías.</w:t>
      </w:r>
    </w:p>
    <w:p>
      <w:pPr>
        <w:spacing w:before="40" w:after="40"/>
      </w:pPr>
      <w:r>
        <w:rPr>
          <w:rFonts w:ascii="Arial" w:cs="Arial" w:eastAsia="Arial" w:hAnsi="Arial"/>
          <w:i/>
          <w:iCs/>
          <w:color w:val="888888"/>
          <w:sz w:val="16"/>
          <w:szCs w:val="16"/>
        </w:rPr>
        <w:t xml:space="preserve">Fuente: CNN Business, 3 de enero 2026</w:t>
      </w:r>
    </w:p>
    <w:p>
      <w:pPr>
        <w:spacing w:before="80" w:after="80"/>
      </w:pPr>
      <w:r>
        <w:rPr>
          <w:rFonts w:ascii="Arial" w:cs="Arial" w:eastAsia="Arial" w:hAnsi="Arial"/>
          <w:sz w:val="22"/>
          <w:szCs w:val="22"/>
        </w:rPr>
        <w:t xml:space="preserve">Se estiman $8-12 mil millones en costos de estabilización de emergencia solo durante los primeros dos años, enfocados en reparaciones críticas de infraestructura para la reanudación de producción.</w:t>
      </w:r>
    </w:p>
    <w:p>
      <w:pPr>
        <w:spacing w:before="40" w:after="40"/>
      </w:pPr>
      <w:r>
        <w:rPr>
          <w:rFonts w:ascii="Arial" w:cs="Arial" w:eastAsia="Arial" w:hAnsi="Arial"/>
          <w:i/>
          <w:iCs/>
          <w:color w:val="888888"/>
          <w:sz w:val="16"/>
          <w:szCs w:val="16"/>
        </w:rPr>
        <w:t xml:space="preserve">Fuente: DiscoveryAlert, Rebuilding Venezuela’s Oil Industry Recovery Guide, enero 2026</w:t>
      </w:r>
    </w:p>
    <w:p>
      <w:pPr>
        <w:pBdr>
          <w:left w:val="single" w:color="2E86C1" w:sz="12" w:space="8"/>
        </w:pBdr>
        <w:shd w:fill="D6EAF8" w:val="clear"/>
        <w:spacing w:before="160" w:after="160"/>
      </w:pPr>
      <w:r>
        <w:rPr>
          <w:rFonts w:ascii="Arial" w:cs="Arial" w:eastAsia="Arial" w:hAnsi="Arial"/>
          <w:b/>
          <w:bCs/>
          <w:color w:val="0D2137"/>
          <w:sz w:val="22"/>
          <w:szCs w:val="22"/>
        </w:rPr>
        <w:t xml:space="preserve">Cada barril de petróleo que Venezuela añade requiere infraestructura de acero. Cada estructura de acero requiere protección anticorrosiva. Una planta de galvanizado en Venezuela no es una apuesta a una sola industria — es una apuesta a toda la recuperación económica del país.</w:t>
      </w:r>
    </w:p>
    <w:p>
      <w:r>
        <w:br w:type="page"/>
      </w:r>
    </w:p>
    <w:p>
      <w:pPr>
        <w:pStyle w:val="Heading1"/>
        <w:pBdr>
          <w:bottom w:val="single" w:color="D4A017" w:sz="6" w:space="6"/>
        </w:pBdr>
        <w:spacing w:before="400" w:after="200"/>
      </w:pPr>
      <w:r>
        <w:rPr>
          <w:rFonts w:ascii="Arial" w:cs="Arial" w:eastAsia="Arial" w:hAnsi="Arial"/>
          <w:b/>
          <w:bCs/>
          <w:color w:val="0D2137"/>
          <w:sz w:val="32"/>
          <w:szCs w:val="32"/>
        </w:rPr>
        <w:t xml:space="preserve">El Activo: Planta PYG Lara</w:t>
      </w:r>
    </w:p>
    <w:p>
      <w:pPr>
        <w:pStyle w:val="Heading2"/>
        <w:spacing w:before="280" w:after="140"/>
      </w:pPr>
      <w:r>
        <w:rPr>
          <w:rFonts w:ascii="Arial" w:cs="Arial" w:eastAsia="Arial" w:hAnsi="Arial"/>
          <w:b/>
          <w:bCs/>
          <w:color w:val="1B4F72"/>
          <w:sz w:val="26"/>
          <w:szCs w:val="26"/>
        </w:rPr>
        <w:t xml:space="preserve">Perfil de la Empresa</w:t>
      </w:r>
    </w:p>
    <w:p>
      <w:pPr>
        <w:spacing w:before="80" w:after="80"/>
      </w:pPr>
      <w:r>
        <w:rPr>
          <w:rFonts w:ascii="Arial" w:cs="Arial" w:eastAsia="Arial" w:hAnsi="Arial"/>
          <w:sz w:val="22"/>
          <w:szCs w:val="22"/>
        </w:rPr>
        <w:t xml:space="preserve">Empresa 100% venezolana especializada en servicios de galvanizado por inmersión en caliente y cobreado electrolítico. Ubicada en la Calle 26, entre Avenidas 1 y 2, Galpón No. 25-90, Barquisimeto, Estado Lara, 3001, Venezuela.</w:t>
      </w:r>
    </w:p>
    <w:p>
      <w:pPr>
        <w:pStyle w:val="Heading2"/>
        <w:spacing w:before="280" w:after="140"/>
      </w:pPr>
      <w:r>
        <w:rPr>
          <w:rFonts w:ascii="Arial" w:cs="Arial" w:eastAsia="Arial" w:hAnsi="Arial"/>
          <w:b/>
          <w:bCs/>
          <w:color w:val="1B4F72"/>
          <w:sz w:val="26"/>
          <w:szCs w:val="26"/>
        </w:rPr>
        <w:t xml:space="preserve">Estado de los Equipos</w:t>
      </w:r>
    </w:p>
    <w:p>
      <w:pPr>
        <w:pStyle w:val="ListParagraph"/>
        <w:numPr>
          <w:ilvl w:val="0"/>
          <w:numId w:val="2"/>
        </w:numPr>
        <w:spacing w:before="40" w:after="40"/>
      </w:pPr>
      <w:r>
        <w:rPr>
          <w:rFonts w:ascii="Arial" w:cs="Arial" w:eastAsia="Arial" w:hAnsi="Arial"/>
          <w:sz w:val="22"/>
          <w:szCs w:val="22"/>
        </w:rPr>
        <w:t xml:space="preserve">Todas las máquinas en orden de funcionamiento</w:t>
      </w:r>
    </w:p>
    <w:p>
      <w:pPr>
        <w:pStyle w:val="ListParagraph"/>
        <w:numPr>
          <w:ilvl w:val="0"/>
          <w:numId w:val="2"/>
        </w:numPr>
        <w:spacing w:before="40" w:after="40"/>
      </w:pPr>
      <w:r>
        <w:rPr>
          <w:rFonts w:ascii="Arial" w:cs="Arial" w:eastAsia="Arial" w:hAnsi="Arial"/>
          <w:sz w:val="22"/>
          <w:szCs w:val="22"/>
        </w:rPr>
        <w:t xml:space="preserve">Varios equipos aún sellados de fábrica / en embalaje original</w:t>
      </w:r>
    </w:p>
    <w:p>
      <w:pPr>
        <w:pStyle w:val="ListParagraph"/>
        <w:numPr>
          <w:ilvl w:val="0"/>
          <w:numId w:val="2"/>
        </w:numPr>
        <w:spacing w:before="40" w:after="40"/>
      </w:pPr>
      <w:r>
        <w:rPr>
          <w:rFonts w:ascii="Arial" w:cs="Arial" w:eastAsia="Arial" w:hAnsi="Arial"/>
          <w:sz w:val="22"/>
          <w:szCs w:val="22"/>
        </w:rPr>
        <w:t xml:space="preserve">Solo se necesita materia prima para iniciar producción: lingotes de zinc</w:t>
      </w:r>
    </w:p>
    <w:p>
      <w:pPr>
        <w:pStyle w:val="ListParagraph"/>
        <w:numPr>
          <w:ilvl w:val="0"/>
          <w:numId w:val="2"/>
        </w:numPr>
        <w:spacing w:before="40" w:after="40"/>
      </w:pPr>
      <w:r>
        <w:rPr>
          <w:rFonts w:ascii="Arial" w:cs="Arial" w:eastAsia="Arial" w:hAnsi="Arial"/>
          <w:sz w:val="22"/>
          <w:szCs w:val="22"/>
        </w:rPr>
        <w:t xml:space="preserve">Calderos de ingeniería alemana de W. Pilling Riepe GmbH &amp; Co. KG (Gutenbergstrasse 2, 38652 Halon, Alemania)</w:t>
      </w:r>
    </w:p>
    <w:p>
      <w:pPr>
        <w:pStyle w:val="Heading2"/>
        <w:spacing w:before="280" w:after="140"/>
      </w:pPr>
      <w:r>
        <w:rPr>
          <w:rFonts w:ascii="Arial" w:cs="Arial" w:eastAsia="Arial" w:hAnsi="Arial"/>
          <w:b/>
          <w:bCs/>
          <w:color w:val="1B4F72"/>
          <w:sz w:val="26"/>
          <w:szCs w:val="26"/>
        </w:rPr>
        <w:t xml:space="preserve">Situación Financiera</w:t>
      </w:r>
    </w:p>
    <w:p>
      <w:pPr>
        <w:pStyle w:val="ListParagraph"/>
        <w:numPr>
          <w:ilvl w:val="0"/>
          <w:numId w:val="2"/>
        </w:numPr>
        <w:spacing w:before="40" w:after="40"/>
      </w:pPr>
      <w:r>
        <w:rPr>
          <w:rFonts w:ascii="Arial" w:cs="Arial" w:eastAsia="Arial" w:hAnsi="Arial"/>
          <w:sz w:val="22"/>
          <w:szCs w:val="22"/>
        </w:rPr>
        <w:t xml:space="preserve">Cero deudas</w:t>
      </w:r>
    </w:p>
    <w:p>
      <w:pPr>
        <w:pStyle w:val="ListParagraph"/>
        <w:numPr>
          <w:ilvl w:val="0"/>
          <w:numId w:val="2"/>
        </w:numPr>
        <w:spacing w:before="40" w:after="40"/>
      </w:pPr>
      <w:r>
        <w:rPr>
          <w:rFonts w:ascii="Arial" w:cs="Arial" w:eastAsia="Arial" w:hAnsi="Arial"/>
          <w:sz w:val="22"/>
          <w:szCs w:val="22"/>
        </w:rPr>
        <w:t xml:space="preserve">Sin gravámenes ni problemas legales</w:t>
      </w:r>
    </w:p>
    <w:p>
      <w:pPr>
        <w:pStyle w:val="ListParagraph"/>
        <w:numPr>
          <w:ilvl w:val="0"/>
          <w:numId w:val="2"/>
        </w:numPr>
        <w:spacing w:before="40" w:after="40"/>
      </w:pPr>
      <w:r>
        <w:rPr>
          <w:rFonts w:ascii="Arial" w:cs="Arial" w:eastAsia="Arial" w:hAnsi="Arial"/>
          <w:sz w:val="22"/>
          <w:szCs w:val="22"/>
        </w:rPr>
        <w:t xml:space="preserve">Título de propiedad limpio en todas las propiedades</w:t>
      </w:r>
    </w:p>
    <w:p>
      <w:r>
        <w:br w:type="page"/>
      </w:r>
    </w:p>
    <w:p>
      <w:pPr>
        <w:pStyle w:val="Heading1"/>
        <w:pBdr>
          <w:bottom w:val="single" w:color="D4A017" w:sz="6" w:space="6"/>
        </w:pBdr>
        <w:spacing w:before="400" w:after="200"/>
      </w:pPr>
      <w:r>
        <w:rPr>
          <w:rFonts w:ascii="Arial" w:cs="Arial" w:eastAsia="Arial" w:hAnsi="Arial"/>
          <w:b/>
          <w:bCs/>
          <w:color w:val="0D2137"/>
          <w:sz w:val="32"/>
          <w:szCs w:val="32"/>
        </w:rPr>
        <w:t xml:space="preserve">Capacidades de Producción</w:t>
      </w:r>
    </w:p>
    <w:p>
      <w:pPr>
        <w:pStyle w:val="Heading2"/>
        <w:spacing w:before="280" w:after="140"/>
      </w:pPr>
      <w:r>
        <w:rPr>
          <w:rFonts w:ascii="Arial" w:cs="Arial" w:eastAsia="Arial" w:hAnsi="Arial"/>
          <w:b/>
          <w:bCs/>
          <w:color w:val="1B4F72"/>
          <w:sz w:val="26"/>
          <w:szCs w:val="26"/>
        </w:rPr>
        <w:t xml:space="preserve">Línea de Galvanizado por Inmersión en Caliente</w:t>
      </w:r>
    </w:p>
    <w:p>
      <w:pPr>
        <w:spacing w:before="80" w:after="80"/>
      </w:pPr>
      <w:r>
        <w:rPr>
          <w:rFonts w:ascii="Arial" w:cs="Arial" w:eastAsia="Arial" w:hAnsi="Arial"/>
          <w:b/>
          <w:bCs/>
          <w:sz w:val="22"/>
          <w:szCs w:val="22"/>
        </w:rPr>
        <w:t xml:space="preserve">Capacidad instalada: 400 toneladas por mes.</w:t>
      </w:r>
    </w:p>
    <w:p>
      <w:pPr>
        <w:spacing w:before="100"/>
      </w:pPr>
    </w:p>
    <w:p>
      <w:pPr>
        <w:spacing w:before="80" w:after="80"/>
      </w:pPr>
      <w:r>
        <w:rPr>
          <w:rFonts w:ascii="Arial" w:cs="Arial" w:eastAsia="Arial" w:hAnsi="Arial"/>
          <w:b/>
          <w:bCs/>
          <w:sz w:val="22"/>
          <w:szCs w:val="22"/>
        </w:rPr>
        <w:t xml:space="preserve">Calderos de Galvanizado: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Tipo de Caldero</w:t>
            </w:r>
          </w:p>
        </w:tc>
        <w:tc>
          <w:tcPr>
            <w:tcW w:type="dxa" w:w="312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Dimensiones</w:t>
            </w:r>
          </w:p>
        </w:tc>
        <w:tc>
          <w:tcPr>
            <w:tcW w:type="dxa" w:w="312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Aplicación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Gran Formato Pilling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7,00 x 0,80 x 1,40 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Perfiles largos, estructuras grandes</w:t>
            </w:r>
          </w:p>
        </w:tc>
      </w:tr>
      <w:tr>
        <w:tc>
          <w:tcPr>
            <w:tcW w:type="dxa" w:w="312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Rango Medio</w:t>
            </w:r>
          </w:p>
        </w:tc>
        <w:tc>
          <w:tcPr>
            <w:tcW w:type="dxa" w:w="312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3,00 x 0,60 x 1,00 m</w:t>
            </w:r>
          </w:p>
        </w:tc>
        <w:tc>
          <w:tcPr>
            <w:tcW w:type="dxa" w:w="312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Herrajes industriales, piezas intermedias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Precisión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65 x 65 x 65 cm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Piezas pequeñas, tornillería</w:t>
            </w:r>
          </w:p>
        </w:tc>
      </w:tr>
    </w:tbl>
    <w:p>
      <w:pPr>
        <w:spacing w:before="200"/>
      </w:pPr>
    </w:p>
    <w:p>
      <w:pPr>
        <w:spacing w:before="80" w:after="80"/>
      </w:pPr>
      <w:r>
        <w:rPr>
          <w:rFonts w:ascii="Arial" w:cs="Arial" w:eastAsia="Arial" w:hAnsi="Arial"/>
          <w:sz w:val="22"/>
          <w:szCs w:val="22"/>
        </w:rPr>
        <w:t xml:space="preserve">Proceso: Zinc (SHG 99,9%) fundido a 450°C. Preparación química con Ácido Clorhídrico (decapado) y Cloruro de Amonio y Zinc (flux).</w:t>
      </w:r>
    </w:p>
    <w:p>
      <w:pPr>
        <w:pStyle w:val="Heading2"/>
        <w:spacing w:before="280" w:after="140"/>
      </w:pPr>
      <w:r>
        <w:rPr>
          <w:rFonts w:ascii="Arial" w:cs="Arial" w:eastAsia="Arial" w:hAnsi="Arial"/>
          <w:b/>
          <w:bCs/>
          <w:color w:val="1B4F72"/>
          <w:sz w:val="26"/>
          <w:szCs w:val="26"/>
        </w:rPr>
        <w:t xml:space="preserve">Planta de Cobreado Electrolítico</w:t>
      </w:r>
    </w:p>
    <w:p>
      <w:pPr>
        <w:spacing w:before="80" w:after="80"/>
      </w:pPr>
      <w:r>
        <w:rPr>
          <w:rFonts w:ascii="Arial" w:cs="Arial" w:eastAsia="Arial" w:hAnsi="Arial"/>
          <w:b/>
          <w:bCs/>
          <w:sz w:val="22"/>
          <w:szCs w:val="22"/>
        </w:rPr>
        <w:t xml:space="preserve">Capacidad instalada: 936 varillas de puesta a tierra por día (ciclo continuo de 24 horas).</w:t>
      </w:r>
    </w:p>
    <w:p>
      <w:pPr>
        <w:spacing w:before="80" w:after="80"/>
      </w:pPr>
      <w:r>
        <w:rPr>
          <w:rFonts w:ascii="Arial" w:cs="Arial" w:eastAsia="Arial" w:hAnsi="Arial"/>
          <w:sz w:val="22"/>
          <w:szCs w:val="22"/>
        </w:rPr>
        <w:t xml:space="preserve">Fabrica varillas de puesta a tierra eléctrica de 5/8” a 1” de diámetro, de 1,20m a 3m de longitud. Espesor de capa de cobre: 300 µm ± 50, certificado mediante rigurosos controles de calidad.</w:t>
      </w:r>
    </w:p>
    <w:p>
      <w:pPr>
        <w:spacing w:before="80" w:after="80"/>
      </w:pPr>
      <w:r>
        <w:rPr>
          <w:rFonts w:ascii="Arial" w:cs="Arial" w:eastAsia="Arial" w:hAnsi="Arial"/>
          <w:sz w:val="22"/>
          <w:szCs w:val="22"/>
        </w:rPr>
        <w:t xml:space="preserve">Esta línea sirve directamente al sector de infraestructura eléctrica — otro componente crítico de la recuperación de Venezuela, dado que la inestabilidad de la red eléctrica está identificada como restricción fundamental en las operaciones petroleras.</w:t>
      </w:r>
    </w:p>
    <w:p>
      <w:pPr>
        <w:spacing w:before="40" w:after="40"/>
      </w:pPr>
      <w:r>
        <w:rPr>
          <w:rFonts w:ascii="Arial" w:cs="Arial" w:eastAsia="Arial" w:hAnsi="Arial"/>
          <w:i/>
          <w:iCs/>
          <w:color w:val="888888"/>
          <w:sz w:val="16"/>
          <w:szCs w:val="16"/>
        </w:rPr>
        <w:t xml:space="preserve">Fuente: DiscoveryAlert, Rebuilding Venezuela’s Oil Industry Recovery Guide, enero 2026</w:t>
      </w:r>
    </w:p>
    <w:p>
      <w:r>
        <w:br w:type="page"/>
      </w:r>
    </w:p>
    <w:p>
      <w:pPr>
        <w:pStyle w:val="Heading1"/>
        <w:pBdr>
          <w:bottom w:val="single" w:color="D4A017" w:sz="6" w:space="6"/>
        </w:pBdr>
        <w:spacing w:before="400" w:after="200"/>
      </w:pPr>
      <w:r>
        <w:rPr>
          <w:rFonts w:ascii="Arial" w:cs="Arial" w:eastAsia="Arial" w:hAnsi="Arial"/>
          <w:b/>
          <w:bCs/>
          <w:color w:val="0D2137"/>
          <w:sz w:val="32"/>
          <w:szCs w:val="32"/>
        </w:rPr>
        <w:t xml:space="preserve">Sistema de Horno de Galvanizado de 9 Metros (Instalado)</w:t>
      </w:r>
    </w:p>
    <w:p>
      <w:pPr>
        <w:spacing w:before="80" w:after="80"/>
      </w:pPr>
      <w:r>
        <w:rPr>
          <w:rFonts w:ascii="Arial" w:cs="Arial" w:eastAsia="Arial" w:hAnsi="Arial"/>
          <w:sz w:val="22"/>
          <w:szCs w:val="22"/>
        </w:rPr>
        <w:t xml:space="preserve">La instalación incluye un sistema completo de horno de galvanizado de 9 metros. Desglose de costo de reposición: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560"/>
        <w:gridCol w:w="1560"/>
        <w:gridCol w:w="1560"/>
      </w:tblGrid>
      <w:tr>
        <w:tc>
          <w:tcPr>
            <w:tcW w:type="dxa" w:w="468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Descripción</w:t>
            </w:r>
          </w:p>
        </w:tc>
        <w:tc>
          <w:tcPr>
            <w:tcW w:type="dxa" w:w="156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Cant.</w:t>
            </w:r>
          </w:p>
        </w:tc>
        <w:tc>
          <w:tcPr>
            <w:tcW w:type="dxa" w:w="156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Precio Unit. ($)</w:t>
            </w:r>
          </w:p>
        </w:tc>
        <w:tc>
          <w:tcPr>
            <w:tcW w:type="dxa" w:w="156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Total ($)</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Estructura para Horno de Galvanizado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285.000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285.000</w:t>
            </w:r>
          </w:p>
        </w:tc>
      </w:tr>
      <w:tr>
        <w:tc>
          <w:tcPr>
            <w:tcW w:type="dxa" w:w="468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Cerámicas Refractarias, Lana Mineral y Anclajes</w:t>
            </w:r>
          </w:p>
        </w:tc>
        <w:tc>
          <w:tcPr>
            <w:tcW w:type="dxa" w:w="15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w:t>
            </w:r>
          </w:p>
        </w:tc>
        <w:tc>
          <w:tcPr>
            <w:tcW w:type="dxa" w:w="15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65.000</w:t>
            </w:r>
          </w:p>
        </w:tc>
        <w:tc>
          <w:tcPr>
            <w:tcW w:type="dxa" w:w="15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65.000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Caldero (9m x 80cm x 1,40m, 2" de espesor)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80.000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80.000</w:t>
            </w:r>
          </w:p>
        </w:tc>
      </w:tr>
      <w:tr>
        <w:tc>
          <w:tcPr>
            <w:tcW w:type="dxa" w:w="468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Estructura Metálica Fabricada</w:t>
            </w:r>
          </w:p>
        </w:tc>
        <w:tc>
          <w:tcPr>
            <w:tcW w:type="dxa" w:w="15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w:t>
            </w:r>
          </w:p>
        </w:tc>
        <w:tc>
          <w:tcPr>
            <w:tcW w:type="dxa" w:w="15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100.000</w:t>
            </w:r>
          </w:p>
        </w:tc>
        <w:tc>
          <w:tcPr>
            <w:tcW w:type="dxa" w:w="15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100.000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Planos y Consultoría de Ensamblaje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40.000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40.000</w:t>
            </w:r>
          </w:p>
        </w:tc>
      </w:tr>
      <w:tr>
        <w:tc>
          <w:tcPr>
            <w:tcW w:type="dxa" w:w="468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TOTAL SISTEMA DE HORNO</w:t>
            </w:r>
          </w:p>
        </w:tc>
        <w:tc>
          <w:tcPr>
            <w:tcW w:type="dxa" w:w="156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
            </w:r>
          </w:p>
        </w:tc>
        <w:tc>
          <w:tcPr>
            <w:tcW w:type="dxa" w:w="156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
            </w:r>
          </w:p>
        </w:tc>
        <w:tc>
          <w:tcPr>
            <w:tcW w:type="dxa" w:w="156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$570.000</w:t>
            </w:r>
          </w:p>
        </w:tc>
      </w:tr>
    </w:tbl>
    <w:p>
      <w:pPr>
        <w:spacing w:before="80" w:after="80"/>
      </w:pPr>
      <w:r>
        <w:rPr>
          <w:rFonts w:ascii="Arial" w:cs="Arial" w:eastAsia="Arial" w:hAnsi="Arial"/>
          <w:sz w:val="22"/>
          <w:szCs w:val="22"/>
        </w:rPr>
        <w:t xml:space="preserve">Nota: Esto representa únicamente el sistema principal del horno. Equipos adicionales incluyen línea de decapado, calderos de rango medio y precisión, tanques químicos, transformadores, planta de cobreado completa y sistemas de control. El valor total de reposición supera significativamente el precio de venta.</w:t>
      </w:r>
    </w:p>
    <w:p>
      <w:pPr>
        <w:pStyle w:val="Heading2"/>
        <w:spacing w:before="280" w:after="140"/>
      </w:pPr>
      <w:r>
        <w:rPr>
          <w:rFonts w:ascii="Arial" w:cs="Arial" w:eastAsia="Arial" w:hAnsi="Arial"/>
          <w:b/>
          <w:bCs/>
          <w:color w:val="1B4F72"/>
          <w:sz w:val="26"/>
          <w:szCs w:val="26"/>
        </w:rPr>
        <w:t xml:space="preserve">Componentes de Combustión y Control</w:t>
      </w:r>
    </w:p>
    <w:p>
      <w:pPr>
        <w:spacing w:before="80" w:after="80"/>
      </w:pPr>
      <w:r>
        <w:rPr>
          <w:rFonts w:ascii="Arial" w:cs="Arial" w:eastAsia="Arial" w:hAnsi="Arial"/>
          <w:sz w:val="22"/>
          <w:szCs w:val="22"/>
        </w:rPr>
        <w:t xml:space="preserve">4x quemadores Hauck RSV120, 4x válvulas Kromschröder, ventilador Spencer (375 CFM, 5hp), PLC Allen Bradley MicroLogix, controladores Honeywell DC330/DC230, registrador Monarch 2 canales, rack de seguridad Kromschröder PF 19, y sistema de aislamiento refractario completo.</w:t>
      </w:r>
    </w:p>
    <w:p>
      <w:r>
        <w:br w:type="page"/>
      </w:r>
    </w:p>
    <w:p>
      <w:pPr>
        <w:pStyle w:val="Heading1"/>
        <w:pBdr>
          <w:bottom w:val="single" w:color="D4A017" w:sz="6" w:space="6"/>
        </w:pBdr>
        <w:spacing w:before="400" w:after="200"/>
      </w:pPr>
      <w:r>
        <w:rPr>
          <w:rFonts w:ascii="Arial" w:cs="Arial" w:eastAsia="Arial" w:hAnsi="Arial"/>
          <w:b/>
          <w:bCs/>
          <w:color w:val="0D2137"/>
          <w:sz w:val="32"/>
          <w:szCs w:val="32"/>
        </w:rPr>
        <w:t xml:space="preserve">Estructura de Costos Operativos</w:t>
      </w:r>
    </w:p>
    <w:p>
      <w:pPr>
        <w:pStyle w:val="Heading2"/>
        <w:spacing w:before="280" w:after="140"/>
      </w:pPr>
      <w:r>
        <w:rPr>
          <w:rFonts w:ascii="Arial" w:cs="Arial" w:eastAsia="Arial" w:hAnsi="Arial"/>
          <w:b/>
          <w:bCs/>
          <w:color w:val="1B4F72"/>
          <w:sz w:val="26"/>
          <w:szCs w:val="26"/>
        </w:rPr>
        <w:t xml:space="preserve">Requerimientos de Materia Prima (Anuales)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Material</w:t>
            </w:r>
          </w:p>
        </w:tc>
        <w:tc>
          <w:tcPr>
            <w:tcW w:type="dxa" w:w="234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Cantidad</w:t>
            </w:r>
          </w:p>
        </w:tc>
        <w:tc>
          <w:tcPr>
            <w:tcW w:type="dxa" w:w="234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Precio (USD)</w:t>
            </w:r>
          </w:p>
        </w:tc>
        <w:tc>
          <w:tcPr>
            <w:tcW w:type="dxa" w:w="234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Total (USD)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Zinc SHG 99,9%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140 Ton / Año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$3.600/ton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$504.000</w:t>
            </w:r>
          </w:p>
        </w:tc>
      </w:tr>
      <w:tr>
        <w:tc>
          <w:tcPr>
            <w:tcW w:type="dxa" w:w="234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Ácido Clorhídrico</w:t>
            </w:r>
          </w:p>
        </w:tc>
        <w:tc>
          <w:tcPr>
            <w:tcW w:type="dxa" w:w="234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5 Ton / Mes</w:t>
            </w:r>
          </w:p>
        </w:tc>
        <w:tc>
          <w:tcPr>
            <w:tcW w:type="dxa" w:w="234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$1.173,91/ton</w:t>
            </w:r>
          </w:p>
        </w:tc>
        <w:tc>
          <w:tcPr>
            <w:tcW w:type="dxa" w:w="234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$5.870/año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Cloruro de Amonio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 Ton / Mes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$2.300/ton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$27.600/año</w:t>
            </w:r>
          </w:p>
        </w:tc>
      </w:tr>
    </w:tbl>
    <w:p>
      <w:pPr>
        <w:pStyle w:val="Heading2"/>
        <w:spacing w:before="280" w:after="140"/>
      </w:pPr>
      <w:r>
        <w:rPr>
          <w:rFonts w:ascii="Arial" w:cs="Arial" w:eastAsia="Arial" w:hAnsi="Arial"/>
          <w:b/>
          <w:bCs/>
          <w:color w:val="1B4F72"/>
          <w:sz w:val="26"/>
          <w:szCs w:val="26"/>
        </w:rPr>
        <w:t xml:space="preserve">Rendimiento de Galvanizado con 140 Toneladas de Zinc</w:t>
      </w:r>
    </w:p>
    <w:p>
      <w:pPr>
        <w:pStyle w:val="ListParagraph"/>
        <w:numPr>
          <w:ilvl w:val="0"/>
          <w:numId w:val="2"/>
        </w:numPr>
        <w:spacing w:before="40" w:after="40"/>
      </w:pPr>
      <w:r>
        <w:rPr>
          <w:rFonts w:ascii="Arial" w:cs="Arial" w:eastAsia="Arial" w:hAnsi="Arial"/>
          <w:sz w:val="22"/>
          <w:szCs w:val="22"/>
        </w:rPr>
        <w:t xml:space="preserve">Escenario de alta eficiencia (7% recubrimiento): Hasta 2.000 toneladas de acero galvanizado por año</w:t>
      </w:r>
    </w:p>
    <w:p>
      <w:pPr>
        <w:pStyle w:val="ListParagraph"/>
        <w:numPr>
          <w:ilvl w:val="0"/>
          <w:numId w:val="2"/>
        </w:numPr>
        <w:spacing w:before="40" w:after="40"/>
      </w:pPr>
      <w:r>
        <w:rPr>
          <w:rFonts w:ascii="Arial" w:cs="Arial" w:eastAsia="Arial" w:hAnsi="Arial"/>
          <w:sz w:val="22"/>
          <w:szCs w:val="22"/>
        </w:rPr>
        <w:t xml:space="preserve">Escenario estándar (10% recubrimiento): Aproximadamente 1.400 toneladas de acero galvanizado por año</w:t>
      </w:r>
    </w:p>
    <w:p>
      <w:pPr>
        <w:pStyle w:val="Heading2"/>
        <w:spacing w:before="280" w:after="140"/>
      </w:pPr>
      <w:r>
        <w:rPr>
          <w:rFonts w:ascii="Arial" w:cs="Arial" w:eastAsia="Arial" w:hAnsi="Arial"/>
          <w:b/>
          <w:bCs/>
          <w:color w:val="1B4F72"/>
          <w:sz w:val="26"/>
          <w:szCs w:val="26"/>
        </w:rPr>
        <w:t xml:space="preserve">Gastos Fijos Mensuales</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3240"/>
        <w:gridCol w:w="2160"/>
      </w:tblGrid>
      <w:tr>
        <w:tc>
          <w:tcPr>
            <w:tcW w:type="dxa" w:w="324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Concepto</w:t>
            </w:r>
          </w:p>
        </w:tc>
        <w:tc>
          <w:tcPr>
            <w:tcW w:type="dxa" w:w="216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Costo Mensual</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Gas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$1.800</w:t>
            </w:r>
          </w:p>
        </w:tc>
      </w:tr>
      <w:tr>
        <w:tc>
          <w:tcPr>
            <w:tcW w:type="dxa" w:w="324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Electricidad</w:t>
            </w:r>
          </w:p>
        </w:tc>
        <w:tc>
          <w:tcPr>
            <w:tcW w:type="dxa" w:w="21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$200</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Seguridad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$1.200</w:t>
            </w:r>
          </w:p>
        </w:tc>
      </w:tr>
      <w:tr>
        <w:tc>
          <w:tcPr>
            <w:tcW w:type="dxa" w:w="324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Salarios / Nómina</w:t>
            </w:r>
          </w:p>
        </w:tc>
        <w:tc>
          <w:tcPr>
            <w:tcW w:type="dxa" w:w="21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$2.300</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Limpieza / Mantenimiento</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$100</w:t>
            </w:r>
          </w:p>
        </w:tc>
      </w:tr>
      <w:tr>
        <w:tc>
          <w:tcPr>
            <w:tcW w:type="dxa" w:w="324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TOTAL GASTOS FIJOS MENSUALES</w:t>
            </w:r>
          </w:p>
        </w:tc>
        <w:tc>
          <w:tcPr>
            <w:tcW w:type="dxa" w:w="216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$5.600</w:t>
            </w:r>
          </w:p>
        </w:tc>
      </w:tr>
    </w:tbl>
    <w:p>
      <w:pPr>
        <w:pBdr>
          <w:left w:val="single" w:color="2E86C1" w:sz="12" w:space="8"/>
        </w:pBdr>
        <w:shd w:fill="D6EAF8" w:val="clear"/>
        <w:spacing w:before="160" w:after="160"/>
      </w:pPr>
      <w:r>
        <w:rPr>
          <w:rFonts w:ascii="Arial" w:cs="Arial" w:eastAsia="Arial" w:hAnsi="Arial"/>
          <w:b/>
          <w:bCs/>
          <w:color w:val="0D2137"/>
          <w:sz w:val="22"/>
          <w:szCs w:val="22"/>
        </w:rPr>
        <w:t xml:space="preserve">Gastos fijos mensuales de solo $5.600 permiten arranque gradual sin presión de caja. Costos fijos anuales de $67.200 son notablemente bajos para una instalación de esta capacidad.</w:t>
      </w:r>
    </w:p>
    <w:p>
      <w:r>
        <w:br w:type="page"/>
      </w:r>
    </w:p>
    <w:p>
      <w:pPr>
        <w:pStyle w:val="Heading1"/>
        <w:pBdr>
          <w:bottom w:val="single" w:color="D4A017" w:sz="6" w:space="6"/>
        </w:pBdr>
        <w:spacing w:before="400" w:after="200"/>
      </w:pPr>
      <w:r>
        <w:rPr>
          <w:rFonts w:ascii="Arial" w:cs="Arial" w:eastAsia="Arial" w:hAnsi="Arial"/>
          <w:b/>
          <w:bCs/>
          <w:color w:val="0D2137"/>
          <w:sz w:val="32"/>
          <w:szCs w:val="32"/>
        </w:rPr>
        <w:t xml:space="preserve">Planta de Cobreado Electrolítico — Insumos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Insumo</w:t>
            </w:r>
          </w:p>
        </w:tc>
        <w:tc>
          <w:tcPr>
            <w:tcW w:type="dxa" w:w="312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Descripción</w:t>
            </w:r>
          </w:p>
        </w:tc>
        <w:tc>
          <w:tcPr>
            <w:tcW w:type="dxa" w:w="312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Cantidad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Ácido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Acid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5.000 kg/mes</w:t>
            </w:r>
          </w:p>
        </w:tc>
      </w:tr>
      <w:tr>
        <w:tc>
          <w:tcPr>
            <w:tcW w:type="dxa" w:w="312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Cloruro de Amonio</w:t>
            </w:r>
          </w:p>
        </w:tc>
        <w:tc>
          <w:tcPr>
            <w:tcW w:type="dxa" w:w="312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Ammonium Chloride</w:t>
            </w:r>
          </w:p>
        </w:tc>
        <w:tc>
          <w:tcPr>
            <w:tcW w:type="dxa" w:w="312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1.000 kg/mes (arranque)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Cobre Electrolítico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Electrolytic Copper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4 toneladas (4 tanques)</w:t>
            </w:r>
          </w:p>
        </w:tc>
      </w:tr>
      <w:tr>
        <w:tc>
          <w:tcPr>
            <w:tcW w:type="dxa" w:w="312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Sulfato de Níquel</w:t>
            </w:r>
          </w:p>
        </w:tc>
        <w:tc>
          <w:tcPr>
            <w:tcW w:type="dxa" w:w="312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Nickel Sulfate</w:t>
            </w:r>
          </w:p>
        </w:tc>
        <w:tc>
          <w:tcPr>
            <w:tcW w:type="dxa" w:w="312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600 kg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Cloruro de Níquel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Nickel Chloride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120 kg</w:t>
            </w:r>
          </w:p>
        </w:tc>
      </w:tr>
      <w:tr>
        <w:tc>
          <w:tcPr>
            <w:tcW w:type="dxa" w:w="312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Ácido Bórico</w:t>
            </w:r>
          </w:p>
        </w:tc>
        <w:tc>
          <w:tcPr>
            <w:tcW w:type="dxa" w:w="312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Boric Acid</w:t>
            </w:r>
          </w:p>
        </w:tc>
        <w:tc>
          <w:tcPr>
            <w:tcW w:type="dxa" w:w="312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100 kg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Níquel en Briquetas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Nickel Briquettes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1.000 kg</w:t>
            </w:r>
          </w:p>
        </w:tc>
      </w:tr>
      <w:tr>
        <w:tc>
          <w:tcPr>
            <w:tcW w:type="dxa" w:w="312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Ácido Sulfúrico</w:t>
            </w:r>
          </w:p>
        </w:tc>
        <w:tc>
          <w:tcPr>
            <w:tcW w:type="dxa" w:w="312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Sulfuric Acid</w:t>
            </w:r>
          </w:p>
        </w:tc>
        <w:tc>
          <w:tcPr>
            <w:tcW w:type="dxa" w:w="312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900 kg</w:t>
            </w:r>
          </w:p>
        </w:tc>
      </w:tr>
    </w:tbl>
    <w:p>
      <w:r>
        <w:br w:type="page"/>
      </w:r>
    </w:p>
    <w:p>
      <w:pPr>
        <w:pStyle w:val="Heading1"/>
        <w:pBdr>
          <w:bottom w:val="single" w:color="D4A017" w:sz="6" w:space="6"/>
        </w:pBdr>
        <w:spacing w:before="400" w:after="200"/>
      </w:pPr>
      <w:r>
        <w:rPr>
          <w:rFonts w:ascii="Arial" w:cs="Arial" w:eastAsia="Arial" w:hAnsi="Arial"/>
          <w:b/>
          <w:bCs/>
          <w:color w:val="0D2137"/>
          <w:sz w:val="32"/>
          <w:szCs w:val="32"/>
        </w:rPr>
        <w:t xml:space="preserve">Posicionamiento Estratégico y Contexto de Mercado</w:t>
      </w:r>
    </w:p>
    <w:p>
      <w:pPr>
        <w:pStyle w:val="Heading2"/>
        <w:spacing w:before="280" w:after="140"/>
      </w:pPr>
      <w:r>
        <w:rPr>
          <w:rFonts w:ascii="Arial" w:cs="Arial" w:eastAsia="Arial" w:hAnsi="Arial"/>
          <w:b/>
          <w:bCs/>
          <w:color w:val="1B4F72"/>
          <w:sz w:val="26"/>
          <w:szCs w:val="26"/>
        </w:rPr>
        <w:t xml:space="preserve">Ventaja de Ubicación</w:t>
      </w:r>
    </w:p>
    <w:p>
      <w:pPr>
        <w:spacing w:before="80" w:after="80"/>
      </w:pPr>
      <w:r>
        <w:rPr>
          <w:rFonts w:ascii="Arial" w:cs="Arial" w:eastAsia="Arial" w:hAnsi="Arial"/>
          <w:sz w:val="22"/>
          <w:szCs w:val="22"/>
        </w:rPr>
        <w:t xml:space="preserve">Barquisimeto es la cuarta ciudad más grande de Venezuela (población metropolitana ~1,27 millones) y sirve como principal centro comercial, industrial y de transporte para la región centro-occidental. Está conectada por autopista a todos los centros urbanos principales y cuenta con aeropuerto internacional (Jacinto Lara International Airport).</w:t>
      </w:r>
    </w:p>
    <w:p>
      <w:pPr>
        <w:spacing w:before="40" w:after="40"/>
      </w:pPr>
      <w:r>
        <w:rPr>
          <w:rFonts w:ascii="Arial" w:cs="Arial" w:eastAsia="Arial" w:hAnsi="Arial"/>
          <w:i/>
          <w:iCs/>
          <w:color w:val="888888"/>
          <w:sz w:val="16"/>
          <w:szCs w:val="16"/>
        </w:rPr>
        <w:t xml:space="preserve">Fuente: Britannica; Wikipedia, “Barquisimeto”</w:t>
      </w:r>
    </w:p>
    <w:p>
      <w:pPr>
        <w:spacing w:before="80" w:after="80"/>
      </w:pPr>
      <w:r>
        <w:rPr>
          <w:rFonts w:ascii="Arial" w:cs="Arial" w:eastAsia="Arial" w:hAnsi="Arial"/>
          <w:sz w:val="22"/>
          <w:szCs w:val="22"/>
        </w:rPr>
        <w:t xml:space="preserve">La actividad manufacturera del Estado Lara se concentra en Barquisimeto, que cuenta con zonas industriales de importante magnitud y capacidad de producción.</w:t>
      </w:r>
    </w:p>
    <w:p>
      <w:pPr>
        <w:spacing w:before="40" w:after="40"/>
      </w:pPr>
      <w:r>
        <w:rPr>
          <w:rFonts w:ascii="Arial" w:cs="Arial" w:eastAsia="Arial" w:hAnsi="Arial"/>
          <w:i/>
          <w:iCs/>
          <w:color w:val="888888"/>
          <w:sz w:val="16"/>
          <w:szCs w:val="16"/>
        </w:rPr>
        <w:t xml:space="preserve">Fuente: Wikipedia, “Estado Lara”</w:t>
      </w:r>
    </w:p>
    <w:p>
      <w:pPr>
        <w:pStyle w:val="Heading2"/>
        <w:spacing w:before="280" w:after="140"/>
      </w:pPr>
      <w:r>
        <w:rPr>
          <w:rFonts w:ascii="Arial" w:cs="Arial" w:eastAsia="Arial" w:hAnsi="Arial"/>
          <w:b/>
          <w:bCs/>
          <w:color w:val="1B4F72"/>
          <w:sz w:val="26"/>
          <w:szCs w:val="26"/>
        </w:rPr>
        <w:t xml:space="preserve">Proximidad a Operaciones Petroleras</w:t>
      </w:r>
    </w:p>
    <w:p>
      <w:pPr>
        <w:spacing w:before="80" w:after="80"/>
      </w:pPr>
      <w:r>
        <w:rPr>
          <w:rFonts w:ascii="Arial" w:cs="Arial" w:eastAsia="Arial" w:hAnsi="Arial"/>
          <w:sz w:val="22"/>
          <w:szCs w:val="22"/>
        </w:rPr>
        <w:t xml:space="preserve">Las principales operaciones petroleras de Venezuela se concentran en la Faja del Orinoco (centro-sur) y la Cuenca de Maracaibo (Estado Zulia, noroeste). Barquisimeto se sitúa en el corredor centro-occidental entre estas regiones, con acceso vial a ambas. A medida que la actividad de reconstrucción se expanda, la capacidad regional de galvanizado será de demanda crítica.</w:t>
      </w:r>
    </w:p>
    <w:p>
      <w:pPr>
        <w:spacing w:before="80" w:after="80"/>
      </w:pPr>
      <w:r>
        <w:rPr>
          <w:rFonts w:ascii="Arial" w:cs="Arial" w:eastAsia="Arial" w:hAnsi="Arial"/>
          <w:sz w:val="22"/>
          <w:szCs w:val="22"/>
        </w:rPr>
        <w:t xml:space="preserve">PDVSA ha firmado recientemente nueve acuerdos de producción compartida con empresas chinas y argentinas, asignando derechos operativos en bloques del Estado Zulia y la Faja del Orinoco. La primera empresa extranjera en producir crudo bajo una concesión de 20 años, Anhui Guangda Mining Investment, proyecta generar 600.000 barriles por día.</w:t>
      </w:r>
    </w:p>
    <w:p>
      <w:pPr>
        <w:spacing w:before="40" w:after="40"/>
      </w:pPr>
      <w:r>
        <w:rPr>
          <w:rFonts w:ascii="Arial" w:cs="Arial" w:eastAsia="Arial" w:hAnsi="Arial"/>
          <w:i/>
          <w:iCs/>
          <w:color w:val="888888"/>
          <w:sz w:val="16"/>
          <w:szCs w:val="16"/>
        </w:rPr>
        <w:t xml:space="preserve">Fuente: Speyside Group, “Venezuela at a Crossroads”</w:t>
      </w:r>
    </w:p>
    <w:p>
      <w:pPr>
        <w:pStyle w:val="Heading2"/>
        <w:spacing w:before="280" w:after="140"/>
      </w:pPr>
      <w:r>
        <w:rPr>
          <w:rFonts w:ascii="Arial" w:cs="Arial" w:eastAsia="Arial" w:hAnsi="Arial"/>
          <w:b/>
          <w:bCs/>
          <w:color w:val="1B4F72"/>
          <w:sz w:val="26"/>
          <w:szCs w:val="26"/>
        </w:rPr>
        <w:t xml:space="preserve">Panorama Competitivo</w:t>
      </w:r>
    </w:p>
    <w:p>
      <w:pPr>
        <w:spacing w:before="80" w:after="80"/>
      </w:pPr>
      <w:r>
        <w:rPr>
          <w:rFonts w:ascii="Arial" w:cs="Arial" w:eastAsia="Arial" w:hAnsi="Arial"/>
          <w:sz w:val="22"/>
          <w:szCs w:val="22"/>
        </w:rPr>
        <w:t xml:space="preserve">La base industrial de Venezuela ha sido devastada por la crisis económica. Rystad Energy advierte que años de atrofia industrial doméstica y disponibilidad limitada de mano de obra calificada hacen improbable que un aumento rápido en la demanda de servicios pueda ser absorbido a corto plazo. Instalaciones existentes y operativas como PYG Lara tienen una ventaja significativa de primer movimiento.</w:t>
      </w:r>
    </w:p>
    <w:p>
      <w:pPr>
        <w:spacing w:before="40" w:after="40"/>
      </w:pPr>
      <w:r>
        <w:rPr>
          <w:rFonts w:ascii="Arial" w:cs="Arial" w:eastAsia="Arial" w:hAnsi="Arial"/>
          <w:i/>
          <w:iCs/>
          <w:color w:val="888888"/>
          <w:sz w:val="16"/>
          <w:szCs w:val="16"/>
        </w:rPr>
        <w:t xml:space="preserve">Fuente: Rystad Energy vía AJOT</w:t>
      </w:r>
    </w:p>
    <w:p>
      <w:pPr>
        <w:pBdr>
          <w:left w:val="single" w:color="2E86C1" w:sz="12" w:space="8"/>
        </w:pBdr>
        <w:shd w:fill="D6EAF8" w:val="clear"/>
        <w:spacing w:before="160" w:after="160"/>
      </w:pPr>
      <w:r>
        <w:rPr>
          <w:rFonts w:ascii="Arial" w:cs="Arial" w:eastAsia="Arial" w:hAnsi="Arial"/>
          <w:b/>
          <w:bCs/>
          <w:color w:val="0D2137"/>
          <w:sz w:val="22"/>
          <w:szCs w:val="22"/>
        </w:rPr>
        <w:t xml:space="preserve">Una planta de galvanizado operativa con infraestructura lista en Venezuela hoy no compite en un mercado saturado — está llenando un vacío.</w:t>
      </w:r>
    </w:p>
    <w:p>
      <w:r>
        <w:br w:type="page"/>
      </w:r>
    </w:p>
    <w:p>
      <w:pPr>
        <w:pStyle w:val="Heading1"/>
        <w:pBdr>
          <w:bottom w:val="single" w:color="D4A017" w:sz="6" w:space="6"/>
        </w:pBdr>
        <w:spacing w:before="400" w:after="200"/>
      </w:pPr>
      <w:r>
        <w:rPr>
          <w:rFonts w:ascii="Arial" w:cs="Arial" w:eastAsia="Arial" w:hAnsi="Arial"/>
          <w:b/>
          <w:bCs/>
          <w:color w:val="0D2137"/>
          <w:sz w:val="32"/>
          <w:szCs w:val="32"/>
        </w:rPr>
        <w:t xml:space="preserve">Factores de Riesgo y Consideraciones</w:t>
      </w:r>
    </w:p>
    <w:p>
      <w:pPr>
        <w:spacing w:before="80" w:after="80"/>
      </w:pPr>
      <w:r>
        <w:rPr>
          <w:rFonts w:ascii="Arial" w:cs="Arial" w:eastAsia="Arial" w:hAnsi="Arial"/>
          <w:sz w:val="22"/>
          <w:szCs w:val="22"/>
        </w:rPr>
        <w:t xml:space="preserve">Este documento presenta la oportunidad de inversión con transparencia. Los compradores potenciales deben considerar los siguientes riesgos:</w:t>
      </w:r>
    </w:p>
    <w:p>
      <w:pPr>
        <w:pStyle w:val="Heading2"/>
        <w:spacing w:before="280" w:after="140"/>
      </w:pPr>
      <w:r>
        <w:rPr>
          <w:rFonts w:ascii="Arial" w:cs="Arial" w:eastAsia="Arial" w:hAnsi="Arial"/>
          <w:b/>
          <w:bCs/>
          <w:color w:val="1B4F72"/>
          <w:sz w:val="26"/>
          <w:szCs w:val="26"/>
        </w:rPr>
        <w:t xml:space="preserve">Riesgo Político y Regulatorio</w:t>
      </w:r>
    </w:p>
    <w:p>
      <w:pPr>
        <w:pStyle w:val="ListParagraph"/>
        <w:numPr>
          <w:ilvl w:val="0"/>
          <w:numId w:val="2"/>
        </w:numPr>
        <w:spacing w:before="40" w:after="40"/>
      </w:pPr>
      <w:r>
        <w:rPr>
          <w:rFonts w:ascii="Arial" w:cs="Arial" w:eastAsia="Arial" w:hAnsi="Arial"/>
          <w:sz w:val="22"/>
          <w:szCs w:val="22"/>
        </w:rPr>
        <w:t xml:space="preserve">La situación política sigue siendo fluida tras el cambio de régimen de enero 2026. La estabilidad a largo plazo no está garantizada.</w:t>
      </w:r>
    </w:p>
    <w:p>
      <w:pPr>
        <w:pStyle w:val="ListParagraph"/>
        <w:numPr>
          <w:ilvl w:val="0"/>
          <w:numId w:val="2"/>
        </w:numPr>
        <w:spacing w:before="40" w:after="40"/>
      </w:pPr>
      <w:r>
        <w:rPr>
          <w:rFonts w:ascii="Arial" w:cs="Arial" w:eastAsia="Arial" w:hAnsi="Arial"/>
          <w:sz w:val="22"/>
          <w:szCs w:val="22"/>
        </w:rPr>
        <w:t xml:space="preserve">Petroleras mayores como ExxonMobil han expresado cautela sobre comprometer capital por el historial de nacionalizaciones.</w:t>
      </w:r>
    </w:p>
    <w:p>
      <w:pPr>
        <w:spacing w:before="40" w:after="40"/>
      </w:pPr>
      <w:r>
        <w:rPr>
          <w:rFonts w:ascii="Arial" w:cs="Arial" w:eastAsia="Arial" w:hAnsi="Arial"/>
          <w:i/>
          <w:iCs/>
          <w:color w:val="888888"/>
          <w:sz w:val="16"/>
          <w:szCs w:val="16"/>
        </w:rPr>
        <w:t xml:space="preserve">Fuente: CNBC, 28 de enero 2026; Atlantic Council, 8 de enero 2026</w:t>
      </w:r>
    </w:p>
    <w:p>
      <w:pPr>
        <w:pStyle w:val="Heading2"/>
        <w:spacing w:before="280" w:after="140"/>
      </w:pPr>
      <w:r>
        <w:rPr>
          <w:rFonts w:ascii="Arial" w:cs="Arial" w:eastAsia="Arial" w:hAnsi="Arial"/>
          <w:b/>
          <w:bCs/>
          <w:color w:val="1B4F72"/>
          <w:sz w:val="26"/>
          <w:szCs w:val="26"/>
        </w:rPr>
        <w:t xml:space="preserve">Riesgo Macroeconómico</w:t>
      </w:r>
    </w:p>
    <w:p>
      <w:pPr>
        <w:pStyle w:val="ListParagraph"/>
        <w:numPr>
          <w:ilvl w:val="0"/>
          <w:numId w:val="2"/>
        </w:numPr>
        <w:spacing w:before="40" w:after="40"/>
      </w:pPr>
      <w:r>
        <w:rPr>
          <w:rFonts w:ascii="Arial" w:cs="Arial" w:eastAsia="Arial" w:hAnsi="Arial"/>
          <w:sz w:val="22"/>
          <w:szCs w:val="22"/>
        </w:rPr>
        <w:t xml:space="preserve">El FMI proyecta inflación de aproximadamente 682% para 2026.</w:t>
      </w:r>
    </w:p>
    <w:p>
      <w:pPr>
        <w:pStyle w:val="ListParagraph"/>
        <w:numPr>
          <w:ilvl w:val="0"/>
          <w:numId w:val="2"/>
        </w:numPr>
        <w:spacing w:before="40" w:after="40"/>
      </w:pPr>
      <w:r>
        <w:rPr>
          <w:rFonts w:ascii="Arial" w:cs="Arial" w:eastAsia="Arial" w:hAnsi="Arial"/>
          <w:sz w:val="22"/>
          <w:szCs w:val="22"/>
        </w:rPr>
        <w:t xml:space="preserve">El PIB se contrajo entre 75-80% entre 2012 y 2020.</w:t>
      </w:r>
    </w:p>
    <w:p>
      <w:pPr>
        <w:pStyle w:val="ListParagraph"/>
        <w:numPr>
          <w:ilvl w:val="0"/>
          <w:numId w:val="2"/>
        </w:numPr>
        <w:spacing w:before="40" w:after="40"/>
      </w:pPr>
      <w:r>
        <w:rPr>
          <w:rFonts w:ascii="Arial" w:cs="Arial" w:eastAsia="Arial" w:hAnsi="Arial"/>
          <w:sz w:val="22"/>
          <w:szCs w:val="22"/>
        </w:rPr>
        <w:t xml:space="preserve">La inestabilidad cambiaria puede afectar cálculos de precios y costos.</w:t>
      </w:r>
    </w:p>
    <w:p>
      <w:pPr>
        <w:spacing w:before="40" w:after="40"/>
      </w:pPr>
      <w:r>
        <w:rPr>
          <w:rFonts w:ascii="Arial" w:cs="Arial" w:eastAsia="Arial" w:hAnsi="Arial"/>
          <w:i/>
          <w:iCs/>
          <w:color w:val="888888"/>
          <w:sz w:val="16"/>
          <w:szCs w:val="16"/>
        </w:rPr>
        <w:t xml:space="preserve">Fuente: Center for Global Development; estimaciones del FMI</w:t>
      </w:r>
    </w:p>
    <w:p>
      <w:pPr>
        <w:pStyle w:val="Heading2"/>
        <w:spacing w:before="280" w:after="140"/>
      </w:pPr>
      <w:r>
        <w:rPr>
          <w:rFonts w:ascii="Arial" w:cs="Arial" w:eastAsia="Arial" w:hAnsi="Arial"/>
          <w:b/>
          <w:bCs/>
          <w:color w:val="1B4F72"/>
          <w:sz w:val="26"/>
          <w:szCs w:val="26"/>
        </w:rPr>
        <w:t xml:space="preserve">Riesgo Operativo</w:t>
      </w:r>
    </w:p>
    <w:p>
      <w:pPr>
        <w:pStyle w:val="ListParagraph"/>
        <w:numPr>
          <w:ilvl w:val="0"/>
          <w:numId w:val="2"/>
        </w:numPr>
        <w:spacing w:before="40" w:after="40"/>
      </w:pPr>
      <w:r>
        <w:rPr>
          <w:rFonts w:ascii="Arial" w:cs="Arial" w:eastAsia="Arial" w:hAnsi="Arial"/>
          <w:sz w:val="22"/>
          <w:szCs w:val="22"/>
        </w:rPr>
        <w:t xml:space="preserve">Cadena de suministro de zinc e insumos químicos puede enfrentar interrupciones.</w:t>
      </w:r>
    </w:p>
    <w:p>
      <w:pPr>
        <w:pStyle w:val="ListParagraph"/>
        <w:numPr>
          <w:ilvl w:val="0"/>
          <w:numId w:val="2"/>
        </w:numPr>
        <w:spacing w:before="40" w:after="40"/>
      </w:pPr>
      <w:r>
        <w:rPr>
          <w:rFonts w:ascii="Arial" w:cs="Arial" w:eastAsia="Arial" w:hAnsi="Arial"/>
          <w:sz w:val="22"/>
          <w:szCs w:val="22"/>
        </w:rPr>
        <w:t xml:space="preserve">Disponibilidad de mano de obra calificada limitada por emigración.</w:t>
      </w:r>
    </w:p>
    <w:p>
      <w:pPr>
        <w:pStyle w:val="ListParagraph"/>
        <w:numPr>
          <w:ilvl w:val="0"/>
          <w:numId w:val="2"/>
        </w:numPr>
        <w:spacing w:before="40" w:after="40"/>
      </w:pPr>
      <w:r>
        <w:rPr>
          <w:rFonts w:ascii="Arial" w:cs="Arial" w:eastAsia="Arial" w:hAnsi="Arial"/>
          <w:sz w:val="22"/>
          <w:szCs w:val="22"/>
        </w:rPr>
        <w:t xml:space="preserve">Confiabilidad de infraestructura (red eléctrica, agua) puede afectar operaciones.</w:t>
      </w:r>
    </w:p>
    <w:p>
      <w:pPr>
        <w:pStyle w:val="Heading2"/>
        <w:spacing w:before="280" w:after="140"/>
      </w:pPr>
      <w:r>
        <w:rPr>
          <w:rFonts w:ascii="Arial" w:cs="Arial" w:eastAsia="Arial" w:hAnsi="Arial"/>
          <w:b/>
          <w:bCs/>
          <w:color w:val="1B4F72"/>
          <w:sz w:val="26"/>
          <w:szCs w:val="26"/>
        </w:rPr>
        <w:t xml:space="preserve">Factores Mitigantes</w:t>
      </w:r>
    </w:p>
    <w:p>
      <w:pPr>
        <w:pStyle w:val="ListParagraph"/>
        <w:numPr>
          <w:ilvl w:val="0"/>
          <w:numId w:val="2"/>
        </w:numPr>
        <w:spacing w:before="40" w:after="40"/>
      </w:pPr>
      <w:r>
        <w:rPr>
          <w:rFonts w:ascii="Arial" w:cs="Arial" w:eastAsia="Arial" w:hAnsi="Arial"/>
          <w:sz w:val="22"/>
          <w:szCs w:val="22"/>
        </w:rPr>
        <w:t xml:space="preserve">Base de costos fijos extremadamente baja ($5.600/mes) permite arranque gradual.</w:t>
      </w:r>
    </w:p>
    <w:p>
      <w:pPr>
        <w:pStyle w:val="ListParagraph"/>
        <w:numPr>
          <w:ilvl w:val="0"/>
          <w:numId w:val="2"/>
        </w:numPr>
        <w:spacing w:before="40" w:after="40"/>
      </w:pPr>
      <w:r>
        <w:rPr>
          <w:rFonts w:ascii="Arial" w:cs="Arial" w:eastAsia="Arial" w:hAnsi="Arial"/>
          <w:sz w:val="22"/>
          <w:szCs w:val="22"/>
        </w:rPr>
        <w:t xml:space="preserve">Activos físicos (3 propiedades + equipos) proporcionan protección a la baja.</w:t>
      </w:r>
    </w:p>
    <w:p>
      <w:pPr>
        <w:pStyle w:val="ListParagraph"/>
        <w:numPr>
          <w:ilvl w:val="0"/>
          <w:numId w:val="2"/>
        </w:numPr>
        <w:spacing w:before="40" w:after="40"/>
      </w:pPr>
      <w:r>
        <w:rPr>
          <w:rFonts w:ascii="Arial" w:cs="Arial" w:eastAsia="Arial" w:hAnsi="Arial"/>
          <w:sz w:val="22"/>
          <w:szCs w:val="22"/>
        </w:rPr>
        <w:t xml:space="preserve">Doble fuente de ingresos (galvanizado + cobre) diversifica el riesgo.</w:t>
      </w:r>
    </w:p>
    <w:p>
      <w:pPr>
        <w:pStyle w:val="ListParagraph"/>
        <w:numPr>
          <w:ilvl w:val="0"/>
          <w:numId w:val="2"/>
        </w:numPr>
        <w:spacing w:before="40" w:after="40"/>
      </w:pPr>
      <w:r>
        <w:rPr>
          <w:rFonts w:ascii="Arial" w:cs="Arial" w:eastAsia="Arial" w:hAnsi="Arial"/>
          <w:sz w:val="22"/>
          <w:szCs w:val="22"/>
        </w:rPr>
        <w:t xml:space="preserve">Cero deudas = sin riesgo de estrés financiero durante arranque.</w:t>
      </w:r>
    </w:p>
    <w:p>
      <w:r>
        <w:br w:type="page"/>
      </w:r>
    </w:p>
    <w:p>
      <w:pPr>
        <w:pStyle w:val="Heading1"/>
        <w:pBdr>
          <w:bottom w:val="single" w:color="D4A017" w:sz="6" w:space="6"/>
        </w:pBdr>
        <w:spacing w:before="400" w:after="200"/>
      </w:pPr>
      <w:r>
        <w:rPr>
          <w:rFonts w:ascii="Arial" w:cs="Arial" w:eastAsia="Arial" w:hAnsi="Arial"/>
          <w:b/>
          <w:bCs/>
          <w:color w:val="0D2137"/>
          <w:sz w:val="32"/>
          <w:szCs w:val="32"/>
        </w:rPr>
        <w:t xml:space="preserve">Resumen de la Inversión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Concepto</w:t>
            </w:r>
          </w:p>
        </w:tc>
        <w:tc>
          <w:tcPr>
            <w:tcW w:type="dxa" w:w="468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Detalle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Precio de Venta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$1.000.000 USD</w:t>
            </w:r>
          </w:p>
        </w:tc>
      </w:tr>
      <w:tr>
        <w:tc>
          <w:tcPr>
            <w:tcW w:type="dxa" w:w="468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Bienes Inmuebles</w:t>
            </w:r>
          </w:p>
        </w:tc>
        <w:tc>
          <w:tcPr>
            <w:tcW w:type="dxa" w:w="468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 galpones propios (sin arrendamiento)</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Valor Est. Inmuebles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$285.000 - $816.000 según superficie</w:t>
            </w:r>
          </w:p>
        </w:tc>
      </w:tr>
      <w:tr>
        <w:tc>
          <w:tcPr>
            <w:tcW w:type="dxa" w:w="468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Capacidad de Galvanizado</w:t>
            </w:r>
          </w:p>
        </w:tc>
        <w:tc>
          <w:tcPr>
            <w:tcW w:type="dxa" w:w="468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400 toneladas/mes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Capacidad Varillas de Cobre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936 varillas/día (ciclo 24h)</w:t>
            </w:r>
          </w:p>
        </w:tc>
      </w:tr>
      <w:tr>
        <w:tc>
          <w:tcPr>
            <w:tcW w:type="dxa" w:w="468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Condición de Equipos</w:t>
            </w:r>
          </w:p>
        </w:tc>
        <w:tc>
          <w:tcPr>
            <w:tcW w:type="dxa" w:w="468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En funcionamiento; algunos sellados de fábrica</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Deudas / Gravámenes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Ninguna</w:t>
            </w:r>
          </w:p>
        </w:tc>
      </w:tr>
      <w:tr>
        <w:tc>
          <w:tcPr>
            <w:tcW w:type="dxa" w:w="468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Costos Fijos Mensuales</w:t>
            </w:r>
          </w:p>
        </w:tc>
        <w:tc>
          <w:tcPr>
            <w:tcW w:type="dxa" w:w="468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$5.600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Costo Anual Zinc (140 ton)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$504.000</w:t>
            </w:r>
          </w:p>
        </w:tc>
      </w:tr>
      <w:tr>
        <w:tc>
          <w:tcPr>
            <w:tcW w:type="dxa" w:w="468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Valor Reposición Horno</w:t>
            </w:r>
          </w:p>
        </w:tc>
        <w:tc>
          <w:tcPr>
            <w:tcW w:type="dxa" w:w="468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$570.000+ (solo horno principal)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Margen de Utilidad Actual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28-32% (regulado); 50% interno</w:t>
            </w:r>
          </w:p>
        </w:tc>
      </w:tr>
      <w:tr>
        <w:tc>
          <w:tcPr>
            <w:tcW w:type="dxa" w:w="468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Lista para Producir</w:t>
            </w:r>
          </w:p>
        </w:tc>
        <w:tc>
          <w:tcPr>
            <w:tcW w:type="dxa" w:w="468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Sí — solo requiere zinc</w:t>
            </w:r>
          </w:p>
        </w:tc>
      </w:tr>
    </w:tbl>
    <w:p>
      <w:pPr>
        <w:spacing w:before="300"/>
      </w:pPr>
    </w:p>
    <w:p>
      <w:pPr>
        <w:pBdr>
          <w:left w:val="single" w:color="2E7D32" w:sz="12" w:space="8"/>
        </w:pBdr>
        <w:shd w:fill="E8F5E9" w:val="clear"/>
        <w:spacing w:before="160" w:after="160"/>
      </w:pPr>
      <w:r>
        <w:rPr>
          <w:rFonts w:ascii="Arial" w:cs="Arial" w:eastAsia="Arial" w:hAnsi="Arial"/>
          <w:b/>
          <w:bCs/>
          <w:color w:val="1B5E20"/>
          <w:sz w:val="22"/>
          <w:szCs w:val="22"/>
        </w:rPr>
        <w:t xml:space="preserve">Por $1M, un comprador adquiere: 3 propiedades (valor estimado $285K-$816K) + equipos (reposición $570K+ solo del horno) + posicionamiento en un mercado de $156 mil millones en servicios de infraestructura. Los activos físicos por sí solos se aproximan o superan el precio de venta.</w:t>
      </w:r>
    </w:p>
    <w:p>
      <w:pPr>
        <w:spacing w:before="400"/>
      </w:pPr>
    </w:p>
    <w:p>
      <w:pPr>
        <w:spacing w:before="80" w:after="80"/>
      </w:pPr>
      <w:r>
        <w:rPr>
          <w:rFonts w:ascii="Arial" w:cs="Arial" w:eastAsia="Arial" w:hAnsi="Arial"/>
          <w:b/>
          <w:bCs/>
          <w:color w:val="CC0000"/>
          <w:sz w:val="22"/>
          <w:szCs w:val="22"/>
        </w:rPr>
        <w:t xml:space="preserve">[FOTOS Y DOCUMENTACIÓN DE LA PLANTA A ANEXAR]</w:t>
      </w:r>
    </w:p>
    <w:p>
      <w:r>
        <w:br w:type="page"/>
      </w:r>
    </w:p>
    <w:p>
      <w:pPr>
        <w:pStyle w:val="Heading1"/>
        <w:pBdr>
          <w:bottom w:val="single" w:color="D4A017" w:sz="6" w:space="6"/>
        </w:pBdr>
        <w:spacing w:before="400" w:after="200"/>
      </w:pPr>
      <w:r>
        <w:rPr>
          <w:rFonts w:ascii="Arial" w:cs="Arial" w:eastAsia="Arial" w:hAnsi="Arial"/>
          <w:b/>
          <w:bCs/>
          <w:color w:val="0D2137"/>
          <w:sz w:val="32"/>
          <w:szCs w:val="32"/>
        </w:rPr>
        <w:t xml:space="preserve">Información de Contacto</w:t>
      </w:r>
    </w:p>
    <w:p>
      <w:pPr>
        <w:spacing w:before="80" w:after="80"/>
      </w:pPr>
      <w:r>
        <w:rPr>
          <w:rFonts w:ascii="Arial" w:cs="Arial" w:eastAsia="Arial" w:hAnsi="Arial"/>
          <w:sz w:val="22"/>
          <w:szCs w:val="22"/>
        </w:rPr>
        <w:t xml:space="preserve">Empresa: Prensados y Galvanizados de Lara, S.A.</w:t>
      </w:r>
    </w:p>
    <w:p>
      <w:pPr>
        <w:spacing w:before="80" w:after="80"/>
      </w:pPr>
      <w:r>
        <w:rPr>
          <w:rFonts w:ascii="Arial" w:cs="Arial" w:eastAsia="Arial" w:hAnsi="Arial"/>
          <w:sz w:val="22"/>
          <w:szCs w:val="22"/>
        </w:rPr>
        <w:t xml:space="preserve">Instagram: @pyglarasa</w:t>
      </w:r>
    </w:p>
    <w:p>
      <w:pPr>
        <w:spacing w:before="80" w:after="80"/>
      </w:pPr>
      <w:r>
        <w:rPr>
          <w:rFonts w:ascii="Arial" w:cs="Arial" w:eastAsia="Arial" w:hAnsi="Arial"/>
          <w:sz w:val="22"/>
          <w:szCs w:val="22"/>
        </w:rPr>
        <w:t xml:space="preserve">Teléfono: +584245715349</w:t>
      </w:r>
    </w:p>
    <w:p>
      <w:pPr>
        <w:spacing w:before="80" w:after="80"/>
      </w:pPr>
      <w:r>
        <w:rPr>
          <w:rFonts w:ascii="Arial" w:cs="Arial" w:eastAsia="Arial" w:hAnsi="Arial"/>
          <w:sz w:val="22"/>
          <w:szCs w:val="22"/>
        </w:rPr>
        <w:t xml:space="preserve">Dirección: Calle 26, entre Avenidas 1 y 2, Galpón No. 25-90, Barquisimeto, Estado Lara, 3001, Venezuela</w:t>
      </w:r>
    </w:p>
    <w:p>
      <w:pPr>
        <w:spacing w:before="400"/>
      </w:pPr>
    </w:p>
    <w:p>
      <w:pPr>
        <w:pStyle w:val="Heading2"/>
        <w:spacing w:before="280" w:after="140"/>
      </w:pPr>
      <w:r>
        <w:rPr>
          <w:rFonts w:ascii="Arial" w:cs="Arial" w:eastAsia="Arial" w:hAnsi="Arial"/>
          <w:b/>
          <w:bCs/>
          <w:color w:val="1B4F72"/>
          <w:sz w:val="26"/>
          <w:szCs w:val="26"/>
        </w:rPr>
        <w:t xml:space="preserve">Aviso Legal</w:t>
      </w:r>
    </w:p>
    <w:p>
      <w:pPr>
        <w:spacing w:before="80" w:after="80"/>
      </w:pPr>
      <w:r>
        <w:rPr>
          <w:rFonts w:ascii="Arial" w:cs="Arial" w:eastAsia="Arial" w:hAnsi="Arial"/>
          <w:color w:val="666666"/>
          <w:sz w:val="22"/>
          <w:szCs w:val="22"/>
        </w:rPr>
        <w:t xml:space="preserve">Este documento ha sido preparado únicamente con fines informativos y no constituye una oferta de venta ni una solicitud de oferta de compra de valores o activos. Todas las proyecciones financieras y datos de mercado referenciados provienen de publicaciones de terceros y se incluyen solo como contexto — no representan garantías de rendimiento futuro. Los inversionistas potenciales deben realizar su propia diligencia debida independiente, incluyendo pero no limitándose a revisión legal, financiera, fiscal y operativa, antes de tomar cualquier decisión de inversión. El desempeño histórico del P&amp;L refleja las condiciones macroeconómicas de Venezuela y debe evaluarse en ese contexto.</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jc w:val="center"/>
    </w:pPr>
    <w:r>
      <w:rPr>
        <w:rFonts w:ascii="Arial" w:cs="Arial" w:eastAsia="Arial" w:hAnsi="Arial"/>
        <w:color w:val="AAAAAA"/>
        <w:sz w:val="14"/>
        <w:szCs w:val="14"/>
      </w:rPr>
      <w:t xml:space="preserve">CONFIDENCIAL  |  Página </w:t>
    </w:r>
    <w:r>
      <w:rPr>
        <w:rFonts w:ascii="Arial" w:cs="Arial" w:eastAsia="Arial" w:hAnsi="Arial"/>
        <w:color w:val="AAAAAA"/>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017" w:sz="4" w:space="4"/>
      </w:pBdr>
    </w:pPr>
    <w:r>
      <w:rPr>
        <w:rFonts w:ascii="Arial" w:cs="Arial" w:eastAsia="Arial" w:hAnsi="Arial"/>
        <w:b/>
        <w:bCs/>
        <w:color w:val="0D2137"/>
        <w:sz w:val="16"/>
        <w:szCs w:val="16"/>
      </w:rPr>
      <w:t xml:space="preserve">Prensados y Galvanizados de Lara, S.A.</w:t>
    </w:r>
    <w:r>
      <w:rPr>
        <w:rFonts w:ascii="Arial" w:cs="Arial" w:eastAsia="Arial" w:hAnsi="Arial"/>
        <w:i/>
        <w:iCs/>
        <w:color w:val="2E86C1"/>
        <w:sz w:val="16"/>
        <w:szCs w:val="16"/>
      </w:rPr>
      <w:t xml:space="preserve">  |  Memorando de Inversión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D2137"/>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1B4F7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2026-02-18T21:41:48.908Z</dcterms:created>
  <dcterms:modified xsi:type="dcterms:W3CDTF">2026-02-18T21:41:48.909Z</dcterms:modified>
</cp:coreProperties>
</file>

<file path=docProps/custom.xml><?xml version="1.0" encoding="utf-8"?>
<Properties xmlns="http://schemas.openxmlformats.org/officeDocument/2006/custom-properties" xmlns:vt="http://schemas.openxmlformats.org/officeDocument/2006/docPropsVTypes"/>
</file>