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3864"/>
          <w:sz w:val="44"/>
          <w:szCs w:val="44"/>
        </w:rPr>
        <w:t xml:space="preserve">Macro Validation Brief</w:t>
      </w:r>
    </w:p>
    <w:p>
      <w:pPr>
        <w:spacing w:after="200"/>
      </w:pPr>
      <w:r>
        <w:rPr>
          <w:color w:val="2E75B6"/>
          <w:sz w:val="28"/>
          <w:szCs w:val="28"/>
        </w:rPr>
        <w:t xml:space="preserve">AI Concentration Risk and the GLP-1 Rotation Thesis</w:t>
      </w:r>
    </w:p>
    <w:p>
      <w:pPr>
        <w:spacing w:after="160"/>
      </w:pPr>
      <w:r>
        <w:rPr>
          <w:i/>
          <w:iCs/>
          <w:color w:val="666666"/>
          <w:sz w:val="20"/>
          <w:szCs w:val="20"/>
        </w:rPr>
        <w:t xml:space="preserve">Prepared for: Andres Montbrun  |  Date: May 1, 2026  |  Status: Working draft for thesis review</w:t>
      </w:r>
    </w:p>
    <w:p>
      <w:pPr>
        <w:spacing w:after="240"/>
      </w:pPr>
      <w:r>
        <w:rPr>
          <w:i/>
          <w:iCs/>
          <w:color w:val="8B0000"/>
          <w:sz w:val="18"/>
          <w:szCs w:val="18"/>
        </w:rPr>
        <w:t xml:space="preserve">This document is a research brief, not investment advice. The author is an AI assistant. Position sizing decisions on $50K+ concentrated bets should be reviewed with a licensed financial advisor before any capital is deployed.</w:t>
      </w:r>
    </w:p>
    <w:p>
      <w:pPr>
        <w:pStyle w:val="Heading1"/>
        <w:spacing w:after="200" w:before="360"/>
      </w:pPr>
      <w:r>
        <w:rPr>
          <w:b/>
          <w:bCs/>
          <w:color w:val="1F3864"/>
          <w:sz w:val="32"/>
          <w:szCs w:val="32"/>
        </w:rPr>
        <w:t xml:space="preserve">Executive Summary</w:t>
      </w:r>
    </w:p>
    <w:p>
      <w:pPr>
        <w:spacing w:after="160" w:line="300"/>
      </w:pPr>
      <w:r>
        <w:rPr>
          <w:sz w:val="22"/>
          <w:szCs w:val="22"/>
        </w:rPr>
        <w:t xml:space="preserve">This brief tests a two-layer investment thesis: that the U.S. equity market faces elevated drawdown risk from historic concentration in AI-exposed mega-caps, and that GLP-1 obesity therapeutics represent a defensible non-AI rotation target. Three findings dominate.</w:t>
      </w:r>
    </w:p>
    <w:p>
      <w:pPr>
        <w:spacing w:after="160" w:line="300"/>
      </w:pPr>
      <w:r>
        <w:rPr>
          <w:b/>
          <w:bCs/>
          <w:sz w:val="22"/>
          <w:szCs w:val="22"/>
        </w:rPr>
        <w:t xml:space="preserve">First, </w:t>
      </w:r>
      <w:r>
        <w:rPr>
          <w:sz w:val="22"/>
          <w:szCs w:val="22"/>
        </w:rPr>
        <w:t xml:space="preserve">the macro premise is empirically supported. Mag 7 concentration sits at roughly 33–35% of the S&amp;P 500 versus 12.5% a decade ago. The Shiller CAPE ratio is at approximately 40, the second-highest reading in over a century, surpassed only by the dot-com peak. Combined hyperscaler AI capital expenditure is forecast at $700 billion in 2026, up roughly 60% versus 2025, putting structural pressure on free cash flow and depreciation expense.</w:t>
      </w:r>
    </w:p>
    <w:p>
      <w:pPr>
        <w:spacing w:after="160" w:line="300"/>
      </w:pPr>
      <w:r>
        <w:rPr>
          <w:b/>
          <w:bCs/>
          <w:sz w:val="22"/>
          <w:szCs w:val="22"/>
        </w:rPr>
        <w:t xml:space="preserve">Second, </w:t>
      </w:r>
      <w:r>
        <w:rPr>
          <w:sz w:val="22"/>
          <w:szCs w:val="22"/>
        </w:rPr>
        <w:t xml:space="preserve">the rotation has already begun. Through Q1 2026, the Mag 7 is down approximately 7% while the S&amp;P 493 is up 4% and the broad index is roughly flat. The setup the thesis predicts is no longer a forecast — it is unfolding.</w:t>
      </w:r>
    </w:p>
    <w:p>
      <w:pPr>
        <w:spacing w:after="160" w:line="300"/>
      </w:pPr>
      <w:r>
        <w:rPr>
          <w:b/>
          <w:bCs/>
          <w:sz w:val="22"/>
          <w:szCs w:val="22"/>
        </w:rPr>
        <w:t xml:space="preserve">Third — and this is the load-bearing finding — </w:t>
      </w:r>
      <w:r>
        <w:rPr>
          <w:sz w:val="22"/>
          <w:szCs w:val="22"/>
        </w:rPr>
        <w:t xml:space="preserve">being defensive is not enough. The XLV healthcare ETF is also down approximately 7% YTD 2026, meaning a naive 'buy healthcare' rotation has not worked. Name selection within healthcare is doing all the work this year. This strengthens the case for GLP-1 specifically, where real revenue growth (the global GLP-1 market is projected to expand from approximately $53B in 2024 to $130–157B by 2030) provides a fundamental tailwind that broad healthcare lacks.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rPr>
                <w:b/>
                <w:bCs/>
                <w:color w:val="1F3864"/>
                <w:sz w:val="22"/>
                <w:szCs w:val="22"/>
              </w:rPr>
              <w:t xml:space="preserve">Verdict</w:t>
            </w:r>
          </w:p>
          <w:p>
            <w:r>
              <w:rPr>
                <w:sz w:val="22"/>
                <w:szCs w:val="22"/>
              </w:rPr>
              <w:t xml:space="preserve">The thesis is researchable and the current evidence base supports it. However, this view is not contrarian — the 'Great Rotation' is widely discussed by sell-side strategists, which means much of the cheap entry window may already be closing. For a concentrated $50K+ bet, the questions that matter most are no longer whether to rotate, but which specific GLP-1 names, at what entry price, with what catalyst calendar, and with what predefined exit triggers. Those answers belong in the thesis doc and watchlist, not here.</w:t>
            </w:r>
          </w:p>
        </w:tc>
      </w:tr>
    </w:tbl>
    <w:p>
      <w:r>
        <w:br w:type="page"/>
      </w:r>
    </w:p>
    <w:p>
      <w:pPr>
        <w:pStyle w:val="Heading1"/>
        <w:spacing w:after="200" w:before="360"/>
      </w:pPr>
      <w:r>
        <w:rPr>
          <w:b/>
          <w:bCs/>
          <w:color w:val="1F3864"/>
          <w:sz w:val="32"/>
          <w:szCs w:val="32"/>
        </w:rPr>
        <w:t xml:space="preserve">1. The Macro Premise</w:t>
      </w:r>
    </w:p>
    <w:p>
      <w:pPr>
        <w:spacing w:after="160" w:line="300"/>
      </w:pPr>
      <w:r>
        <w:rPr>
          <w:sz w:val="22"/>
          <w:szCs w:val="22"/>
        </w:rPr>
        <w:t xml:space="preserve">The thesis holds that U.S. equity benchmarks have become structurally fragile because index returns are driven by an unusually small number of names whose performance depends on a single capital cycle (AI infrastructure buildout). When index weight, valuation, and capex intensity all reach historic highs simultaneously and a single end-market dominates the marginal earnings story, drawdown risk is asymmetric: the upside requires AI capex to compound for many more years at current rates, while the downside requires only a multiple compression event.</w:t>
      </w:r>
    </w:p>
    <w:p>
      <w:pPr>
        <w:spacing w:after="160" w:line="300"/>
      </w:pPr>
      <w:r>
        <w:rPr>
          <w:sz w:val="22"/>
          <w:szCs w:val="22"/>
        </w:rPr>
        <w:t xml:space="preserve">This is not a prediction of imminent crash. It is a statement that the risk-reward of passive S&amp;P 500 exposure is meaningfully worse today than at most points in the last twenty years, and that capital seeking growth without AI-cycle correlation has limited natural homes. The GLP-1 sector is one of those homes — not because it is uncorrelated to all macro variables, but because its revenue trajectory is independent of hyperscaler capex assumptions.</w:t>
      </w:r>
    </w:p>
    <w:p>
      <w:pPr>
        <w:pStyle w:val="Heading1"/>
        <w:spacing w:after="200" w:before="360"/>
      </w:pPr>
      <w:r>
        <w:rPr>
          <w:b/>
          <w:bCs/>
          <w:color w:val="1F3864"/>
          <w:sz w:val="32"/>
          <w:szCs w:val="32"/>
        </w:rPr>
        <w:t xml:space="preserve">2. Evidence: Concentration at Historic Extremes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Metric</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Current (2026)</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10-yr ago (2016)</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Peak comparison</w:t>
            </w:r>
          </w:p>
        </w:tc>
      </w:tr>
      <w:tr>
        <w:tc>
          <w:tcPr>
            <w:tcW w:type="dxa" w:w="2340"/>
            <w:tcBorders>
              <w:top w:val="single" w:color="AAAAAA" w:sz="1"/>
              <w:left w:val="single" w:color="AAAAAA" w:sz="1"/>
              <w:bottom w:val="single" w:color="AAAAAA" w:sz="1"/>
              <w:right w:val="single" w:color="AAAAAA" w:sz="1"/>
            </w:tcBorders>
            <w:shd w:fill="F5F8FB" w:val="clear"/>
            <w:tcMar>
              <w:top w:type="dxa" w:w="60"/>
              <w:left w:type="dxa" w:w="120"/>
              <w:bottom w:type="dxa" w:w="60"/>
              <w:right w:type="dxa" w:w="120"/>
            </w:tcMar>
          </w:tcPr>
          <w:p>
            <w:r>
              <w:rPr>
                <w:sz w:val="20"/>
                <w:szCs w:val="20"/>
              </w:rPr>
              <w:t xml:space="preserve">Mag 7 share of S&amp;P 500</w:t>
            </w:r>
          </w:p>
        </w:tc>
        <w:tc>
          <w:tcPr>
            <w:tcW w:type="dxa" w:w="2340"/>
            <w:tcBorders>
              <w:top w:val="single" w:color="AAAAAA" w:sz="1"/>
              <w:left w:val="single" w:color="AAAAAA" w:sz="1"/>
              <w:bottom w:val="single" w:color="AAAAAA" w:sz="1"/>
              <w:right w:val="single" w:color="AAAAAA" w:sz="1"/>
            </w:tcBorders>
            <w:shd w:fill="F5F8FB" w:val="clear"/>
            <w:tcMar>
              <w:top w:type="dxa" w:w="60"/>
              <w:left w:type="dxa" w:w="120"/>
              <w:bottom w:type="dxa" w:w="60"/>
              <w:right w:type="dxa" w:w="120"/>
            </w:tcMar>
          </w:tcPr>
          <w:p>
            <w:r>
              <w:rPr>
                <w:sz w:val="20"/>
                <w:szCs w:val="20"/>
              </w:rPr>
              <w:t xml:space="preserve">~33–35%</w:t>
            </w:r>
          </w:p>
        </w:tc>
        <w:tc>
          <w:tcPr>
            <w:tcW w:type="dxa" w:w="2340"/>
            <w:tcBorders>
              <w:top w:val="single" w:color="AAAAAA" w:sz="1"/>
              <w:left w:val="single" w:color="AAAAAA" w:sz="1"/>
              <w:bottom w:val="single" w:color="AAAAAA" w:sz="1"/>
              <w:right w:val="single" w:color="AAAAAA" w:sz="1"/>
            </w:tcBorders>
            <w:shd w:fill="F5F8FB" w:val="clear"/>
            <w:tcMar>
              <w:top w:type="dxa" w:w="60"/>
              <w:left w:type="dxa" w:w="120"/>
              <w:bottom w:type="dxa" w:w="60"/>
              <w:right w:type="dxa" w:w="120"/>
            </w:tcMar>
          </w:tcPr>
          <w:p>
            <w:r>
              <w:rPr>
                <w:sz w:val="20"/>
                <w:szCs w:val="20"/>
              </w:rPr>
              <w:t xml:space="preserve">~12.5%</w:t>
            </w:r>
          </w:p>
        </w:tc>
        <w:tc>
          <w:tcPr>
            <w:tcW w:type="dxa" w:w="2340"/>
            <w:tcBorders>
              <w:top w:val="single" w:color="AAAAAA" w:sz="1"/>
              <w:left w:val="single" w:color="AAAAAA" w:sz="1"/>
              <w:bottom w:val="single" w:color="AAAAAA" w:sz="1"/>
              <w:right w:val="single" w:color="AAAAAA" w:sz="1"/>
            </w:tcBorders>
            <w:shd w:fill="F5F8FB" w:val="clear"/>
            <w:tcMar>
              <w:top w:type="dxa" w:w="60"/>
              <w:left w:type="dxa" w:w="120"/>
              <w:bottom w:type="dxa" w:w="60"/>
              <w:right w:type="dxa" w:w="120"/>
            </w:tcMar>
          </w:tcPr>
          <w:p>
            <w:r>
              <w:rPr>
                <w:sz w:val="20"/>
                <w:szCs w:val="20"/>
              </w:rPr>
              <w:t xml:space="preserve">Highest top-7 weight in modern era</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S&amp;P 500 Shiller CAPE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~40</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~26</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2nd highest ever (after dot-com 44+)</w:t>
            </w:r>
          </w:p>
        </w:tc>
      </w:tr>
      <w:tr>
        <w:tc>
          <w:tcPr>
            <w:tcW w:type="dxa" w:w="2340"/>
            <w:tcBorders>
              <w:top w:val="single" w:color="AAAAAA" w:sz="1"/>
              <w:left w:val="single" w:color="AAAAAA" w:sz="1"/>
              <w:bottom w:val="single" w:color="AAAAAA" w:sz="1"/>
              <w:right w:val="single" w:color="AAAAAA" w:sz="1"/>
            </w:tcBorders>
            <w:shd w:fill="F5F8FB" w:val="clear"/>
            <w:tcMar>
              <w:top w:type="dxa" w:w="60"/>
              <w:left w:type="dxa" w:w="120"/>
              <w:bottom w:type="dxa" w:w="60"/>
              <w:right w:type="dxa" w:w="120"/>
            </w:tcMar>
          </w:tcPr>
          <w:p>
            <w:r>
              <w:rPr>
                <w:sz w:val="20"/>
                <w:szCs w:val="20"/>
              </w:rPr>
              <w:t xml:space="preserve">Hyperscaler AI capex (4 firms)</w:t>
            </w:r>
          </w:p>
        </w:tc>
        <w:tc>
          <w:tcPr>
            <w:tcW w:type="dxa" w:w="2340"/>
            <w:tcBorders>
              <w:top w:val="single" w:color="AAAAAA" w:sz="1"/>
              <w:left w:val="single" w:color="AAAAAA" w:sz="1"/>
              <w:bottom w:val="single" w:color="AAAAAA" w:sz="1"/>
              <w:right w:val="single" w:color="AAAAAA" w:sz="1"/>
            </w:tcBorders>
            <w:shd w:fill="F5F8FB" w:val="clear"/>
            <w:tcMar>
              <w:top w:type="dxa" w:w="60"/>
              <w:left w:type="dxa" w:w="120"/>
              <w:bottom w:type="dxa" w:w="60"/>
              <w:right w:type="dxa" w:w="120"/>
            </w:tcMar>
          </w:tcPr>
          <w:p>
            <w:r>
              <w:rPr>
                <w:sz w:val="20"/>
                <w:szCs w:val="20"/>
              </w:rPr>
              <w:t xml:space="preserve">~$700B</w:t>
            </w:r>
          </w:p>
        </w:tc>
        <w:tc>
          <w:tcPr>
            <w:tcW w:type="dxa" w:w="2340"/>
            <w:tcBorders>
              <w:top w:val="single" w:color="AAAAAA" w:sz="1"/>
              <w:left w:val="single" w:color="AAAAAA" w:sz="1"/>
              <w:bottom w:val="single" w:color="AAAAAA" w:sz="1"/>
              <w:right w:val="single" w:color="AAAAAA" w:sz="1"/>
            </w:tcBorders>
            <w:shd w:fill="F5F8FB" w:val="clear"/>
            <w:tcMar>
              <w:top w:type="dxa" w:w="60"/>
              <w:left w:type="dxa" w:w="120"/>
              <w:bottom w:type="dxa" w:w="60"/>
              <w:right w:type="dxa" w:w="120"/>
            </w:tcMar>
          </w:tcPr>
          <w:p>
            <w:r>
              <w:rPr>
                <w:sz w:val="20"/>
                <w:szCs w:val="20"/>
              </w:rPr>
              <w:t xml:space="preserve">&lt;$50B</w:t>
            </w:r>
          </w:p>
        </w:tc>
        <w:tc>
          <w:tcPr>
            <w:tcW w:type="dxa" w:w="2340"/>
            <w:tcBorders>
              <w:top w:val="single" w:color="AAAAAA" w:sz="1"/>
              <w:left w:val="single" w:color="AAAAAA" w:sz="1"/>
              <w:bottom w:val="single" w:color="AAAAAA" w:sz="1"/>
              <w:right w:val="single" w:color="AAAAAA" w:sz="1"/>
            </w:tcBorders>
            <w:shd w:fill="F5F8FB" w:val="clear"/>
            <w:tcMar>
              <w:top w:type="dxa" w:w="60"/>
              <w:left w:type="dxa" w:w="120"/>
              <w:bottom w:type="dxa" w:w="60"/>
              <w:right w:type="dxa" w:w="120"/>
            </w:tcMar>
          </w:tcPr>
          <w:p>
            <w:r>
              <w:rPr>
                <w:sz w:val="20"/>
                <w:szCs w:val="20"/>
              </w:rPr>
              <w:t xml:space="preserve">60%+ YoY growth from 2025</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Mag 7 YTD 2026 return</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–7%</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n/a</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Underperforming S&amp;P 493 by ~11pp</w:t>
            </w:r>
          </w:p>
        </w:tc>
      </w:tr>
    </w:tbl>
    <w:p>
      <w:r>
        <w:rPr>
          <w:sz w:val="22"/>
          <w:szCs w:val="22"/>
        </w:rPr>
        <w:t xml:space="preserve"> </w:t>
      </w:r>
    </w:p>
    <w:p>
      <w:pPr>
        <w:spacing w:after="160" w:line="300"/>
      </w:pPr>
      <w:r>
        <w:rPr>
          <w:sz w:val="22"/>
          <w:szCs w:val="22"/>
        </w:rPr>
        <w:t xml:space="preserve">Concentration matters mechanically because it amplifies idiosyncratic risk into systemic risk. When the top seven names account for one-third of the index, a 25% drawdown in those seven names alone produces an 8–9 percentage-point drag on the entire S&amp;P 500, before any spillover to other sectors. This is structurally different from the 2010–2018 era when even significant moves in individual mega-caps were absorbed by the index.</w:t>
      </w:r>
    </w:p>
    <w:p>
      <w:pPr>
        <w:spacing w:after="160" w:line="300"/>
      </w:pPr>
      <w:r>
        <w:rPr>
          <w:sz w:val="22"/>
          <w:szCs w:val="22"/>
        </w:rPr>
        <w:t xml:space="preserve">The 2026 YTD divergence — Mag 7 down 7%, S&amp;P 493 up 4% — is the single most important data point in this brief. It demonstrates that the 'concentration unwinds via underperformance, not crash' scenario is currently the operative one. The base case is rotation, not collapse.</w:t>
      </w:r>
    </w:p>
    <w:p>
      <w:pPr>
        <w:pStyle w:val="Heading1"/>
        <w:spacing w:after="200" w:before="360"/>
      </w:pPr>
      <w:r>
        <w:rPr>
          <w:b/>
          <w:bCs/>
          <w:color w:val="1F3864"/>
          <w:sz w:val="32"/>
          <w:szCs w:val="32"/>
        </w:rPr>
        <w:t xml:space="preserve">3. Evidence: Valuation Metrics Are Extended</w:t>
      </w:r>
    </w:p>
    <w:p>
      <w:pPr>
        <w:spacing w:after="160" w:line="300"/>
      </w:pPr>
      <w:r>
        <w:rPr>
          <w:sz w:val="22"/>
          <w:szCs w:val="22"/>
        </w:rPr>
        <w:t xml:space="preserve">The cyclically-adjusted P/E (Shiller CAPE) ratio sits at approximately 40 as of mid-2026, the second-highest reading in over 140 years. Only the dot-com peak (44+) was higher. This level was preceded historically by significant multi-year drawdowns in real returns, though timing has been notoriously unpredictable — CAPE was above 30 for most of 2017 through 2021 without a sustained bear market.</w:t>
      </w:r>
    </w:p>
    <w:p>
      <w:pPr>
        <w:spacing w:after="160" w:line="300"/>
      </w:pPr>
      <w:r>
        <w:rPr>
          <w:sz w:val="22"/>
          <w:szCs w:val="22"/>
        </w:rPr>
        <w:t xml:space="preserve">Two important caveats apply. First, modern S&amp;P 500 firms operate at meaningfully higher operating margins and ROIC than their 1990s counterparts, so some multiple expansion is structurally justified. Second, AI-driven productivity gains, if real and sustained, could rationalize current multiples through earnings growth rather than multiple compression. These caveats do not invalidate the thesis but they do compress the asymmetry: the bull case is plausible, not absurd.</w:t>
      </w:r>
    </w:p>
    <w:p>
      <w:pPr>
        <w:spacing w:after="160" w:line="300"/>
      </w:pPr>
      <w:r>
        <w:rPr>
          <w:sz w:val="22"/>
          <w:szCs w:val="22"/>
        </w:rPr>
        <w:t xml:space="preserve">The conservative read: at current CAPE levels, expected forward 10-year real returns from the broad U.S. market are below historical averages, often well below. Concentrated bets in non-correlated sectors with idiosyncratic growth (such as GLP-1) face better risk-reward arithmetic than passive index allocation.</w:t>
      </w:r>
    </w:p>
    <w:p>
      <w:r>
        <w:br w:type="page"/>
      </w:r>
    </w:p>
    <w:p>
      <w:pPr>
        <w:pStyle w:val="Heading1"/>
        <w:spacing w:after="200" w:before="360"/>
      </w:pPr>
      <w:r>
        <w:rPr>
          <w:b/>
          <w:bCs/>
          <w:color w:val="1F3864"/>
          <w:sz w:val="32"/>
          <w:szCs w:val="32"/>
        </w:rPr>
        <w:t xml:space="preserve">4. Evidence: AI Capex Cycle Creates Free-Cash-Flow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Hyperscaler</w:t>
            </w:r>
          </w:p>
        </w:tc>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2026 Capex Guide</w:t>
            </w:r>
          </w:p>
        </w:tc>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vs. 2025</w:t>
            </w:r>
          </w:p>
        </w:tc>
      </w:tr>
      <w:tr>
        <w:tc>
          <w:tcPr>
            <w:tcW w:type="dxa" w:w="3120"/>
            <w:tcBorders>
              <w:top w:val="single" w:color="AAAAAA" w:sz="1"/>
              <w:left w:val="single" w:color="AAAAAA" w:sz="1"/>
              <w:bottom w:val="single" w:color="AAAAAA" w:sz="1"/>
              <w:right w:val="single" w:color="AAAAAA" w:sz="1"/>
            </w:tcBorders>
            <w:shd w:fill="F5F8FB" w:val="clear"/>
            <w:tcMar>
              <w:top w:type="dxa" w:w="60"/>
              <w:left w:type="dxa" w:w="120"/>
              <w:bottom w:type="dxa" w:w="60"/>
              <w:right w:type="dxa" w:w="120"/>
            </w:tcMar>
          </w:tcPr>
          <w:p>
            <w:r>
              <w:rPr>
                <w:sz w:val="20"/>
                <w:szCs w:val="20"/>
              </w:rPr>
              <w:t xml:space="preserve">Amazon</w:t>
            </w:r>
          </w:p>
        </w:tc>
        <w:tc>
          <w:tcPr>
            <w:tcW w:type="dxa" w:w="3120"/>
            <w:tcBorders>
              <w:top w:val="single" w:color="AAAAAA" w:sz="1"/>
              <w:left w:val="single" w:color="AAAAAA" w:sz="1"/>
              <w:bottom w:val="single" w:color="AAAAAA" w:sz="1"/>
              <w:right w:val="single" w:color="AAAAAA" w:sz="1"/>
            </w:tcBorders>
            <w:shd w:fill="F5F8FB" w:val="clear"/>
            <w:tcMar>
              <w:top w:type="dxa" w:w="60"/>
              <w:left w:type="dxa" w:w="120"/>
              <w:bottom w:type="dxa" w:w="60"/>
              <w:right w:type="dxa" w:w="120"/>
            </w:tcMar>
          </w:tcPr>
          <w:p>
            <w:r>
              <w:rPr>
                <w:sz w:val="20"/>
                <w:szCs w:val="20"/>
              </w:rPr>
              <w:t xml:space="preserve">$200B</w:t>
            </w:r>
          </w:p>
        </w:tc>
        <w:tc>
          <w:tcPr>
            <w:tcW w:type="dxa" w:w="3120"/>
            <w:tcBorders>
              <w:top w:val="single" w:color="AAAAAA" w:sz="1"/>
              <w:left w:val="single" w:color="AAAAAA" w:sz="1"/>
              <w:bottom w:val="single" w:color="AAAAAA" w:sz="1"/>
              <w:right w:val="single" w:color="AAAAAA" w:sz="1"/>
            </w:tcBorders>
            <w:shd w:fill="F5F8FB" w:val="clear"/>
            <w:tcMar>
              <w:top w:type="dxa" w:w="60"/>
              <w:left w:type="dxa" w:w="120"/>
              <w:bottom w:type="dxa" w:w="60"/>
              <w:right w:type="dxa" w:w="120"/>
            </w:tcMar>
          </w:tcPr>
          <w:p>
            <w:r>
              <w:rPr>
                <w:sz w:val="20"/>
                <w:szCs w:val="20"/>
              </w:rPr>
              <w:t xml:space="preserve">Highest of the four</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Microsoft</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$190B</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Raised mid-year</w:t>
            </w:r>
          </w:p>
        </w:tc>
      </w:tr>
      <w:tr>
        <w:tc>
          <w:tcPr>
            <w:tcW w:type="dxa" w:w="3120"/>
            <w:tcBorders>
              <w:top w:val="single" w:color="AAAAAA" w:sz="1"/>
              <w:left w:val="single" w:color="AAAAAA" w:sz="1"/>
              <w:bottom w:val="single" w:color="AAAAAA" w:sz="1"/>
              <w:right w:val="single" w:color="AAAAAA" w:sz="1"/>
            </w:tcBorders>
            <w:shd w:fill="F5F8FB" w:val="clear"/>
            <w:tcMar>
              <w:top w:type="dxa" w:w="60"/>
              <w:left w:type="dxa" w:w="120"/>
              <w:bottom w:type="dxa" w:w="60"/>
              <w:right w:type="dxa" w:w="120"/>
            </w:tcMar>
          </w:tcPr>
          <w:p>
            <w:r>
              <w:rPr>
                <w:sz w:val="20"/>
                <w:szCs w:val="20"/>
              </w:rPr>
              <w:t xml:space="preserve">Alphabet</w:t>
            </w:r>
          </w:p>
        </w:tc>
        <w:tc>
          <w:tcPr>
            <w:tcW w:type="dxa" w:w="3120"/>
            <w:tcBorders>
              <w:top w:val="single" w:color="AAAAAA" w:sz="1"/>
              <w:left w:val="single" w:color="AAAAAA" w:sz="1"/>
              <w:bottom w:val="single" w:color="AAAAAA" w:sz="1"/>
              <w:right w:val="single" w:color="AAAAAA" w:sz="1"/>
            </w:tcBorders>
            <w:shd w:fill="F5F8FB" w:val="clear"/>
            <w:tcMar>
              <w:top w:type="dxa" w:w="60"/>
              <w:left w:type="dxa" w:w="120"/>
              <w:bottom w:type="dxa" w:w="60"/>
              <w:right w:type="dxa" w:w="120"/>
            </w:tcMar>
          </w:tcPr>
          <w:p>
            <w:r>
              <w:rPr>
                <w:sz w:val="20"/>
                <w:szCs w:val="20"/>
              </w:rPr>
              <w:t xml:space="preserve">$180–190B</w:t>
            </w:r>
          </w:p>
        </w:tc>
        <w:tc>
          <w:tcPr>
            <w:tcW w:type="dxa" w:w="3120"/>
            <w:tcBorders>
              <w:top w:val="single" w:color="AAAAAA" w:sz="1"/>
              <w:left w:val="single" w:color="AAAAAA" w:sz="1"/>
              <w:bottom w:val="single" w:color="AAAAAA" w:sz="1"/>
              <w:right w:val="single" w:color="AAAAAA" w:sz="1"/>
            </w:tcBorders>
            <w:shd w:fill="F5F8FB" w:val="clear"/>
            <w:tcMar>
              <w:top w:type="dxa" w:w="60"/>
              <w:left w:type="dxa" w:w="120"/>
              <w:bottom w:type="dxa" w:w="60"/>
              <w:right w:type="dxa" w:w="120"/>
            </w:tcMar>
          </w:tcPr>
          <w:p>
            <w:r>
              <w:rPr>
                <w:sz w:val="20"/>
                <w:szCs w:val="20"/>
              </w:rPr>
              <w:t xml:space="preserve">Raised in Q1</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Meta</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$135B</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Raised vs. initial guide</w:t>
            </w:r>
          </w:p>
        </w:tc>
      </w:tr>
      <w:tr>
        <w:tc>
          <w:tcPr>
            <w:tcW w:type="dxa" w:w="3120"/>
            <w:tcBorders>
              <w:top w:val="single" w:color="AAAAAA" w:sz="1"/>
              <w:left w:val="single" w:color="AAAAAA" w:sz="1"/>
              <w:bottom w:val="single" w:color="AAAAAA" w:sz="1"/>
              <w:right w:val="single" w:color="AAAAAA" w:sz="1"/>
            </w:tcBorders>
            <w:shd w:fill="F5F8FB" w:val="clear"/>
            <w:tcMar>
              <w:top w:type="dxa" w:w="60"/>
              <w:left w:type="dxa" w:w="120"/>
              <w:bottom w:type="dxa" w:w="60"/>
              <w:right w:type="dxa" w:w="120"/>
            </w:tcMar>
          </w:tcPr>
          <w:p>
            <w:r>
              <w:rPr>
                <w:sz w:val="20"/>
                <w:szCs w:val="20"/>
              </w:rPr>
              <w:t xml:space="preserve">Total</w:t>
            </w:r>
          </w:p>
        </w:tc>
        <w:tc>
          <w:tcPr>
            <w:tcW w:type="dxa" w:w="3120"/>
            <w:tcBorders>
              <w:top w:val="single" w:color="AAAAAA" w:sz="1"/>
              <w:left w:val="single" w:color="AAAAAA" w:sz="1"/>
              <w:bottom w:val="single" w:color="AAAAAA" w:sz="1"/>
              <w:right w:val="single" w:color="AAAAAA" w:sz="1"/>
            </w:tcBorders>
            <w:shd w:fill="F5F8FB" w:val="clear"/>
            <w:tcMar>
              <w:top w:type="dxa" w:w="60"/>
              <w:left w:type="dxa" w:w="120"/>
              <w:bottom w:type="dxa" w:w="60"/>
              <w:right w:type="dxa" w:w="120"/>
            </w:tcMar>
          </w:tcPr>
          <w:p>
            <w:r>
              <w:rPr>
                <w:sz w:val="20"/>
                <w:szCs w:val="20"/>
              </w:rPr>
              <w:t xml:space="preserve">≈$700B</w:t>
            </w:r>
          </w:p>
        </w:tc>
        <w:tc>
          <w:tcPr>
            <w:tcW w:type="dxa" w:w="3120"/>
            <w:tcBorders>
              <w:top w:val="single" w:color="AAAAAA" w:sz="1"/>
              <w:left w:val="single" w:color="AAAAAA" w:sz="1"/>
              <w:bottom w:val="single" w:color="AAAAAA" w:sz="1"/>
              <w:right w:val="single" w:color="AAAAAA" w:sz="1"/>
            </w:tcBorders>
            <w:shd w:fill="F5F8FB" w:val="clear"/>
            <w:tcMar>
              <w:top w:type="dxa" w:w="60"/>
              <w:left w:type="dxa" w:w="120"/>
              <w:bottom w:type="dxa" w:w="60"/>
              <w:right w:type="dxa" w:w="120"/>
            </w:tcMar>
          </w:tcPr>
          <w:p>
            <w:r>
              <w:rPr>
                <w:sz w:val="20"/>
                <w:szCs w:val="20"/>
              </w:rPr>
              <w:t xml:space="preserve">Up roughly 60% YoY</w:t>
            </w:r>
          </w:p>
        </w:tc>
      </w:tr>
    </w:tbl>
    <w:p>
      <w:r>
        <w:rPr>
          <w:sz w:val="22"/>
          <w:szCs w:val="22"/>
        </w:rPr>
        <w:t xml:space="preserve"> </w:t>
      </w:r>
    </w:p>
    <w:p>
      <w:pPr>
        <w:spacing w:after="160" w:line="300"/>
      </w:pPr>
      <w:r>
        <w:rPr>
          <w:sz w:val="22"/>
          <w:szCs w:val="22"/>
        </w:rPr>
        <w:t xml:space="preserve">Approximately 75% of this aggregate spend is allocated to AI infrastructure — primarily GPU procurement and data center construction. The strategic logic for the firms is clear: capture training and inference market share before competitors. The investor logic is murkier.</w:t>
      </w:r>
    </w:p>
    <w:p>
      <w:pPr>
        <w:spacing w:after="160" w:line="300"/>
      </w:pPr>
      <w:r>
        <w:rPr>
          <w:sz w:val="22"/>
          <w:szCs w:val="22"/>
        </w:rPr>
        <w:t xml:space="preserve">Three risks compound. First, depreciation. GPUs depreciate on roughly 4–6 year schedules, meaning the $700B 2026 spend begins flowing through P&amp;Ls as elevated D&amp;A starting in 2027–2028. Second, free cash flow visibility. Even with strong revenue growth, capex of this magnitude eats into FCF margins, which is what most equity analysts use to justify multiples. Third, demand uncertainty. The capex assumes sustained, accelerating enterprise AI adoption. Any deceleration — from AI ROI fatigue, regulatory friction, or a competing technology shift — leaves trillions in stranded compute.</w:t>
      </w:r>
    </w:p>
    <w:p>
      <w:pPr>
        <w:spacing w:after="160" w:line="300"/>
      </w:pPr>
      <w:r>
        <w:rPr>
          <w:sz w:val="22"/>
          <w:szCs w:val="22"/>
        </w:rPr>
        <w:t xml:space="preserve">None of these risks need to materialize for the rotation thesis to work. They simply need to be perceived as more likely than current multiples imply, which is a much lower bar.</w:t>
      </w:r>
    </w:p>
    <w:p>
      <w:pPr>
        <w:pStyle w:val="Heading1"/>
        <w:spacing w:after="200" w:before="360"/>
      </w:pPr>
      <w:r>
        <w:rPr>
          <w:b/>
          <w:bCs/>
          <w:color w:val="1F3864"/>
          <w:sz w:val="32"/>
          <w:szCs w:val="32"/>
        </w:rPr>
        <w:t xml:space="preserve">5. Rotation Signals: Already Underway</w:t>
      </w:r>
    </w:p>
    <w:p>
      <w:pPr>
        <w:spacing w:after="160" w:line="300"/>
      </w:pPr>
      <w:r>
        <w:rPr>
          <w:sz w:val="22"/>
          <w:szCs w:val="22"/>
        </w:rPr>
        <w:t xml:space="preserve">As of Q1 2026, sell-side allocation commentary has shifted markedly toward defensive growth tilts. Multiple major investment banks and asset managers are publicly recommending overweights in healthcare, consumer staples, and utilities versus the AI-driven mega-cap basket. Charles Schwab, Janus Henderson, and others have published explicit 2026 sector outlooks favoring healthcare on a relative basis.</w:t>
      </w:r>
    </w:p>
    <w:p>
      <w:pPr>
        <w:spacing w:after="160" w:line="300"/>
      </w:pPr>
      <w:r>
        <w:rPr>
          <w:sz w:val="22"/>
          <w:szCs w:val="22"/>
        </w:rPr>
        <w:t xml:space="preserve">Capital flows confirm the narrative. Healthcare names with strong cash flows and dividend coverage — Amgen, AbbVie, and others — have seen significant inflows attributed to the rotation. Yet the broad XLV ETF is down approximately 7% YTD, mirroring the Mag 7. This is the critical paradox of 2026: the rotation is real, but it is differentiated — flowing into specific defensive growth names rather than into healthcare as a sector.</w:t>
      </w:r>
    </w:p>
    <w:p>
      <w:pPr>
        <w:spacing w:after="160" w:line="300"/>
      </w:pPr>
      <w:r>
        <w:rPr>
          <w:sz w:val="22"/>
          <w:szCs w:val="22"/>
        </w:rPr>
        <w:t xml:space="preserve">The implication for the GLP-1 thesis is favorable but with a warning. Favorable, because GLP-1 leaders (Lilly, Novo) are exactly the type of 'defensive growth' name fund managers are seeking — strong cash flows, secular demand, insulation from AI cycle. Warning, because by the time a thesis is the consensus call of the major banks, much of the easy alpha is gone.</w:t>
      </w:r>
    </w:p>
    <w:p>
      <w:r>
        <w:br w:type="page"/>
      </w:r>
    </w:p>
    <w:p>
      <w:pPr>
        <w:pStyle w:val="Heading1"/>
        <w:spacing w:after="200" w:before="360"/>
      </w:pPr>
      <w:r>
        <w:rPr>
          <w:b/>
          <w:bCs/>
          <w:color w:val="1F3864"/>
          <w:sz w:val="32"/>
          <w:szCs w:val="32"/>
        </w:rPr>
        <w:t xml:space="preserve">6. Why GLP-1 Specifically (Not Broad Healthcare)</w:t>
      </w:r>
    </w:p>
    <w:p>
      <w:pPr>
        <w:spacing w:after="160" w:line="300"/>
      </w:pPr>
      <w:r>
        <w:rPr>
          <w:sz w:val="22"/>
          <w:szCs w:val="22"/>
        </w:rPr>
        <w:t xml:space="preserve">Healthcare as a monolith trades on factors that do not favor it in 2026: regulatory uncertainty (Medicare drug pricing, ACA subsidy renewal, tariff exposure on imported APIs), high single-name dispersion, and structural underweight to AI productivity narratives that are propping up tech multiples. XLV's 7% YTD decline reflects these headwinds.</w:t>
      </w:r>
    </w:p>
    <w:p>
      <w:pPr>
        <w:spacing w:after="160" w:line="300"/>
      </w:pPr>
      <w:r>
        <w:rPr>
          <w:sz w:val="22"/>
          <w:szCs w:val="22"/>
        </w:rPr>
        <w:t xml:space="preserve">GLP-1 sidesteps most of them. Pricing pressure is not yet binding because demand massively exceeds supply. Regulatory risk is concentrated in compounded GLP-1s (which actually benefits the branded leaders if tightened). And the sector has its own AI-adjacent productivity story: integration of generative AI into drug development cycles has reportedly compressed discovery-to-trial timelines by approximately 30%, giving sector firms a credible innovation narrative without the capex burn.</w:t>
      </w:r>
    </w:p>
    <w:p>
      <w:pPr>
        <w:spacing w:after="160" w:line="300"/>
      </w:pPr>
      <w:r>
        <w:rPr>
          <w:sz w:val="22"/>
          <w:szCs w:val="22"/>
        </w:rPr>
        <w:t xml:space="preserve">The numbers underwriting the sector tailwind are not speculative. Eli Lilly is forecast to generate approximately $113 billion in prescription drug sales by 2030, with Mounjaro and Zepbound alone contributing $36B and $25.5B respectively. Novo Nordisk is forecast at $84B with three drugs (Ozempic $24.4B, Wegovy $18.1B, Cagrisema $15.2B) projected in the global top 10. The total GLP-1 market is forecast to grow from approximately $53B in 2024 to $130–157B by 2030 — a CAGR of roughly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rPr>
                <w:b/>
                <w:bCs/>
                <w:color w:val="1F3864"/>
                <w:sz w:val="22"/>
                <w:szCs w:val="22"/>
              </w:rPr>
              <w:t xml:space="preserve">The 2026 catalyst that crystallizes the thesis</w:t>
            </w:r>
          </w:p>
          <w:p>
            <w:r>
              <w:rPr>
                <w:sz w:val="22"/>
                <w:szCs w:val="22"/>
              </w:rPr>
              <w:t xml:space="preserve">FDA approval of Eli Lilly's orforglipron (Foundayo) — the first oral, small-molecule GLP-1 for chronic weight management, with no food/water restrictions — is the structural shift the thesis hinges on. Oral GLP-1s expand the addressable market beyond patients willing to use injectables, and the manufacturing economics (small molecule vs. peptide) reshape the supply constraint that has gated injectable revenue since 2023. Pills could capture roughly 24% of the obesity drug market (~$22B) by the early 2030s. Viking Therapeutics' VK2735 (now in Phase 3 VANQUISH-1/2) is the most credible non-Big-Pharma optionality on this expansion.</w:t>
            </w:r>
          </w:p>
        </w:tc>
      </w:tr>
    </w:tbl>
    <w:p>
      <w:pPr>
        <w:pStyle w:val="Heading1"/>
        <w:spacing w:after="200" w:before="360"/>
      </w:pPr>
      <w:r>
        <w:rPr>
          <w:b/>
          <w:bCs/>
          <w:color w:val="1F3864"/>
          <w:sz w:val="32"/>
          <w:szCs w:val="32"/>
        </w:rPr>
        <w:t xml:space="preserve">7. Counter-Arguments and Risks to the Thesis</w:t>
      </w:r>
    </w:p>
    <w:p>
      <w:pPr>
        <w:spacing w:after="160" w:line="300"/>
      </w:pPr>
      <w:r>
        <w:rPr>
          <w:sz w:val="22"/>
          <w:szCs w:val="22"/>
        </w:rPr>
        <w:t xml:space="preserve">A serious thesis must survive its strongest critics. Six counter-arguments deserve weight.</w:t>
      </w:r>
    </w:p>
    <w:p>
      <w:pPr>
        <w:spacing w:after="160" w:line="300"/>
      </w:pPr>
      <w:r>
        <w:rPr>
          <w:b/>
          <w:bCs/>
          <w:sz w:val="22"/>
          <w:szCs w:val="22"/>
        </w:rPr>
        <w:t xml:space="preserve">AI capex is productive, not wasted. </w:t>
      </w:r>
      <w:r>
        <w:rPr>
          <w:sz w:val="22"/>
          <w:szCs w:val="22"/>
        </w:rPr>
        <w:t xml:space="preserve">If GPU revenue and inference margins continue to grow at current rates, hyperscaler FCF normalizes within 24 months and the concentration unwinds via earnings growth rather than multiple compression. In this scenario the rotation is shallow and short-lived.</w:t>
      </w:r>
    </w:p>
    <w:p>
      <w:pPr>
        <w:spacing w:after="160" w:line="300"/>
      </w:pPr>
      <w:r>
        <w:rPr>
          <w:b/>
          <w:bCs/>
          <w:sz w:val="22"/>
          <w:szCs w:val="22"/>
        </w:rPr>
        <w:t xml:space="preserve">Concentration can persist. </w:t>
      </w:r>
      <w:r>
        <w:rPr>
          <w:sz w:val="22"/>
          <w:szCs w:val="22"/>
        </w:rPr>
        <w:t xml:space="preserve">Markets can stay irrationally concentrated longer than rotation traders can stay solvent. The dot-com peak persisted for 18 months after most observers called it. Timing this is genuinely hard.</w:t>
      </w:r>
    </w:p>
    <w:p>
      <w:pPr>
        <w:spacing w:after="160" w:line="300"/>
      </w:pPr>
      <w:r>
        <w:rPr>
          <w:b/>
          <w:bCs/>
          <w:sz w:val="22"/>
          <w:szCs w:val="22"/>
        </w:rPr>
        <w:t xml:space="preserve">GLP-1 leaders trade rich. </w:t>
      </w:r>
      <w:r>
        <w:rPr>
          <w:sz w:val="22"/>
          <w:szCs w:val="22"/>
        </w:rPr>
        <w:t xml:space="preserve">Lilly trades at a premium forward multiple even on optimistic 2030 revenue forecasts. Most of the 'easy' multiple expansion has already happened. Returns from here depend on revenue execution, not re-rating.</w:t>
      </w:r>
    </w:p>
    <w:p>
      <w:pPr>
        <w:spacing w:after="160" w:line="300"/>
      </w:pPr>
      <w:r>
        <w:rPr>
          <w:b/>
          <w:bCs/>
          <w:sz w:val="22"/>
          <w:szCs w:val="22"/>
        </w:rPr>
        <w:t xml:space="preserve">Compounded GLP-1 pricing pressure. </w:t>
      </w:r>
      <w:r>
        <w:rPr>
          <w:sz w:val="22"/>
          <w:szCs w:val="22"/>
        </w:rPr>
        <w:t xml:space="preserve">If FDA action against compounders is weaker than expected, or if Medicare pricing negotiations land harder than expected on GLP-1s post-2027, branded pricing could compress meaningfully.</w:t>
      </w:r>
    </w:p>
    <w:p>
      <w:pPr>
        <w:spacing w:after="160" w:line="300"/>
      </w:pPr>
      <w:r>
        <w:rPr>
          <w:b/>
          <w:bCs/>
          <w:sz w:val="22"/>
          <w:szCs w:val="22"/>
        </w:rPr>
        <w:t xml:space="preserve">Defensive rotations historically fail in real selloffs. </w:t>
      </w:r>
      <w:r>
        <w:rPr>
          <w:sz w:val="22"/>
          <w:szCs w:val="22"/>
        </w:rPr>
        <w:t xml:space="preserve">In 2008 and March 2020, correlations spiked across all equities — defensive sectors fell with everything else. A 'rotation' that works in a soft Mag 7 underperformance will not protect capital in a true risk-off event.</w:t>
      </w:r>
    </w:p>
    <w:p>
      <w:pPr>
        <w:spacing w:after="160" w:line="300"/>
      </w:pPr>
      <w:r>
        <w:rPr>
          <w:b/>
          <w:bCs/>
          <w:sz w:val="22"/>
          <w:szCs w:val="22"/>
        </w:rPr>
        <w:t xml:space="preserve">This thesis is not contrarian. </w:t>
      </w:r>
      <w:r>
        <w:rPr>
          <w:sz w:val="22"/>
          <w:szCs w:val="22"/>
        </w:rPr>
        <w:t xml:space="preserve">By the time the major banks are publishing it, the marginal buyer is already in. Best entries on rotation trades have historically been when the consensus call was still 'AI forever.'</w:t>
      </w:r>
    </w:p>
    <w:p>
      <w:r>
        <w:br w:type="page"/>
      </w:r>
    </w:p>
    <w:p>
      <w:pPr>
        <w:pStyle w:val="Heading1"/>
        <w:spacing w:after="200" w:before="360"/>
      </w:pPr>
      <w:r>
        <w:rPr>
          <w:b/>
          <w:bCs/>
          <w:color w:val="1F3864"/>
          <w:sz w:val="32"/>
          <w:szCs w:val="32"/>
        </w:rPr>
        <w:t xml:space="preserve">8. What Would Prove This Thesis Wrong</w:t>
      </w:r>
    </w:p>
    <w:p>
      <w:pPr>
        <w:spacing w:after="160" w:line="300"/>
      </w:pPr>
      <w:r>
        <w:rPr>
          <w:sz w:val="22"/>
          <w:szCs w:val="22"/>
        </w:rPr>
        <w:t xml:space="preserve">A disciplined thesis specifies its falsification conditions in advance. The following would justify reducing or exiting positions built on this thesis:</w:t>
      </w:r>
    </w:p>
    <w:p>
      <w:pPr>
        <w:pStyle w:val="ListParagraph"/>
        <w:numPr>
          <w:ilvl w:val="0"/>
          <w:numId w:val="2"/>
        </w:numPr>
        <w:spacing w:after="80" w:line="280"/>
      </w:pPr>
      <w:r>
        <w:rPr>
          <w:sz w:val="22"/>
          <w:szCs w:val="22"/>
        </w:rPr>
        <w:t xml:space="preserve">Mag 7 reasserts leadership (Mag 7 outperforms S&amp;P 493 by 10+ percentage points over a trailing 6-month window)</w:t>
      </w:r>
    </w:p>
    <w:p>
      <w:pPr>
        <w:pStyle w:val="ListParagraph"/>
        <w:numPr>
          <w:ilvl w:val="0"/>
          <w:numId w:val="2"/>
        </w:numPr>
        <w:spacing w:after="80" w:line="280"/>
      </w:pPr>
      <w:r>
        <w:rPr>
          <w:sz w:val="22"/>
          <w:szCs w:val="22"/>
        </w:rPr>
        <w:t xml:space="preserve">AI capex guidance for 2027 from the four hyperscalers is revised downward by 20%+ — paradoxically bearish for the rotation, because it removes the FCF pressure that justifies it</w:t>
      </w:r>
    </w:p>
    <w:p>
      <w:pPr>
        <w:pStyle w:val="ListParagraph"/>
        <w:numPr>
          <w:ilvl w:val="0"/>
          <w:numId w:val="2"/>
        </w:numPr>
        <w:spacing w:after="80" w:line="280"/>
      </w:pPr>
      <w:r>
        <w:rPr>
          <w:sz w:val="22"/>
          <w:szCs w:val="22"/>
        </w:rPr>
        <w:t xml:space="preserve">GLP-1 supply constraint resolves earlier than expected, pulling forward consumer-side pricing pressure</w:t>
      </w:r>
    </w:p>
    <w:p>
      <w:pPr>
        <w:pStyle w:val="ListParagraph"/>
        <w:numPr>
          <w:ilvl w:val="0"/>
          <w:numId w:val="2"/>
        </w:numPr>
        <w:spacing w:after="80" w:line="280"/>
      </w:pPr>
      <w:r>
        <w:rPr>
          <w:sz w:val="22"/>
          <w:szCs w:val="22"/>
        </w:rPr>
        <w:t xml:space="preserve">FDA grants compounded GLP-1 manufacturers a meaningful regulatory carve-out, undermining branded pricing power</w:t>
      </w:r>
    </w:p>
    <w:p>
      <w:pPr>
        <w:pStyle w:val="ListParagraph"/>
        <w:numPr>
          <w:ilvl w:val="0"/>
          <w:numId w:val="2"/>
        </w:numPr>
        <w:spacing w:after="80" w:line="280"/>
      </w:pPr>
      <w:r>
        <w:rPr>
          <w:sz w:val="22"/>
          <w:szCs w:val="22"/>
        </w:rPr>
        <w:t xml:space="preserve">CAPE ratio normalizes to 30 or below via earnings growth (not price decline) — the bull case for AI capex pays off</w:t>
      </w:r>
    </w:p>
    <w:p>
      <w:pPr>
        <w:pStyle w:val="ListParagraph"/>
        <w:numPr>
          <w:ilvl w:val="0"/>
          <w:numId w:val="2"/>
        </w:numPr>
        <w:spacing w:after="80" w:line="280"/>
      </w:pPr>
      <w:r>
        <w:rPr>
          <w:sz w:val="22"/>
          <w:szCs w:val="22"/>
        </w:rPr>
        <w:t xml:space="preserve">Lilly orforglipron real-world adherence/efficacy data underperforms injectable benchmarks materially, weakening the oral expansion thesis</w:t>
      </w:r>
    </w:p>
    <w:p>
      <w:pPr>
        <w:pStyle w:val="Heading1"/>
        <w:spacing w:after="200" w:before="360"/>
      </w:pPr>
      <w:r>
        <w:rPr>
          <w:b/>
          <w:bCs/>
          <w:color w:val="1F3864"/>
          <w:sz w:val="32"/>
          <w:szCs w:val="32"/>
        </w:rPr>
        <w:t xml:space="preserve">9. Action Implications for a Concentrated Position</w:t>
      </w:r>
    </w:p>
    <w:p>
      <w:pPr>
        <w:spacing w:after="160" w:line="300"/>
      </w:pPr>
      <w:r>
        <w:rPr>
          <w:sz w:val="22"/>
          <w:szCs w:val="22"/>
        </w:rPr>
        <w:t xml:space="preserve">Three implications follow from the analysis above for a concentrated $50K+ position thesis-driven into GLP-1.</w:t>
      </w:r>
    </w:p>
    <w:p>
      <w:pPr>
        <w:spacing w:after="160" w:line="300"/>
      </w:pPr>
      <w:r>
        <w:rPr>
          <w:b/>
          <w:bCs/>
          <w:sz w:val="22"/>
          <w:szCs w:val="22"/>
        </w:rPr>
        <w:t xml:space="preserve">Sizing. </w:t>
      </w:r>
      <w:r>
        <w:rPr>
          <w:sz w:val="22"/>
          <w:szCs w:val="22"/>
        </w:rPr>
        <w:t xml:space="preserve">Concentration in a single biotech name should be avoided regardless of conviction. Even Lilly — the most fundamentally derisked GLP-1 name — has carried 25–40% drawdowns historically on regulatory and trial news. A $50K+ allocation distributed across 4–8 names (a 'concentrated portfolio' rather than a 'concentrated position') achieves thesis exposure without single-name binary risk.</w:t>
      </w:r>
    </w:p>
    <w:p>
      <w:pPr>
        <w:spacing w:after="160" w:line="300"/>
      </w:pPr>
      <w:r>
        <w:rPr>
          <w:b/>
          <w:bCs/>
          <w:sz w:val="22"/>
          <w:szCs w:val="22"/>
        </w:rPr>
        <w:t xml:space="preserve">Entry timing. </w:t>
      </w:r>
      <w:r>
        <w:rPr>
          <w:sz w:val="22"/>
          <w:szCs w:val="22"/>
        </w:rPr>
        <w:t xml:space="preserve">Because the rotation is already partially priced in and consensus is shifting, dollar-cost averaging over 60–120 days is more defensible than a single-day deployment. Spread risk in time when the thesis is no longer contrarian.</w:t>
      </w:r>
    </w:p>
    <w:p>
      <w:pPr>
        <w:spacing w:after="160" w:line="300"/>
      </w:pPr>
      <w:r>
        <w:rPr>
          <w:b/>
          <w:bCs/>
          <w:sz w:val="22"/>
          <w:szCs w:val="22"/>
        </w:rPr>
        <w:t xml:space="preserve">Monitoring cadence. </w:t>
      </w:r>
      <w:r>
        <w:rPr>
          <w:sz w:val="22"/>
          <w:szCs w:val="22"/>
        </w:rPr>
        <w:t xml:space="preserve">This thesis depends on a small number of observable signals: hyperscaler quarterly capex guidance, GLP-1 sector revenue prints, FDA orforglipron real-world performance, Medicare pricing developments, and the Mag 7 vs. S&amp;P 493 spread. The live tracking dashboard (next deliverable) will surface these.</w:t>
      </w:r>
    </w:p>
    <w:p>
      <w:pPr>
        <w:pStyle w:val="Heading1"/>
        <w:spacing w:after="200" w:before="360"/>
      </w:pPr>
      <w:r>
        <w:rPr>
          <w:b/>
          <w:bCs/>
          <w:color w:val="1F3864"/>
          <w:sz w:val="32"/>
          <w:szCs w:val="32"/>
        </w:rPr>
        <w:t xml:space="preserve">10. Next Steps</w:t>
      </w:r>
    </w:p>
    <w:p>
      <w:pPr>
        <w:spacing w:after="160" w:line="300"/>
      </w:pPr>
      <w:r>
        <w:rPr>
          <w:sz w:val="22"/>
          <w:szCs w:val="22"/>
        </w:rPr>
        <w:t xml:space="preserve">The macro thesis is validated. The next deliverables in the workflow are:</w:t>
      </w:r>
    </w:p>
    <w:p>
      <w:pPr>
        <w:pStyle w:val="ListParagraph"/>
        <w:numPr>
          <w:ilvl w:val="0"/>
          <w:numId w:val="2"/>
        </w:numPr>
        <w:spacing w:after="80" w:line="280"/>
      </w:pPr>
      <w:r>
        <w:rPr>
          <w:sz w:val="22"/>
          <w:szCs w:val="22"/>
        </w:rPr>
        <w:t xml:space="preserve">GLP-1 thesis doc — name-level analysis of Lilly, Novo Nordisk, Viking, plus EM diversifier (MELI as discussed) with mechanism credibility, catalyst calendars, valuation comps, and position-sizing math</w:t>
      </w:r>
    </w:p>
    <w:p>
      <w:pPr>
        <w:pStyle w:val="ListParagraph"/>
        <w:numPr>
          <w:ilvl w:val="0"/>
          <w:numId w:val="2"/>
        </w:numPr>
        <w:spacing w:after="80" w:line="280"/>
      </w:pPr>
      <w:r>
        <w:rPr>
          <w:sz w:val="22"/>
          <w:szCs w:val="22"/>
        </w:rPr>
        <w:t xml:space="preserve">Watchlist (Excel) — 15–25 GLP-1-exposed names scored on cash runway, days to next catalyst, valuation, AI-correlation beta, and other thesis-aligned criteria</w:t>
      </w:r>
    </w:p>
    <w:p>
      <w:pPr>
        <w:pStyle w:val="ListParagraph"/>
        <w:numPr>
          <w:ilvl w:val="0"/>
          <w:numId w:val="2"/>
        </w:numPr>
        <w:spacing w:after="80" w:line="280"/>
      </w:pPr>
      <w:r>
        <w:rPr>
          <w:sz w:val="22"/>
          <w:szCs w:val="22"/>
        </w:rPr>
        <w:t xml:space="preserve">Live tracking dashboard (HTML artifact) — refreshes Mag 7 concentration metrics, GLP-1 sector news, PDUFA calendar, and Ahrefs search-interest trends each time it is opened</w:t>
      </w:r>
    </w:p>
    <w:p>
      <w:pPr>
        <w:pStyle w:val="Heading1"/>
        <w:spacing w:after="200" w:before="360"/>
      </w:pPr>
      <w:r>
        <w:rPr>
          <w:b/>
          <w:bCs/>
          <w:color w:val="1F3864"/>
          <w:sz w:val="32"/>
          <w:szCs w:val="32"/>
        </w:rPr>
        <w:t xml:space="preserve">Sources</w:t>
      </w:r>
    </w:p>
    <w:p>
      <w:pPr>
        <w:spacing w:after="160" w:line="300"/>
      </w:pPr>
      <w:r>
        <w:rPr>
          <w:sz w:val="22"/>
          <w:szCs w:val="22"/>
        </w:rPr>
        <w:t xml:space="preserve">Primary data and reporting referenced in this brief:</w:t>
      </w:r>
    </w:p>
    <w:p>
      <w:pPr>
        <w:pStyle w:val="ListParagraph"/>
        <w:numPr>
          <w:ilvl w:val="0"/>
          <w:numId w:val="2"/>
        </w:numPr>
        <w:spacing w:after="80" w:line="280"/>
      </w:pPr>
      <w:r>
        <w:rPr>
          <w:sz w:val="22"/>
          <w:szCs w:val="22"/>
        </w:rPr>
        <w:t xml:space="preserve">CNBC, 'Tech AI spending approaches $700 billion in 2026,' Feb 2026 — combined hyperscaler capex</w:t>
      </w:r>
    </w:p>
    <w:p>
      <w:pPr>
        <w:pStyle w:val="ListParagraph"/>
        <w:numPr>
          <w:ilvl w:val="0"/>
          <w:numId w:val="2"/>
        </w:numPr>
        <w:spacing w:after="80" w:line="280"/>
      </w:pPr>
      <w:r>
        <w:rPr>
          <w:sz w:val="22"/>
          <w:szCs w:val="22"/>
        </w:rPr>
        <w:t xml:space="preserve">Yahoo Finance, 'Magnificent 7 earnings rush reveals AI spending surge,' Apr 2026 — capex breakdown by firm</w:t>
      </w:r>
    </w:p>
    <w:p>
      <w:pPr>
        <w:pStyle w:val="ListParagraph"/>
        <w:numPr>
          <w:ilvl w:val="0"/>
          <w:numId w:val="2"/>
        </w:numPr>
        <w:spacing w:after="80" w:line="280"/>
      </w:pPr>
      <w:r>
        <w:rPr>
          <w:sz w:val="22"/>
          <w:szCs w:val="22"/>
        </w:rPr>
        <w:t xml:space="preserve">Motley Fool, 'Should investors be worried that the Mag 7 makes up 35% of the S&amp;P 500?,' Jan 2026</w:t>
      </w:r>
    </w:p>
    <w:p>
      <w:pPr>
        <w:pStyle w:val="ListParagraph"/>
        <w:numPr>
          <w:ilvl w:val="0"/>
          <w:numId w:val="2"/>
        </w:numPr>
        <w:spacing w:after="80" w:line="280"/>
      </w:pPr>
      <w:r>
        <w:rPr>
          <w:sz w:val="22"/>
          <w:szCs w:val="22"/>
        </w:rPr>
        <w:t xml:space="preserve">Nasdaq.com, '35% of the S&amp;P 500 Is Concentrated in the Magnificent Seven'</w:t>
      </w:r>
    </w:p>
    <w:p>
      <w:pPr>
        <w:pStyle w:val="ListParagraph"/>
        <w:numPr>
          <w:ilvl w:val="0"/>
          <w:numId w:val="2"/>
        </w:numPr>
        <w:spacing w:after="80" w:line="280"/>
      </w:pPr>
      <w:r>
        <w:rPr>
          <w:sz w:val="22"/>
          <w:szCs w:val="22"/>
        </w:rPr>
        <w:t xml:space="preserve">Russell Investments, 'The Magnificent Seven: Market Concentrations and Complications'</w:t>
      </w:r>
    </w:p>
    <w:p>
      <w:pPr>
        <w:pStyle w:val="ListParagraph"/>
        <w:numPr>
          <w:ilvl w:val="0"/>
          <w:numId w:val="2"/>
        </w:numPr>
        <w:spacing w:after="80" w:line="280"/>
      </w:pPr>
      <w:r>
        <w:rPr>
          <w:sz w:val="22"/>
          <w:szCs w:val="22"/>
        </w:rPr>
        <w:t xml:space="preserve">CurrentMarketValuation.com / Multpl.com / GuruFocus — Shiller CAPE current and historical series</w:t>
      </w:r>
    </w:p>
    <w:p>
      <w:pPr>
        <w:pStyle w:val="ListParagraph"/>
        <w:numPr>
          <w:ilvl w:val="0"/>
          <w:numId w:val="2"/>
        </w:numPr>
        <w:spacing w:after="80" w:line="280"/>
      </w:pPr>
      <w:r>
        <w:rPr>
          <w:sz w:val="22"/>
          <w:szCs w:val="22"/>
        </w:rPr>
        <w:t xml:space="preserve">FinancialContent / Janus Henderson / Charles Schwab — 2026 sector outlook commentary on healthcare rotation</w:t>
      </w:r>
    </w:p>
    <w:p>
      <w:pPr>
        <w:pStyle w:val="ListParagraph"/>
        <w:numPr>
          <w:ilvl w:val="0"/>
          <w:numId w:val="2"/>
        </w:numPr>
        <w:spacing w:after="80" w:line="280"/>
      </w:pPr>
      <w:r>
        <w:rPr>
          <w:sz w:val="22"/>
          <w:szCs w:val="22"/>
        </w:rPr>
        <w:t xml:space="preserve">24/7 Wall St., 'Healthcare's Defensive Promise Crumbles: XLV Down 7%,' Apr 2026</w:t>
      </w:r>
    </w:p>
    <w:p>
      <w:pPr>
        <w:pStyle w:val="ListParagraph"/>
        <w:numPr>
          <w:ilvl w:val="0"/>
          <w:numId w:val="2"/>
        </w:numPr>
        <w:spacing w:after="80" w:line="280"/>
      </w:pPr>
      <w:r>
        <w:rPr>
          <w:sz w:val="22"/>
          <w:szCs w:val="22"/>
        </w:rPr>
        <w:t xml:space="preserve">J.P. Morgan, 'How Supply and Demand for Weight Loss Drugs is Playing Out in 2026'</w:t>
      </w:r>
    </w:p>
    <w:p>
      <w:pPr>
        <w:pStyle w:val="ListParagraph"/>
        <w:numPr>
          <w:ilvl w:val="0"/>
          <w:numId w:val="2"/>
        </w:numPr>
        <w:spacing w:after="80" w:line="280"/>
      </w:pPr>
      <w:r>
        <w:rPr>
          <w:sz w:val="22"/>
          <w:szCs w:val="22"/>
        </w:rPr>
        <w:t xml:space="preserve">IQVIA, 'The outlook for obesity from 2026 to 2030,' Apr 2026</w:t>
      </w:r>
    </w:p>
    <w:p>
      <w:pPr>
        <w:pStyle w:val="ListParagraph"/>
        <w:numPr>
          <w:ilvl w:val="0"/>
          <w:numId w:val="2"/>
        </w:numPr>
        <w:spacing w:after="80" w:line="280"/>
      </w:pPr>
      <w:r>
        <w:rPr>
          <w:sz w:val="22"/>
          <w:szCs w:val="22"/>
        </w:rPr>
        <w:t xml:space="preserve">Grand View Research / Yahoo Finance — GLP-1 market size forecasts</w:t>
      </w:r>
    </w:p>
    <w:p>
      <w:pPr>
        <w:pStyle w:val="ListParagraph"/>
        <w:numPr>
          <w:ilvl w:val="0"/>
          <w:numId w:val="2"/>
        </w:numPr>
        <w:spacing w:after="80" w:line="280"/>
      </w:pPr>
      <w:r>
        <w:rPr>
          <w:sz w:val="22"/>
          <w:szCs w:val="22"/>
        </w:rPr>
        <w:t xml:space="preserve">FiercePharma, '2030 forecasts for Lilly and Novo Nordisk' (Evaluate data)</w:t>
      </w:r>
    </w:p>
    <w:p>
      <w:pPr>
        <w:pStyle w:val="ListParagraph"/>
        <w:numPr>
          <w:ilvl w:val="0"/>
          <w:numId w:val="2"/>
        </w:numPr>
        <w:spacing w:after="80" w:line="280"/>
      </w:pPr>
      <w:r>
        <w:rPr>
          <w:sz w:val="22"/>
          <w:szCs w:val="22"/>
        </w:rPr>
        <w:t xml:space="preserve">Eli Lilly investor releases — orforglipron Phase 3 trial results, FDA approval announcement</w:t>
      </w:r>
    </w:p>
    <w:p>
      <w:pPr>
        <w:pStyle w:val="ListParagraph"/>
        <w:numPr>
          <w:ilvl w:val="0"/>
          <w:numId w:val="2"/>
        </w:numPr>
        <w:spacing w:after="80" w:line="280"/>
      </w:pPr>
      <w:r>
        <w:rPr>
          <w:sz w:val="22"/>
          <w:szCs w:val="22"/>
        </w:rPr>
        <w:t xml:space="preserve">Viking Therapeutics investor releases — VK2735 VENTURE Phase 2 data, VANQUISH-1/2 Phase 3 enrollment</w:t>
      </w:r>
    </w:p>
    <w:p>
      <w:pPr>
        <w:pStyle w:val="ListParagraph"/>
        <w:numPr>
          <w:ilvl w:val="0"/>
          <w:numId w:val="2"/>
        </w:numPr>
        <w:spacing w:after="80" w:line="280"/>
      </w:pPr>
      <w:r>
        <w:rPr>
          <w:sz w:val="22"/>
          <w:szCs w:val="22"/>
        </w:rPr>
        <w:t xml:space="preserve">AJMC, 'FDA Approves Lilly's Oral GLP-1 Orforglipron for Obesity'</w:t>
      </w:r>
    </w:p>
    <w:p>
      <w:r>
        <w:rPr>
          <w:sz w:val="22"/>
          <w:szCs w:val="22"/>
        </w:rPr>
        <w:t xml:space="preserve"> </w:t>
      </w:r>
    </w:p>
    <w:p>
      <w:r>
        <w:rPr>
          <w:i/>
          <w:iCs/>
          <w:color w:val="8B0000"/>
          <w:sz w:val="18"/>
          <w:szCs w:val="18"/>
        </w:rPr>
        <w:t xml:space="preserve">DISCLAIMER: This document is research and analysis prepared by an AI assistant. It is not investment advice, a recommendation to buy or sell any security, or a substitute for professional financial counsel. Forward-looking forecasts cited are from third-party sources and may prove inaccurate. The author(s) and tool provider have no fiduciary relationship with the reader. Before deploying capital — particularly $50K+ in a concentrated single-sector thesis — review with a licensed financial advisor.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Confidential working draft  |  Not investment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Macro Validation Brief — AI Concentration &amp; GLP-1 Rotation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2026-05-01T17:07:49.007Z</dcterms:created>
  <dcterms:modified xsi:type="dcterms:W3CDTF">2026-05-01T17:07:49.007Z</dcterms:modified>
</cp:coreProperties>
</file>

<file path=docProps/custom.xml><?xml version="1.0" encoding="utf-8"?>
<Properties xmlns="http://schemas.openxmlformats.org/officeDocument/2006/custom-properties" xmlns:vt="http://schemas.openxmlformats.org/officeDocument/2006/docPropsVTypes"/>
</file>