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60"/>
      </w:pPr>
      <w:r>
        <w:t xml:space="preserve"/>
      </w:r>
    </w:p>
    <w:p>
      <w:pPr>
        <w:spacing w:after="160"/>
        <w:jc w:val="center"/>
      </w:pPr>
      <w:r>
        <w:rPr>
          <w:rFonts w:ascii="Arial" w:cs="Arial" w:eastAsia="Arial" w:hAnsi="Arial"/>
          <w:b/>
          <w:bCs/>
          <w:color w:val="1E3A5F"/>
          <w:sz w:val="56"/>
          <w:szCs w:val="56"/>
        </w:rPr>
        <w:t xml:space="preserve">MARSYS-JIS</w:t>
      </w:r>
    </w:p>
    <w:p>
      <w:pPr>
        <w:spacing w:after="120"/>
        <w:jc w:val="center"/>
      </w:pPr>
      <w:r>
        <w:rPr>
          <w:rFonts w:ascii="Arial" w:cs="Arial" w:eastAsia="Arial" w:hAnsi="Arial"/>
          <w:color w:val="3A6FA5"/>
          <w:sz w:val="32"/>
          <w:szCs w:val="32"/>
        </w:rPr>
        <w:t xml:space="preserve">Jyotish Intelligence System</w:t>
      </w:r>
    </w:p>
    <w:p>
      <w:pPr>
        <w:spacing w:after="400"/>
        <w:jc w:val="center"/>
      </w:pPr>
      <w:r>
        <w:rPr>
          <w:rFonts w:ascii="Arial" w:cs="Arial" w:eastAsia="Arial" w:hAnsi="Arial"/>
          <w:color w:val="666666"/>
          <w:sz w:val="28"/>
          <w:szCs w:val="28"/>
        </w:rPr>
        <w:t xml:space="preserve">Retrieval Architecture Review Brief</w:t>
      </w:r>
    </w:p>
    <w:p>
      <w:pPr>
        <w:pBdr>
          <w:bottom w:val="single" w:color="1E3A5F" w:sz="8"/>
        </w:pBdr>
        <w:spacing w:after="80"/>
        <w:jc w:val="center"/>
      </w:pPr>
      <w:r>
        <w:t xml:space="preserve"/>
      </w:r>
    </w:p>
    <w:p>
      <w:pPr>
        <w:spacing w:after="160"/>
      </w:pPr>
      <w:r>
        <w:t xml:space="preserve"/>
      </w:r>
    </w:p>
    <w:p>
      <w:pPr>
        <w:spacing w:after="80"/>
        <w:jc w:val="center"/>
      </w:pPr>
      <w:r>
        <w:rPr>
          <w:rFonts w:ascii="Arial" w:cs="Arial" w:eastAsia="Arial" w:hAnsi="Arial"/>
          <w:b/>
          <w:bCs/>
          <w:sz w:val="24"/>
          <w:szCs w:val="24"/>
        </w:rPr>
        <w:t xml:space="preserve">Prepared for: Senior Architect Review</w:t>
      </w:r>
    </w:p>
    <w:p>
      <w:pPr>
        <w:spacing w:after="80"/>
        <w:jc w:val="center"/>
      </w:pPr>
      <w:r>
        <w:rPr>
          <w:rFonts w:ascii="Arial" w:cs="Arial" w:eastAsia="Arial" w:hAnsi="Arial"/>
          <w:color w:val="888888"/>
          <w:sz w:val="22"/>
          <w:szCs w:val="22"/>
        </w:rPr>
        <w:t xml:space="preserve">Date: April 2026</w:t>
      </w:r>
    </w:p>
    <w:p>
      <w:pPr>
        <w:spacing w:after="80"/>
        <w:jc w:val="center"/>
      </w:pPr>
      <w:r>
        <w:rPr>
          <w:rFonts w:ascii="Arial" w:cs="Arial" w:eastAsia="Arial" w:hAnsi="Arial"/>
          <w:color w:val="888888"/>
          <w:sz w:val="22"/>
          <w:szCs w:val="22"/>
        </w:rPr>
        <w:t xml:space="preserve">Version: 1.0 — Draft for Review</w:t>
      </w:r>
    </w:p>
    <w:p>
      <w:pPr>
        <w:spacing w:after="80"/>
        <w:jc w:val="center"/>
      </w:pPr>
      <w:r>
        <w:rPr>
          <w:rFonts w:ascii="Arial" w:cs="Arial" w:eastAsia="Arial" w:hAnsi="Arial"/>
          <w:color w:val="888888"/>
          <w:sz w:val="22"/>
          <w:szCs w:val="22"/>
        </w:rPr>
        <w:t xml:space="preserve">Author: MARSYS-JIS Build Team</w:t>
      </w:r>
    </w:p>
    <w:p>
      <w:r>
        <w:br w:type="page"/>
      </w:r>
    </w:p>
    <w:p>
      <w:pPr>
        <w:pStyle w:val="Heading1"/>
      </w:pPr>
      <w:r>
        <w:t xml:space="preserve">1. Document Purpose</w:t>
      </w:r>
    </w:p>
    <w:p>
      <w:pPr>
        <w:spacing w:after="140"/>
      </w:pPr>
      <w:r>
        <w:rPr>
          <w:rFonts w:ascii="Arial" w:cs="Arial" w:eastAsia="Arial" w:hAnsi="Arial"/>
          <w:sz w:val="22"/>
          <w:szCs w:val="22"/>
        </w:rPr>
        <w:t xml:space="preserve">This document is prepared for a senior system architect's review. It provides a complete technical brief on the knowledge retrieval architecture of the MARSYS-JIS Jyotish Intelligence System, specifically for the Phase B.6 Hybrid Retrieval Library build decision.</w:t>
      </w:r>
    </w:p>
    <w:p>
      <w:pPr>
        <w:spacing w:after="140"/>
      </w:pPr>
      <w:r>
        <w:rPr>
          <w:rFonts w:ascii="Arial" w:cs="Arial" w:eastAsia="Arial" w:hAnsi="Arial"/>
          <w:sz w:val="22"/>
          <w:szCs w:val="22"/>
        </w:rPr>
        <w:t xml:space="preserve">The document covers: (1) the project mission and why a specialist retrieval architecture is required; (2) the five-layer knowledge corpus with a complete inventory of all canonical data files, their versions, sizes, and token budgets; (3) every retrieval architecture model that was evaluated, with full reasoning for rejection or partial retention; (4) the token budget reality that constrains the design; (5) the chosen architecture — Agentic KGAG — and why it was selected over alternatives; (6) the three-tier file classification for query context; and (7) the specific components that need to be built in Phase B.6.</w:t>
      </w:r>
    </w:p>
    <w:p>
      <w:pPr>
        <w:spacing w:after="140"/>
      </w:pPr>
      <w:r>
        <w:rPr>
          <w:rFonts w:ascii="Arial" w:cs="Arial" w:eastAsia="Arial" w:hAnsi="Arial"/>
          <w:sz w:val="22"/>
          <w:szCs w:val="22"/>
        </w:rPr>
        <w:t xml:space="preserve">The architect is invited to: validate the architecture decision; suggest optimisations or alternatives not yet considered; and provide recommendations on the open questions listed in the final section.</w:t>
      </w:r>
    </w:p>
    <w:p>
      <w:pPr>
        <w:spacing w:after="160"/>
      </w:pPr>
      <w:r>
        <w:t xml:space="preserve"/>
      </w:r>
    </w:p>
    <w:p>
      <w:pPr>
        <w:pStyle w:val="Heading1"/>
      </w:pPr>
      <w:r>
        <w:t xml:space="preserve">2. Project Mission and Context</w:t>
      </w:r>
    </w:p>
    <w:p>
      <w:pPr>
        <w:pStyle w:val="Heading2"/>
      </w:pPr>
      <w:r>
        <w:t xml:space="preserve">2.1 What MARSYS-JIS Is</w:t>
      </w:r>
    </w:p>
    <w:p>
      <w:pPr>
        <w:spacing w:after="140"/>
      </w:pPr>
      <w:r>
        <w:rPr>
          <w:rFonts w:ascii="Arial" w:cs="Arial" w:eastAsia="Arial" w:hAnsi="Arial"/>
          <w:sz w:val="22"/>
          <w:szCs w:val="22"/>
        </w:rPr>
        <w:t xml:space="preserve">MARSYS-JIS (Master System — Jyotish Intelligence System) is an LLM-operated Vedic astrology (Jyotish) analytical instrument built for a specific individual: Abhisek Mohanty, born 1984-02-05 at 10:43 IST in Bhubaneswar, Odisha, India. The system has three primary objectives:</w:t>
      </w:r>
    </w:p>
    <w:p>
      <w:pPr>
        <w:pStyle w:val="ListParagraph"/>
        <w:numPr>
          <w:ilvl w:val="0"/>
          <w:numId w:val="2"/>
        </w:numPr>
        <w:spacing w:after="60"/>
      </w:pPr>
      <w:r>
        <w:rPr>
          <w:rFonts w:ascii="Arial" w:cs="Arial" w:eastAsia="Arial" w:hAnsi="Arial"/>
          <w:sz w:val="22"/>
          <w:szCs w:val="22"/>
        </w:rPr>
        <w:t xml:space="preserve">Read the natal chart with acharya-grade analytical depth — the standard being that an independent senior Jyotish acharya reviewing the output should reach one of: "this is my own level", "this is above my own level", or "this reveals things I would not have seen on first pass".</w:t>
      </w:r>
    </w:p>
    <w:p>
      <w:pPr>
        <w:pStyle w:val="ListParagraph"/>
        <w:numPr>
          <w:ilvl w:val="0"/>
          <w:numId w:val="2"/>
        </w:numPr>
        <w:spacing w:after="60"/>
      </w:pPr>
      <w:r>
        <w:rPr>
          <w:rFonts w:ascii="Arial" w:cs="Arial" w:eastAsia="Arial" w:hAnsi="Arial"/>
          <w:sz w:val="22"/>
          <w:szCs w:val="22"/>
        </w:rPr>
        <w:t xml:space="preserve">Surface patterns and contradictions across multiple astrological layers, systems, and time horizons simultaneously — work that no individual human astrologer could hold in working memory at once.</w:t>
      </w:r>
    </w:p>
    <w:p>
      <w:pPr>
        <w:pStyle w:val="ListParagraph"/>
        <w:numPr>
          <w:ilvl w:val="0"/>
          <w:numId w:val="2"/>
        </w:numPr>
        <w:spacing w:after="60"/>
      </w:pPr>
      <w:r>
        <w:rPr>
          <w:rFonts w:ascii="Arial" w:cs="Arial" w:eastAsia="Arial" w:hAnsi="Arial"/>
          <w:sz w:val="22"/>
          <w:szCs w:val="22"/>
        </w:rPr>
        <w:t xml:space="preserve">Make time-indexed, probabilistic, calibrated predictions that are testable against lived reality and correctable from outcomes, with every prediction carrying an explicit confidence level, time horizon, and falsifier condition.</w:t>
      </w:r>
    </w:p>
    <w:p>
      <w:pPr>
        <w:spacing w:after="160"/>
      </w:pPr>
      <w:r>
        <w:t xml:space="preserve"/>
      </w:r>
    </w:p>
    <w:p>
      <w:pPr>
        <w:pStyle w:val="Heading2"/>
      </w:pPr>
      <w:r>
        <w:t xml:space="preserve">2.2 Why Jyotish Demands a Specialist Retrieval Architecture</w:t>
      </w:r>
    </w:p>
    <w:p>
      <w:pPr>
        <w:spacing w:after="140"/>
      </w:pPr>
      <w:r>
        <w:rPr>
          <w:rFonts w:ascii="Arial" w:cs="Arial" w:eastAsia="Arial" w:hAnsi="Arial"/>
          <w:sz w:val="22"/>
          <w:szCs w:val="22"/>
        </w:rPr>
        <w:t xml:space="preserve">Jyotish is not a single-layer system. A typical query — "what does my chart say about my career trajectory over the next three years?" — simultaneously requires analysis across: the rashi (birth sign) chart; the D-10 dasamsha divisional chart (career-specific); the current Vimshottari dasha and antardasha lords and their functional nature for this Lagna; relevant Saturn transit positions; applicable yogas (planetary combinations) affecting the 10th house; nakshatra-level modifiers on the 10th lord; Varshaphal (annual chart) overlays; past life event correlations from the event log; and contradictions between indicators that appear to pull in opposite directions. No single retrieval pass can surface all of this. The system must be capable of multi-step, multi-domain, graph-aware retrieval.</w:t>
      </w:r>
    </w:p>
    <w:p>
      <w:pPr>
        <w:spacing w:after="160"/>
      </w:pPr>
      <w:r>
        <w:t xml:space="preserve"/>
      </w:r>
    </w:p>
    <w:p>
      <w:pPr>
        <w:pStyle w:val="Heading2"/>
      </w:pPr>
      <w:r>
        <w:t xml:space="preserve">2.3 Ethical and Methodological Framing</w:t>
      </w:r>
    </w:p>
    <w:p>
      <w:pPr>
        <w:spacing w:after="140"/>
      </w:pPr>
      <w:r>
        <w:rPr>
          <w:rFonts w:ascii="Arial" w:cs="Arial" w:eastAsia="Arial" w:hAnsi="Arial"/>
          <w:sz w:val="22"/>
          <w:szCs w:val="22"/>
        </w:rPr>
        <w:t xml:space="preserve">The system operates under an explicit ethical framework: probabilistic, calibrated, auditable outputs for consenting audiences. It is not a fortune-telling product. Every prediction is logged before the outcome is observed (the "prospective prediction" discipline), and outcomes feed back into confidence calibration. This framing has direct architectural implications: the system must surface contradictions alongside supporting evidence, weight signals by validated confidence and significance scores, and distinguish retrospective correlations from forward-looking predictions at the retrieval level.</w:t>
      </w:r>
    </w:p>
    <w:p>
      <w:pPr>
        <w:spacing w:after="160"/>
      </w:pPr>
      <w:r>
        <w:t xml:space="preserve"/>
      </w:r>
    </w:p>
    <w:p>
      <w:r>
        <w:br w:type="page"/>
      </w:r>
    </w:p>
    <w:p>
      <w:pPr>
        <w:pStyle w:val="Heading1"/>
      </w:pPr>
      <w:r>
        <w:t xml:space="preserve">3. Knowledge Corpus — Five-Layer Architecture</w:t>
      </w:r>
    </w:p>
    <w:p>
      <w:pPr>
        <w:spacing w:after="140"/>
      </w:pPr>
      <w:r>
        <w:rPr>
          <w:rFonts w:ascii="Arial" w:cs="Arial" w:eastAsia="Arial" w:hAnsi="Arial"/>
          <w:sz w:val="22"/>
          <w:szCs w:val="22"/>
        </w:rPr>
        <w:t xml:space="preserve">The knowledge corpus is organised into six functional layers. The governing principle is strict separation between facts (L1) and interpretations (L2 and above): L1 contains only numerically-computed, externally-verifiable chart values; interpretation begins at L2. This separation ensures any L2+ claim can be traced to specific L1 facts, and that L1 data can be corrected (e.g. for birth time refinement) without invalidating the entire corpus.</w:t>
      </w:r>
    </w:p>
    <w:p>
      <w:pPr>
        <w:spacing w:after="160"/>
      </w:pPr>
      <w:r>
        <w:t xml:space="preserve"/>
      </w:r>
    </w:p>
    <w:p>
      <w:pPr>
        <w:pStyle w:val="Heading2"/>
      </w:pPr>
      <w:r>
        <w:t xml:space="preserve">L1 — Facts Layer</w:t>
      </w:r>
    </w:p>
    <w:p>
      <w:pPr>
        <w:spacing w:after="140"/>
      </w:pPr>
      <w:r>
        <w:rPr>
          <w:rFonts w:ascii="Arial" w:cs="Arial" w:eastAsia="Arial" w:hAnsi="Arial"/>
          <w:sz w:val="22"/>
          <w:szCs w:val="22"/>
        </w:rPr>
        <w:t xml:space="preserve">Raw chart computations and historical ground truth. Planetary positions, house cusps, all 16 divisional charts, dasha sequence, ashtakavarga — all computed by Jagannatha Hora software and Swiss Ephemeris. Claude never invents numerical chart values; any required computation is marked [EXTERNAL_COMPUTATION_REQUIRED] and deferred to specialist software. The life event log carries 36 real-world events matched to their chart states. Three large CSV files (ephemeris 1900-2100, eclipse timings, retrograde windows) serve as lookup-only reference data for transit queries.</w:t>
      </w:r>
    </w:p>
    <w:p>
      <w:pPr>
        <w:spacing w:after="160"/>
      </w:pPr>
      <w:r>
        <w:t xml:space="preserve"/>
      </w:r>
    </w:p>
    <w:p>
      <w:pPr>
        <w:pStyle w:val="Heading2"/>
      </w:pPr>
      <w:r>
        <w:t xml:space="preserve">L2 — Analytical Layer</w:t>
      </w:r>
    </w:p>
    <w:p>
      <w:pPr>
        <w:spacing w:after="140"/>
      </w:pPr>
      <w:r>
        <w:rPr>
          <w:rFonts w:ascii="Arial" w:cs="Arial" w:eastAsia="Arial" w:hAnsi="Arial"/>
          <w:sz w:val="22"/>
          <w:szCs w:val="22"/>
        </w:rPr>
        <w:t xml:space="preserve">Structured data matrices that organise L1 data by planet, house, sign, divisional chart, and dasha period. These are the structured "views" of L1 that enable domain-specific retrieval. Five matrix files (MATRIX_HOUSES, MATRIX_PLANETS, MATRIX_DASHA_PERIODS, MATRIX_DIVISIONALS, MATRIX_SIGNS) represent the structured data. A sixth file — DEEP_ANALYSIS_Abhisek_Mohanty_v1.md (436KB, ~109K tokens) — is a large narrative analysis document and is explicitly excluded from query context; it is a product of the analysis process, not a data source for queries.</w:t>
      </w:r>
    </w:p>
    <w:p>
      <w:pPr>
        <w:spacing w:after="160"/>
      </w:pPr>
      <w:r>
        <w:t xml:space="preserve"/>
      </w:r>
    </w:p>
    <w:p>
      <w:pPr>
        <w:pStyle w:val="Heading2"/>
      </w:pPr>
      <w:r>
        <w:t xml:space="preserve">L2.5 — Holistic Synthesis Layer (the intelligence core)</w:t>
      </w:r>
    </w:p>
    <w:p>
      <w:pPr>
        <w:spacing w:after="140"/>
      </w:pPr>
      <w:r>
        <w:rPr>
          <w:rFonts w:ascii="Arial" w:cs="Arial" w:eastAsia="Arial" w:hAnsi="Arial"/>
          <w:sz w:val="22"/>
          <w:szCs w:val="22"/>
        </w:rPr>
        <w:t xml:space="preserve">The most critical layer. Five documents constitute the distilled, cross-validated intelligence of the system:</w:t>
      </w:r>
    </w:p>
    <w:p>
      <w:pPr>
        <w:pStyle w:val="ListParagraph"/>
        <w:numPr>
          <w:ilvl w:val="0"/>
          <w:numId w:val="2"/>
        </w:numPr>
        <w:spacing w:after="60"/>
      </w:pPr>
      <w:r>
        <w:rPr>
          <w:rFonts w:ascii="Arial" w:cs="Arial" w:eastAsia="Arial" w:hAnsi="Arial"/>
          <w:sz w:val="22"/>
          <w:szCs w:val="22"/>
        </w:rPr>
        <w:t xml:space="preserve">MSR (Master Signal Register, v3.0): 499 individually-catalogued astrological signals, each with typed metadata (domain, planet, house, dasha_lord, confidence, significance). At ~213,700 tokens it is the largest single document and the primary intelligence repository.</w:t>
      </w:r>
    </w:p>
    <w:p>
      <w:pPr>
        <w:pStyle w:val="ListParagraph"/>
        <w:numPr>
          <w:ilvl w:val="0"/>
          <w:numId w:val="2"/>
        </w:numPr>
        <w:spacing w:after="60"/>
      </w:pPr>
      <w:r>
        <w:rPr>
          <w:rFonts w:ascii="Arial" w:cs="Arial" w:eastAsia="Arial" w:hAnsi="Arial"/>
          <w:sz w:val="22"/>
          <w:szCs w:val="22"/>
        </w:rPr>
        <w:t xml:space="preserve">UCN (Unified Contradiction Network, v4.0): the complete contradiction map — signals that conflict with each other, typed by conflict category (direct opposition, temporal conflict, domain interference).</w:t>
      </w:r>
    </w:p>
    <w:p>
      <w:pPr>
        <w:pStyle w:val="ListParagraph"/>
        <w:numPr>
          <w:ilvl w:val="0"/>
          <w:numId w:val="2"/>
        </w:numPr>
        <w:spacing w:after="60"/>
      </w:pPr>
      <w:r>
        <w:rPr>
          <w:rFonts w:ascii="Arial" w:cs="Arial" w:eastAsia="Arial" w:hAnsi="Arial"/>
          <w:sz w:val="22"/>
          <w:szCs w:val="22"/>
        </w:rPr>
        <w:t xml:space="preserve">CDLM (Cross-Domain Linkage Matrix, v1.1): explicit mappings showing how signals in one domain link to signals in other domains. Prevents the LLM from answering career questions in isolation from psychological and financial indicators.</w:t>
      </w:r>
    </w:p>
    <w:p>
      <w:pPr>
        <w:pStyle w:val="ListParagraph"/>
        <w:numPr>
          <w:ilvl w:val="0"/>
          <w:numId w:val="2"/>
        </w:numPr>
        <w:spacing w:after="60"/>
      </w:pPr>
      <w:r>
        <w:rPr>
          <w:rFonts w:ascii="Arial" w:cs="Arial" w:eastAsia="Arial" w:hAnsi="Arial"/>
          <w:sz w:val="22"/>
          <w:szCs w:val="22"/>
        </w:rPr>
        <w:t xml:space="preserve">RM (Resolution Matrix, v2.0): for each contradiction node, the resolution strategy and evidence weight on each side.</w:t>
      </w:r>
    </w:p>
    <w:p>
      <w:pPr>
        <w:pStyle w:val="ListParagraph"/>
        <w:numPr>
          <w:ilvl w:val="0"/>
          <w:numId w:val="2"/>
        </w:numPr>
        <w:spacing w:after="60"/>
      </w:pPr>
      <w:r>
        <w:rPr>
          <w:rFonts w:ascii="Arial" w:cs="Arial" w:eastAsia="Arial" w:hAnsi="Arial"/>
          <w:sz w:val="22"/>
          <w:szCs w:val="22"/>
        </w:rPr>
        <w:t xml:space="preserve">CGM (Cognitive Graph Map, v9.0): 234 YAML nodes across 9 types (planet, house, yoga, nakshatra, dasha, domain, pattern, contradiction, cluster) with typed SUPPORTS and CONTRADICTS edges. The graph backbone for Knowledge Graph-Augmented Generation retrieval.</w:t>
      </w:r>
    </w:p>
    <w:p>
      <w:pPr>
        <w:spacing w:after="160"/>
      </w:pPr>
      <w:r>
        <w:t xml:space="preserve"/>
      </w:r>
    </w:p>
    <w:p>
      <w:pPr>
        <w:pStyle w:val="Heading2"/>
      </w:pPr>
      <w:r>
        <w:t xml:space="preserve">L3 — Domain Reports</w:t>
      </w:r>
    </w:p>
    <w:p>
      <w:pPr>
        <w:spacing w:after="140"/>
      </w:pPr>
      <w:r>
        <w:rPr>
          <w:rFonts w:ascii="Arial" w:cs="Arial" w:eastAsia="Arial" w:hAnsi="Arial"/>
          <w:sz w:val="22"/>
          <w:szCs w:val="22"/>
        </w:rPr>
        <w:t xml:space="preserve">Pre-synthesised domain-specific reports for nine domains: career/dharma, psychology/mind, financial, health/longevity, relationships, spiritual, children, parents, and travel. These are derived analysis documents — the output of the synthesis process — rather than primary data sources. They are useful as secondary context for domain-specific queries but are not part of the mandatory always-load set. The architect is asked to weigh in on whether they should be included in Tier 2 retrieval (see Section 9, Open Question 5).</w:t>
      </w:r>
    </w:p>
    <w:p>
      <w:pPr>
        <w:spacing w:after="160"/>
      </w:pPr>
      <w:r>
        <w:t xml:space="preserve"/>
      </w:r>
    </w:p>
    <w:p>
      <w:pPr>
        <w:pStyle w:val="Heading2"/>
      </w:pPr>
      <w:r>
        <w:t xml:space="preserve">L3.5 — Discovery Layer</w:t>
      </w:r>
    </w:p>
    <w:p>
      <w:pPr>
        <w:spacing w:after="140"/>
      </w:pPr>
      <w:r>
        <w:rPr>
          <w:rFonts w:ascii="Arial" w:cs="Arial" w:eastAsia="Arial" w:hAnsi="Arial"/>
          <w:sz w:val="22"/>
          <w:szCs w:val="22"/>
        </w:rPr>
        <w:t xml:space="preserve">Machine-discovered (and human-validated) patterns, contradictions, clusters, and resonance relationships. All entries have been validated through a nine-gate quality process (P1: schema compliance, P2: signal existence, P5: contradiction resolution consistency, P7: classical basis citation, P8: falsifier completeness, P9: confidence calibration). Contains: 22 patterns, 8 formal contradictions, 12 signal clusters, and a resonance register. All four JSON register files are in Tier 1 (always loaded) due to their small combined size (~29K tokens).</w:t>
      </w:r>
    </w:p>
    <w:p>
      <w:pPr>
        <w:spacing w:after="160"/>
      </w:pPr>
      <w:r>
        <w:t xml:space="preserve"/>
      </w:r>
    </w:p>
    <w:p>
      <w:pPr>
        <w:pStyle w:val="Heading2"/>
      </w:pPr>
      <w:r>
        <w:t xml:space="preserve">L4 — Remedial Codex</w:t>
      </w:r>
    </w:p>
    <w:p>
      <w:pPr>
        <w:spacing w:after="140"/>
      </w:pPr>
      <w:r>
        <w:rPr>
          <w:rFonts w:ascii="Arial" w:cs="Arial" w:eastAsia="Arial" w:hAnsi="Arial"/>
          <w:sz w:val="22"/>
          <w:szCs w:val="22"/>
        </w:rPr>
        <w:t xml:space="preserve">Prescribed remedial measures (mantras, gemstones, rituals, lifestyle adjustments, timing). Retrieved on-demand for remedy-specific queries.</w:t>
      </w:r>
    </w:p>
    <w:p>
      <w:pPr>
        <w:spacing w:after="160"/>
      </w:pPr>
      <w:r>
        <w:t xml:space="preserve"/>
      </w:r>
    </w:p>
    <w:p>
      <w:pPr>
        <w:pStyle w:val="Heading2"/>
      </w:pPr>
      <w:r>
        <w:t xml:space="preserve">L5 — Temporal Engines</w:t>
      </w:r>
    </w:p>
    <w:p>
      <w:pPr>
        <w:spacing w:after="140"/>
      </w:pPr>
      <w:r>
        <w:rPr>
          <w:rFonts w:ascii="Arial" w:cs="Arial" w:eastAsia="Arial" w:hAnsi="Arial"/>
          <w:sz w:val="22"/>
          <w:szCs w:val="22"/>
        </w:rPr>
        <w:t xml:space="preserve">Year-indexed timelines and annual chart heatmaps for timing analysis. Retrieved for queries with explicit temporal orientation.</w:t>
      </w:r>
    </w:p>
    <w:p>
      <w:pPr>
        <w:spacing w:after="160"/>
      </w:pPr>
      <w:r>
        <w:t xml:space="preserve"/>
      </w:r>
    </w:p>
    <w:p>
      <w:pPr>
        <w:pStyle w:val="Heading2"/>
      </w:pPr>
      <w:r>
        <w:t xml:space="preserve">L6 — Learning Layer</w:t>
      </w:r>
    </w:p>
    <w:p>
      <w:pPr>
        <w:spacing w:after="140"/>
      </w:pPr>
      <w:r>
        <w:rPr>
          <w:rFonts w:ascii="Arial" w:cs="Arial" w:eastAsia="Arial" w:hAnsi="Arial"/>
          <w:sz w:val="22"/>
          <w:szCs w:val="22"/>
        </w:rPr>
        <w:t xml:space="preserve">The prediction ledger and calibration infrastructure. The prediction_ledger.jsonl logs prospective predictions (made before outcomes are observed) with confidence, horizon, and falsifier conditions. This layer is the foundation for the long-term feedback loop that will allow the system to improve its calibration over time.</w:t>
      </w:r>
    </w:p>
    <w:p>
      <w:pPr>
        <w:spacing w:after="160"/>
      </w:pPr>
      <w:r>
        <w:t xml:space="preserve"/>
      </w:r>
    </w:p>
    <w:p>
      <w:r>
        <w:br w:type="page"/>
      </w:r>
    </w:p>
    <w:p>
      <w:pPr>
        <w:pStyle w:val="Heading1"/>
      </w:pPr>
      <w:r>
        <w:t xml:space="preserve">4. Complete Data Asset Inventory</w:t>
      </w:r>
    </w:p>
    <w:p>
      <w:pPr>
        <w:spacing w:after="140"/>
      </w:pPr>
      <w:r>
        <w:rPr>
          <w:rFonts w:ascii="Arial" w:cs="Arial" w:eastAsia="Arial" w:hAnsi="Arial"/>
          <w:sz w:val="22"/>
          <w:szCs w:val="22"/>
        </w:rPr>
        <w:t xml:space="preserve">The table below lists every canonical data file that is relevant to query context, with version, size, approximate token count, role, and tier assignment. Files excluded from this table: all governance infrastructure (00_ARCHITECTURE/*, ~3.1M tokens), all layer CLAUDE.md files, all predecessor versions, all build artifacts (PROMPTS/ directories, batch response files, edge manifests, validation schemas), the deep analysis narrative (DEEP_ANALYSIS_Abhisek_Mohanty_v1.md), and intermediate computation files superseded by their canonical successors.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500"/>
        <w:gridCol w:w="500"/>
        <w:gridCol w:w="800"/>
        <w:gridCol w:w="900"/>
        <w:gridCol w:w="3560"/>
        <w:gridCol w:w="400"/>
      </w:tblGrid>
      <w:tr>
        <w:tc>
          <w:tcPr>
            <w:tcW w:type="dxa" w:w="2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Ver</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Bytes</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~Tokens</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Role in Query Context</w:t>
            </w:r>
          </w:p>
        </w:tc>
        <w:tc>
          <w:tcPr>
            <w:tcW w:type="dxa" w:w="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Tier</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FORENSIC_ASTROLOGICAL_DATA_v8_0.md</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97,705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~24,426</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natal chart. Planetary positions, house cusps, all 16 divisional charts (D-1 to D-60), Vimshottari dasha sequence, ashtakavarga, special yogas. Computed via Jagannatha Hora. Single source of truth for L1 facts.</w:t>
            </w:r>
          </w:p>
        </w:tc>
        <w:tc>
          <w:tcPr>
            <w:tcW w:type="dxa" w:w="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sz w:val="20"/>
                <w:szCs w:val="20"/>
              </w:rPr>
              <w:t xml:space="preserve">T1</w:t>
            </w:r>
          </w:p>
        </w:tc>
      </w:tr>
      <w:tr>
        <w:tc>
          <w:tcPr>
            <w:tcW w:type="dxa" w:w="27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Courier New" w:cs="Courier New" w:eastAsia="Courier New" w:hAnsi="Courier New"/>
                <w:sz w:val="17"/>
                <w:szCs w:val="17"/>
              </w:rPr>
              <w:t xml:space="preserve">LIFE_EVENT_LOG_v1_2.md</w:t>
            </w:r>
          </w:p>
        </w:tc>
        <w:tc>
          <w:tcPr>
            <w:tcW w:type="dxa" w:w="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L1</w:t>
            </w:r>
          </w:p>
        </w:tc>
        <w:tc>
          <w:tcPr>
            <w:tcW w:type="dxa" w:w="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1.2</w:t>
            </w:r>
          </w:p>
        </w:tc>
        <w:tc>
          <w:tcPr>
            <w:tcW w:type="dxa" w:w="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103,162</w:t>
            </w:r>
          </w:p>
        </w:tc>
        <w:tc>
          <w:tcPr>
            <w:tcW w:type="dxa" w:w="9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~25,790</w:t>
            </w:r>
          </w:p>
        </w:tc>
        <w:tc>
          <w:tcPr>
            <w:tcW w:type="dxa" w:w="35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36 chronological life events + 5 period summaries + 6 chronic patterns. Each event has Swiss Ephemeris-populated chart_states: natal + transiting positions at event time. Confidence-rated at 0.89.</w:t>
            </w:r>
          </w:p>
        </w:tc>
        <w:tc>
          <w:tcPr>
            <w:tcW w:type="dxa" w:w="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sz w:val="20"/>
                <w:szCs w:val="20"/>
              </w:rPr>
              <w:t xml:space="preserve">T1</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SADE_SATI_CYCLES_ALL.md</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6,908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~1,727</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Saturn's Sade Sati and Kantaka Shani cycle timings across the native's lifetime. Critical for long-arc timing queries.</w:t>
            </w:r>
          </w:p>
        </w:tc>
        <w:tc>
          <w:tcPr>
            <w:tcW w:type="dxa" w:w="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sz w:val="20"/>
                <w:szCs w:val="20"/>
              </w:rPr>
              <w:t xml:space="preserve">T1</w:t>
            </w:r>
          </w:p>
        </w:tc>
      </w:tr>
      <w:tr>
        <w:tc>
          <w:tcPr>
            <w:tcW w:type="dxa" w:w="27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Courier New" w:cs="Courier New" w:eastAsia="Courier New" w:hAnsi="Courier New"/>
                <w:sz w:val="17"/>
                <w:szCs w:val="17"/>
              </w:rPr>
              <w:t xml:space="preserve">UCN_v4_0.md</w:t>
            </w:r>
          </w:p>
        </w:tc>
        <w:tc>
          <w:tcPr>
            <w:tcW w:type="dxa" w:w="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L2.5</w:t>
            </w:r>
          </w:p>
        </w:tc>
        <w:tc>
          <w:tcPr>
            <w:tcW w:type="dxa" w:w="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4.0</w:t>
            </w:r>
          </w:p>
        </w:tc>
        <w:tc>
          <w:tcPr>
            <w:tcW w:type="dxa" w:w="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198,194</w:t>
            </w:r>
          </w:p>
        </w:tc>
        <w:tc>
          <w:tcPr>
            <w:tcW w:type="dxa" w:w="9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~49,548</w:t>
            </w:r>
          </w:p>
        </w:tc>
        <w:tc>
          <w:tcPr>
            <w:tcW w:type="dxa" w:w="35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Unified Contradiction Network: relational map of all signals that conflict. Contradiction types: direct opposition, temporal conflict, domain interference. Essential for balanced, non-one-sided answers. Always loaded.</w:t>
            </w:r>
          </w:p>
        </w:tc>
        <w:tc>
          <w:tcPr>
            <w:tcW w:type="dxa" w:w="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sz w:val="20"/>
                <w:szCs w:val="20"/>
              </w:rPr>
              <w:t xml:space="preserve">T1</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CDLM_v1_1.md</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L2.5</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87,888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~21,972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Cross-Domain Linkage Matrix: explicit mappings showing how signals in one domain (career) link to signals in other domains (psychology, health, finance). Prevents domain siloing. Always loaded.</w:t>
            </w:r>
          </w:p>
        </w:tc>
        <w:tc>
          <w:tcPr>
            <w:tcW w:type="dxa" w:w="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sz w:val="20"/>
                <w:szCs w:val="20"/>
              </w:rPr>
              <w:t xml:space="preserve">T1</w:t>
            </w:r>
          </w:p>
        </w:tc>
      </w:tr>
      <w:tr>
        <w:tc>
          <w:tcPr>
            <w:tcW w:type="dxa" w:w="27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Courier New" w:cs="Courier New" w:eastAsia="Courier New" w:hAnsi="Courier New"/>
                <w:sz w:val="17"/>
                <w:szCs w:val="17"/>
              </w:rPr>
              <w:t xml:space="preserve">RM_v2_0.md</w:t>
            </w:r>
          </w:p>
        </w:tc>
        <w:tc>
          <w:tcPr>
            <w:tcW w:type="dxa" w:w="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L2.5</w:t>
            </w:r>
          </w:p>
        </w:tc>
        <w:tc>
          <w:tcPr>
            <w:tcW w:type="dxa" w:w="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2.0</w:t>
            </w:r>
          </w:p>
        </w:tc>
        <w:tc>
          <w:tcPr>
            <w:tcW w:type="dxa" w:w="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38,482</w:t>
            </w:r>
          </w:p>
        </w:tc>
        <w:tc>
          <w:tcPr>
            <w:tcW w:type="dxa" w:w="9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~9,620</w:t>
            </w:r>
          </w:p>
        </w:tc>
        <w:tc>
          <w:tcPr>
            <w:tcW w:type="dxa" w:w="35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Resolution Matrix: for each UCN contradiction node, the resolution strategy and weight of evidence on each side. Guides the LLM in navigating contradictions gracefully rather than ignoring one side.</w:t>
            </w:r>
          </w:p>
        </w:tc>
        <w:tc>
          <w:tcPr>
            <w:tcW w:type="dxa" w:w="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sz w:val="20"/>
                <w:szCs w:val="20"/>
              </w:rPr>
              <w:t xml:space="preserve">T1</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CGM_v9_0.md</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L2.5</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64,230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~16,057</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Cognitive Graph Map: 234 YAML node blocks across 9 node types (planet, house, yoga, nakshatra, dasha, domain, pattern, contradiction, cluster). Nodes connected by typed SUPPORTS and CONTRADICTS edges. The graph backbone for KGAG traversal.</w:t>
            </w:r>
          </w:p>
        </w:tc>
        <w:tc>
          <w:tcPr>
            <w:tcW w:type="dxa" w:w="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sz w:val="20"/>
                <w:szCs w:val="20"/>
              </w:rPr>
              <w:t xml:space="preserve">T1</w:t>
            </w:r>
          </w:p>
        </w:tc>
      </w:tr>
      <w:tr>
        <w:tc>
          <w:tcPr>
            <w:tcW w:type="dxa" w:w="27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Courier New" w:cs="Courier New" w:eastAsia="Courier New" w:hAnsi="Courier New"/>
                <w:sz w:val="17"/>
                <w:szCs w:val="17"/>
              </w:rPr>
              <w:t xml:space="preserve">PATTERN_REGISTER_v1_0.json</w:t>
            </w:r>
          </w:p>
        </w:tc>
        <w:tc>
          <w:tcPr>
            <w:tcW w:type="dxa" w:w="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L3.5</w:t>
            </w:r>
          </w:p>
        </w:tc>
        <w:tc>
          <w:tcPr>
            <w:tcW w:type="dxa" w:w="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1.0</w:t>
            </w:r>
          </w:p>
        </w:tc>
        <w:tc>
          <w:tcPr>
            <w:tcW w:type="dxa" w:w="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48,479</w:t>
            </w:r>
          </w:p>
        </w:tc>
        <w:tc>
          <w:tcPr>
            <w:tcW w:type="dxa" w:w="9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~12,119</w:t>
            </w:r>
          </w:p>
        </w:tc>
        <w:tc>
          <w:tcPr>
            <w:tcW w:type="dxa" w:w="35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22 validated astrological patterns. Each has: claim_text, mechanism, domain, confidence, significance score, falsifier conditions, forward/retrospective flag, classical basis citation. Validated through P1-P9 quality gates.</w:t>
            </w:r>
          </w:p>
        </w:tc>
        <w:tc>
          <w:tcPr>
            <w:tcW w:type="dxa" w:w="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sz w:val="20"/>
                <w:szCs w:val="20"/>
              </w:rPr>
              <w:t xml:space="preserve">T1</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CONTRADICTION_REGISTER_v1_0.json</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L3.5</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20,772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~5,193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formally catalogued chart contradictions: signal pairs in opposition with contradiction type, severity, and evidence weight on each side.</w:t>
            </w:r>
          </w:p>
        </w:tc>
        <w:tc>
          <w:tcPr>
            <w:tcW w:type="dxa" w:w="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sz w:val="20"/>
                <w:szCs w:val="20"/>
              </w:rPr>
              <w:t xml:space="preserve">T1</w:t>
            </w:r>
          </w:p>
        </w:tc>
      </w:tr>
      <w:tr>
        <w:tc>
          <w:tcPr>
            <w:tcW w:type="dxa" w:w="27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Courier New" w:cs="Courier New" w:eastAsia="Courier New" w:hAnsi="Courier New"/>
                <w:sz w:val="17"/>
                <w:szCs w:val="17"/>
              </w:rPr>
              <w:t xml:space="preserve">CLUSTER_ATLAS_v1_0.json</w:t>
            </w:r>
          </w:p>
        </w:tc>
        <w:tc>
          <w:tcPr>
            <w:tcW w:type="dxa" w:w="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L3.5</w:t>
            </w:r>
          </w:p>
        </w:tc>
        <w:tc>
          <w:tcPr>
            <w:tcW w:type="dxa" w:w="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1.0</w:t>
            </w:r>
          </w:p>
        </w:tc>
        <w:tc>
          <w:tcPr>
            <w:tcW w:type="dxa" w:w="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19,690</w:t>
            </w:r>
          </w:p>
        </w:tc>
        <w:tc>
          <w:tcPr>
            <w:tcW w:type="dxa" w:w="9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~4,922</w:t>
            </w:r>
          </w:p>
        </w:tc>
        <w:tc>
          <w:tcPr>
            <w:tcW w:type="dxa" w:w="35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12 signal clusters: thematically co-occurring signal groups, each with a centroid characterisation and constituent signal IDs.</w:t>
            </w:r>
          </w:p>
        </w:tc>
        <w:tc>
          <w:tcPr>
            <w:tcW w:type="dxa" w:w="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sz w:val="20"/>
                <w:szCs w:val="20"/>
              </w:rPr>
              <w:t xml:space="preserve">T1</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RESONANCE_REGISTER_v1_0.json</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L3.5</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27,797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~6,949</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Resonance relationships: signal pairs that mutually amplify each other across domains, with amplification type and combined significance.</w:t>
            </w:r>
          </w:p>
        </w:tc>
        <w:tc>
          <w:tcPr>
            <w:tcW w:type="dxa" w:w="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sz w:val="20"/>
                <w:szCs w:val="20"/>
              </w:rPr>
              <w:t xml:space="preserve">T1</w:t>
            </w:r>
          </w:p>
        </w:tc>
      </w:tr>
      <w:tr>
        <w:tc>
          <w:tcPr>
            <w:tcW w:type="dxa" w:w="27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Courier New" w:cs="Courier New" w:eastAsia="Courier New" w:hAnsi="Courier New"/>
                <w:sz w:val="17"/>
                <w:szCs w:val="17"/>
              </w:rPr>
              <w:t xml:space="preserve">MSR_v3_0.md</w:t>
            </w:r>
          </w:p>
        </w:tc>
        <w:tc>
          <w:tcPr>
            <w:tcW w:type="dxa" w:w="5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L2.5</w:t>
            </w:r>
          </w:p>
        </w:tc>
        <w:tc>
          <w:tcPr>
            <w:tcW w:type="dxa" w:w="5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3.0</w:t>
            </w:r>
          </w:p>
        </w:tc>
        <w:tc>
          <w:tcPr>
            <w:tcW w:type="dxa" w:w="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854,924</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~213,731</w:t>
            </w:r>
          </w:p>
        </w:tc>
        <w:tc>
          <w:tcPr>
            <w:tcW w:type="dxa" w:w="35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Master Signal Register: 499 individually-catalogued astrological signals. Each signal: domain, planet, house, nakshatra, dasha_lord, confidence (0-1), significance score, forward/retrospective flag, classical basis citation. Primary intelligence repository. Exceeds context window alone; retrieved via structured metadata filter then compressed.</w:t>
            </w:r>
          </w:p>
        </w:tc>
        <w:tc>
          <w:tcPr>
            <w:tcW w:type="dxa" w:w="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MATRIX_HOUSES.md</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L2</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48,786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~12,196</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House-by-house analysis matrix: lord, occupants, aspects received, special conditions, shadbala strength, significations across divisional charts.</w:t>
            </w:r>
          </w:p>
        </w:tc>
        <w:tc>
          <w:tcPr>
            <w:tcW w:type="dxa" w:w="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r>
      <w:tr>
        <w:tc>
          <w:tcPr>
            <w:tcW w:type="dxa" w:w="27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Courier New" w:cs="Courier New" w:eastAsia="Courier New" w:hAnsi="Courier New"/>
                <w:sz w:val="17"/>
                <w:szCs w:val="17"/>
              </w:rPr>
              <w:t xml:space="preserve">MATRIX_PLANETS.md</w:t>
            </w:r>
          </w:p>
        </w:tc>
        <w:tc>
          <w:tcPr>
            <w:tcW w:type="dxa" w:w="5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L2</w:t>
            </w:r>
          </w:p>
        </w:tc>
        <w:tc>
          <w:tcPr>
            <w:tcW w:type="dxa" w:w="5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1.0</w:t>
            </w:r>
          </w:p>
        </w:tc>
        <w:tc>
          <w:tcPr>
            <w:tcW w:type="dxa" w:w="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38,917</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~9,729</w:t>
            </w:r>
          </w:p>
        </w:tc>
        <w:tc>
          <w:tcPr>
            <w:tcW w:type="dxa" w:w="35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Planet-by-planet matrix: sign, house, nakshatra, dignity, aspect relationships, functional nature (Lagna = Cancer), conjunctions, key yogas formed.</w:t>
            </w:r>
          </w:p>
        </w:tc>
        <w:tc>
          <w:tcPr>
            <w:tcW w:type="dxa" w:w="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MATRIX_DASHA_PERIODS.md</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L2</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40,526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~10,131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table of all Vimshottari dasha and antardasha periods: start/end dates, dasha lord, antardasha lord, functional nature, key significations. Enables dasha-based retrieval.</w:t>
            </w:r>
          </w:p>
        </w:tc>
        <w:tc>
          <w:tcPr>
            <w:tcW w:type="dxa" w:w="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r>
      <w:tr>
        <w:tc>
          <w:tcPr>
            <w:tcW w:type="dxa" w:w="27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Courier New" w:cs="Courier New" w:eastAsia="Courier New" w:hAnsi="Courier New"/>
                <w:sz w:val="17"/>
                <w:szCs w:val="17"/>
              </w:rPr>
              <w:t xml:space="preserve">MATRIX_DIVISIONALS.md</w:t>
            </w:r>
          </w:p>
        </w:tc>
        <w:tc>
          <w:tcPr>
            <w:tcW w:type="dxa" w:w="5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L2</w:t>
            </w:r>
          </w:p>
        </w:tc>
        <w:tc>
          <w:tcPr>
            <w:tcW w:type="dxa" w:w="5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1.0</w:t>
            </w:r>
          </w:p>
        </w:tc>
        <w:tc>
          <w:tcPr>
            <w:tcW w:type="dxa" w:w="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31,918</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~7,979</w:t>
            </w:r>
          </w:p>
        </w:tc>
        <w:tc>
          <w:tcPr>
            <w:tcW w:type="dxa" w:w="35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Planetary positions across all 16 divisional charts (D-1 through D-60). Structured data behind divisional chart analysis.</w:t>
            </w:r>
          </w:p>
        </w:tc>
        <w:tc>
          <w:tcPr>
            <w:tcW w:type="dxa" w:w="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MATRIX_SIGNS.md</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L2</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35,957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~8,989</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Sign-by-sign analysis: planets transiting or occupying each rashi, quality (movable/fixed/dual), element, lord, relevant yogas.</w:t>
            </w:r>
          </w:p>
        </w:tc>
        <w:tc>
          <w:tcPr>
            <w:tcW w:type="dxa" w:w="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r>
      <w:tr>
        <w:tc>
          <w:tcPr>
            <w:tcW w:type="dxa" w:w="27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Courier New" w:cs="Courier New" w:eastAsia="Courier New" w:hAnsi="Courier New"/>
                <w:sz w:val="17"/>
                <w:szCs w:val="17"/>
              </w:rPr>
              <w:t xml:space="preserve">REPORT_CAREER_DHARMA_v1_1.md</w:t>
            </w:r>
          </w:p>
        </w:tc>
        <w:tc>
          <w:tcPr>
            <w:tcW w:type="dxa" w:w="5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L3</w:t>
            </w:r>
          </w:p>
        </w:tc>
        <w:tc>
          <w:tcPr>
            <w:tcW w:type="dxa" w:w="5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1.1</w:t>
            </w:r>
          </w:p>
        </w:tc>
        <w:tc>
          <w:tcPr>
            <w:tcW w:type="dxa" w:w="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107,029</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~26,757</w:t>
            </w:r>
          </w:p>
        </w:tc>
        <w:tc>
          <w:tcPr>
            <w:tcW w:type="dxa" w:w="35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Pre-synthesised career and dharma report: vocational aptitude, public role, professional karma, dharmic purpose. Retrieved for career-domain queries.</w:t>
            </w:r>
          </w:p>
        </w:tc>
        <w:tc>
          <w:tcPr>
            <w:tcW w:type="dxa" w:w="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REPORT_PSYCHOLOGY_MIND_v1_1.md</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L3</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73,207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~18,301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Psychology and mental constitution: cognitive style, emotional patterns, psychological vulnerabilities and strengths.</w:t>
            </w:r>
          </w:p>
        </w:tc>
        <w:tc>
          <w:tcPr>
            <w:tcW w:type="dxa" w:w="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r>
      <w:tr>
        <w:tc>
          <w:tcPr>
            <w:tcW w:type="dxa" w:w="27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Courier New" w:cs="Courier New" w:eastAsia="Courier New" w:hAnsi="Courier New"/>
                <w:sz w:val="17"/>
                <w:szCs w:val="17"/>
              </w:rPr>
              <w:t xml:space="preserve">REPORT_FINANCIAL_v2_0.md</w:t>
            </w:r>
          </w:p>
        </w:tc>
        <w:tc>
          <w:tcPr>
            <w:tcW w:type="dxa" w:w="5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L3</w:t>
            </w:r>
          </w:p>
        </w:tc>
        <w:tc>
          <w:tcPr>
            <w:tcW w:type="dxa" w:w="5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2.0</w:t>
            </w:r>
          </w:p>
        </w:tc>
        <w:tc>
          <w:tcPr>
            <w:tcW w:type="dxa" w:w="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106,007</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~26,501</w:t>
            </w:r>
          </w:p>
        </w:tc>
        <w:tc>
          <w:tcPr>
            <w:tcW w:type="dxa" w:w="35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Financial destiny: wealth indicators, business/employment karmas, financial timing windows, risk appetite.</w:t>
            </w:r>
          </w:p>
        </w:tc>
        <w:tc>
          <w:tcPr>
            <w:tcW w:type="dxa" w:w="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REPORT_HEALTH_LONGEVITY_v1_1.md</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L3</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37,334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~9,333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constitution and longevity: constitutional strength, vulnerability areas, critical periods for health vigilance.</w:t>
            </w:r>
          </w:p>
        </w:tc>
        <w:tc>
          <w:tcPr>
            <w:tcW w:type="dxa" w:w="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r>
      <w:tr>
        <w:tc>
          <w:tcPr>
            <w:tcW w:type="dxa" w:w="27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Courier New" w:cs="Courier New" w:eastAsia="Courier New" w:hAnsi="Courier New"/>
                <w:sz w:val="17"/>
                <w:szCs w:val="17"/>
              </w:rPr>
              <w:t xml:space="preserve">REPORT_RELATIONSHIPS_v1_1.md</w:t>
            </w:r>
          </w:p>
        </w:tc>
        <w:tc>
          <w:tcPr>
            <w:tcW w:type="dxa" w:w="5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L3</w:t>
            </w:r>
          </w:p>
        </w:tc>
        <w:tc>
          <w:tcPr>
            <w:tcW w:type="dxa" w:w="5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1.1</w:t>
            </w:r>
          </w:p>
        </w:tc>
        <w:tc>
          <w:tcPr>
            <w:tcW w:type="dxa" w:w="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10,238</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~2,559</w:t>
            </w:r>
          </w:p>
        </w:tc>
        <w:tc>
          <w:tcPr>
            <w:tcW w:type="dxa" w:w="35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Relationship patterns: marriage indicators, partnership karma, family dynamics. Note: v1.1 is substantially smaller than v1.0 (87KB); architect to advise whether v1.0 should be reinstated.</w:t>
            </w:r>
          </w:p>
        </w:tc>
        <w:tc>
          <w:tcPr>
            <w:tcW w:type="dxa" w:w="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REPORT_SPIRITUAL_v1_1.md</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L3</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13,259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~3,314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Spiritual path: dharmic orientation, moksha indicators, contemplative practice aptitude.</w:t>
            </w:r>
          </w:p>
        </w:tc>
        <w:tc>
          <w:tcPr>
            <w:tcW w:type="dxa" w:w="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r>
      <w:tr>
        <w:tc>
          <w:tcPr>
            <w:tcW w:type="dxa" w:w="27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Courier New" w:cs="Courier New" w:eastAsia="Courier New" w:hAnsi="Courier New"/>
                <w:sz w:val="17"/>
                <w:szCs w:val="17"/>
              </w:rPr>
              <w:t xml:space="preserve">REPORT_CHILDREN_v1_1.md</w:t>
            </w:r>
          </w:p>
        </w:tc>
        <w:tc>
          <w:tcPr>
            <w:tcW w:type="dxa" w:w="5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L3</w:t>
            </w:r>
          </w:p>
        </w:tc>
        <w:tc>
          <w:tcPr>
            <w:tcW w:type="dxa" w:w="5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1.1</w:t>
            </w:r>
          </w:p>
        </w:tc>
        <w:tc>
          <w:tcPr>
            <w:tcW w:type="dxa" w:w="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19,321</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~4,830</w:t>
            </w:r>
          </w:p>
        </w:tc>
        <w:tc>
          <w:tcPr>
            <w:tcW w:type="dxa" w:w="35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Children and progeny: timing, karmic dynamics, relationship with children.</w:t>
            </w:r>
          </w:p>
        </w:tc>
        <w:tc>
          <w:tcPr>
            <w:tcW w:type="dxa" w:w="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REPORT_PARENTS_v1_1.md</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L3</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11,901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~2,975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Parents and family of origin: parental karma, family dynamics, ancestral influences.</w:t>
            </w:r>
          </w:p>
        </w:tc>
        <w:tc>
          <w:tcPr>
            <w:tcW w:type="dxa" w:w="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r>
      <w:tr>
        <w:tc>
          <w:tcPr>
            <w:tcW w:type="dxa" w:w="27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Courier New" w:cs="Courier New" w:eastAsia="Courier New" w:hAnsi="Courier New"/>
                <w:sz w:val="17"/>
                <w:szCs w:val="17"/>
              </w:rPr>
              <w:t xml:space="preserve">REPORT_TRAVEL_v1_1.md</w:t>
            </w:r>
          </w:p>
        </w:tc>
        <w:tc>
          <w:tcPr>
            <w:tcW w:type="dxa" w:w="5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L3</w:t>
            </w:r>
          </w:p>
        </w:tc>
        <w:tc>
          <w:tcPr>
            <w:tcW w:type="dxa" w:w="5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1.1</w:t>
            </w:r>
          </w:p>
        </w:tc>
        <w:tc>
          <w:tcPr>
            <w:tcW w:type="dxa" w:w="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12,719</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~3,179</w:t>
            </w:r>
          </w:p>
        </w:tc>
        <w:tc>
          <w:tcPr>
            <w:tcW w:type="dxa" w:w="35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Foreign travel and relocation: directional strength, auspicious geographies, timing.</w:t>
            </w:r>
          </w:p>
        </w:tc>
        <w:tc>
          <w:tcPr>
            <w:tcW w:type="dxa" w:w="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LIFETIME_TIMELINE_v1_0.md</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L5</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11,262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~2,815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Year-by-year timeline: key dasha transitions, major transits, life phase characterisations.</w:t>
            </w:r>
          </w:p>
        </w:tc>
        <w:tc>
          <w:tcPr>
            <w:tcW w:type="dxa" w:w="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r>
      <w:tr>
        <w:tc>
          <w:tcPr>
            <w:tcW w:type="dxa" w:w="27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Courier New" w:cs="Courier New" w:eastAsia="Courier New" w:hAnsi="Courier New"/>
                <w:sz w:val="17"/>
                <w:szCs w:val="17"/>
              </w:rPr>
              <w:t xml:space="preserve">HEATMAP_VARSHPHAL_v1_0.md</w:t>
            </w:r>
          </w:p>
        </w:tc>
        <w:tc>
          <w:tcPr>
            <w:tcW w:type="dxa" w:w="5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L5</w:t>
            </w:r>
          </w:p>
        </w:tc>
        <w:tc>
          <w:tcPr>
            <w:tcW w:type="dxa" w:w="5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1.0</w:t>
            </w:r>
          </w:p>
        </w:tc>
        <w:tc>
          <w:tcPr>
            <w:tcW w:type="dxa" w:w="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6,367</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~1,591</w:t>
            </w:r>
          </w:p>
        </w:tc>
        <w:tc>
          <w:tcPr>
            <w:tcW w:type="dxa" w:w="35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Annual (Varshaphal) chart heatmap: year-by-year strength and weakness indicators.</w:t>
            </w:r>
          </w:p>
        </w:tc>
        <w:tc>
          <w:tcPr>
            <w:tcW w:type="dxa" w:w="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REMEDIAL_CODEX_v2_0_PART1+2.md</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L4</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33,524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~8,380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Prescribed remedial measures: mantras, gemstones, rituals, lifestyle adjustments, timing of remedies. Two-part document.</w:t>
            </w:r>
          </w:p>
        </w:tc>
        <w:tc>
          <w:tcPr>
            <w:tcW w:type="dxa" w:w="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r>
      <w:tr>
        <w:tc>
          <w:tcPr>
            <w:tcW w:type="dxa" w:w="27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Courier New" w:cs="Courier New" w:eastAsia="Courier New" w:hAnsi="Courier New"/>
                <w:sz w:val="17"/>
                <w:szCs w:val="17"/>
              </w:rPr>
              <w:t xml:space="preserve">prediction_ledger.jsonl</w:t>
            </w:r>
          </w:p>
        </w:tc>
        <w:tc>
          <w:tcPr>
            <w:tcW w:type="dxa" w:w="5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L6</w:t>
            </w:r>
          </w:p>
        </w:tc>
        <w:tc>
          <w:tcPr>
            <w:tcW w:type="dxa" w:w="5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0.1</w:t>
            </w:r>
          </w:p>
        </w:tc>
        <w:tc>
          <w:tcPr>
            <w:tcW w:type="dxa" w:w="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13,238</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~3,309</w:t>
            </w:r>
          </w:p>
        </w:tc>
        <w:tc>
          <w:tcPr>
            <w:tcW w:type="dxa" w:w="35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Prospective predictions logged before outcomes observed. Each entry: prediction_text, confidence, horizon_date, falsifier_condition. Used for model calibration and learning-layer feedback.</w:t>
            </w:r>
          </w:p>
        </w:tc>
        <w:tc>
          <w:tcPr>
            <w:tcW w:type="dxa" w:w="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EPHEMERIS_MONTHLY_1900_2100.csv</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1,690,822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~422,700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years of monthly planetary positions (1900-2100). Never injected in full. Queried by date range for transit analysis: e.g. "what was transiting on 2019-06-15?"</w:t>
            </w:r>
          </w:p>
        </w:tc>
        <w:tc>
          <w:tcPr>
            <w:tcW w:type="dxa" w:w="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sz w:val="20"/>
                <w:szCs w:val="20"/>
              </w:rPr>
              <w:t xml:space="preserve">T3</w:t>
            </w:r>
          </w:p>
        </w:tc>
      </w:tr>
      <w:tr>
        <w:tc>
          <w:tcPr>
            <w:tcW w:type="dxa" w:w="27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Courier New" w:cs="Courier New" w:eastAsia="Courier New" w:hAnsi="Courier New"/>
                <w:sz w:val="17"/>
                <w:szCs w:val="17"/>
              </w:rPr>
              <w:t xml:space="preserve">ECLIPSES_1900_2100.csv</w:t>
            </w:r>
          </w:p>
        </w:tc>
        <w:tc>
          <w:tcPr>
            <w:tcW w:type="dxa" w:w="5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sz w:val="20"/>
                <w:szCs w:val="20"/>
              </w:rPr>
              <w:t xml:space="preserve">L1</w:t>
            </w:r>
          </w:p>
        </w:tc>
        <w:tc>
          <w:tcPr>
            <w:tcW w:type="dxa" w:w="5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sz w:val="20"/>
                <w:szCs w:val="20"/>
              </w:rPr>
              <w:t xml:space="preserve">67,786</w:t>
            </w:r>
          </w:p>
        </w:tc>
        <w:tc>
          <w:tcPr>
            <w:tcW w:type="dxa" w:w="9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sz w:val="20"/>
                <w:szCs w:val="20"/>
              </w:rPr>
              <w:t xml:space="preserve">~16,946</w:t>
            </w:r>
          </w:p>
        </w:tc>
        <w:tc>
          <w:tcPr>
            <w:tcW w:type="dxa" w:w="35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sz w:val="20"/>
                <w:szCs w:val="20"/>
              </w:rPr>
              <w:t xml:space="preserve">200 years of eclipse timings and types. Date-range query for eclipse-sensitive timing periods.</w:t>
            </w:r>
          </w:p>
        </w:tc>
        <w:tc>
          <w:tcPr>
            <w:tcW w:type="dxa" w:w="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sz w:val="20"/>
                <w:szCs w:val="20"/>
              </w:rPr>
              <w:t xml:space="preserve">T3</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RETROGRADES_1900_2100.csv</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81,681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~20,420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years of planetary retrograde windows. Date-range query for retrograde sensitivity analysis.</w:t>
            </w:r>
          </w:p>
        </w:tc>
        <w:tc>
          <w:tcPr>
            <w:tcW w:type="dxa" w:w="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sz w:val="20"/>
                <w:szCs w:val="20"/>
              </w:rPr>
              <w:t xml:space="preserve">T3</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180"/>
              <w:bottom w:type="dxa" w:w="120"/>
              <w:right w:type="dxa" w:w="180"/>
            </w:tcMar>
          </w:tcPr>
          <w:p>
            <w:r>
              <w:rPr>
                <w:rFonts w:ascii="Arial" w:cs="Arial" w:eastAsia="Arial" w:hAnsi="Arial"/>
                <w:i/>
                <w:iCs/>
                <w:sz w:val="21"/>
                <w:szCs w:val="21"/>
              </w:rPr>
              <w:t xml:space="preserve">Note: Token estimates use the standard ~4 bytes per token approximation. Actual token counts with specific tokenisers may vary by ±10%. All file versions listed are the current canonical versions; predecessor versions are retained as archival only and carry zero bytes into query context.</w:t>
            </w:r>
          </w:p>
        </w:tc>
      </w:tr>
    </w:tbl>
    <w:p>
      <w:pPr>
        <w:spacing w:after="160"/>
      </w:pPr>
      <w:r>
        <w:t xml:space="preserve"/>
      </w:r>
    </w:p>
    <w:p>
      <w:r>
        <w:br w:type="page"/>
      </w:r>
    </w:p>
    <w:p>
      <w:pPr>
        <w:pStyle w:val="Heading1"/>
      </w:pPr>
      <w:r>
        <w:t xml:space="preserve">5. Token Budget Reality</w:t>
      </w:r>
    </w:p>
    <w:p>
      <w:pPr>
        <w:pStyle w:val="Heading2"/>
      </w:pPr>
      <w:r>
        <w:t xml:space="preserve">5.1 The Context Window Constraint</w:t>
      </w:r>
    </w:p>
    <w:p>
      <w:pPr>
        <w:spacing w:after="140"/>
      </w:pPr>
      <w:r>
        <w:rPr>
          <w:rFonts w:ascii="Arial" w:cs="Arial" w:eastAsia="Arial" w:hAnsi="Arial"/>
          <w:sz w:val="22"/>
          <w:szCs w:val="22"/>
        </w:rPr>
        <w:t xml:space="preserve">The system uses Google Vertex AI with a 200,000-token context window. This hard constraint is the primary driver of the retrieval architecture decision. The token numbers are as follows: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Corpus Segment</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Token Count</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Query Context Status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MSR_v3_0.md (single file)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~213,731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Exceeds the 200K context window alone</w:t>
            </w:r>
          </w:p>
        </w:tc>
      </w:tr>
      <w:tr>
        <w:tc>
          <w:tcPr>
            <w:tcW w:type="dxa" w:w="3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Tier 1 always-load set (11 files)</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sz w:val="20"/>
                <w:szCs w:val="20"/>
              </w:rPr>
              <w:t xml:space="preserve">~178,323</w:t>
            </w:r>
          </w:p>
        </w:tc>
        <w:tc>
          <w:tcPr>
            <w:tcW w:type="dxa" w:w="4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Fits within 200K — the key discovery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2 on-demand pool (ex MSR)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~163,286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Retrieved selectively per query</w:t>
            </w:r>
          </w:p>
        </w:tc>
      </w:tr>
      <w:tr>
        <w:tc>
          <w:tcPr>
            <w:tcW w:type="dxa" w:w="3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Full T1 + T2 knowledge corpus</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sz w:val="20"/>
                <w:szCs w:val="20"/>
              </w:rPr>
              <w:t xml:space="preserve">~555,340</w:t>
            </w:r>
          </w:p>
        </w:tc>
        <w:tc>
          <w:tcPr>
            <w:tcW w:type="dxa" w:w="4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2.77x the context window</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3 lookup CSV files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~460,066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Never injected; date-range SQL queries only</w:t>
            </w:r>
          </w:p>
        </w:tc>
      </w:tr>
      <w:tr>
        <w:tc>
          <w:tcPr>
            <w:tcW w:type="dxa" w:w="3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Governance infrastructure (00_ARCHITECTURE/*)</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sz w:val="20"/>
                <w:szCs w:val="20"/>
              </w:rPr>
              <w:t xml:space="preserve">~3,100,000</w:t>
            </w:r>
          </w:p>
        </w:tc>
        <w:tc>
          <w:tcPr>
            <w:tcW w:type="dxa" w:w="4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Never in query context — project management only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Grand total corpus (all files)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~3,740,000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83% is governance; only 17% is knowledge</w:t>
            </w:r>
          </w:p>
        </w:tc>
      </w:tr>
    </w:tbl>
    <w:p>
      <w:pPr>
        <w:spacing w:after="160"/>
      </w:pPr>
      <w:r>
        <w:t xml:space="preserve"/>
      </w:r>
    </w:p>
    <w:p>
      <w:pPr>
        <w:pStyle w:val="Heading2"/>
      </w:pPr>
      <w:r>
        <w:t xml:space="preserve">5.2 The Critical Insight: Tier 1 Fits</w:t>
      </w:r>
    </w:p>
    <w:p>
      <w:pPr>
        <w:spacing w:after="140"/>
      </w:pPr>
      <w:r>
        <w:rPr>
          <w:rFonts w:ascii="Arial" w:cs="Arial" w:eastAsia="Arial" w:hAnsi="Arial"/>
          <w:sz w:val="22"/>
          <w:szCs w:val="22"/>
        </w:rPr>
        <w:t xml:space="preserve">The most important discovery in the token budget analysis is that the 11 files comprising the Tier 1 always-load set — FORENSIC, LEL, SADE_SATI from L1; UCN, CDLM, RM, CGM from L2.5; and the four L3.5 registers — total approximately 178,323 tokens. This fits within the 200K context window, with ~21,677 tokens remaining as headroom.</w:t>
      </w:r>
    </w:p>
    <w:p>
      <w:pPr>
        <w:spacing w:after="140"/>
      </w:pPr>
      <w:r>
        <w:rPr>
          <w:rFonts w:ascii="Arial" w:cs="Arial" w:eastAsia="Arial" w:hAnsi="Arial"/>
          <w:sz w:val="22"/>
          <w:szCs w:val="22"/>
        </w:rPr>
        <w:t xml:space="preserve">This means the system can guarantee full holistic context (satisfying the B.11 Whole-Chart-Read Protocol) for every query without any retrieval logic for these files. The only file that requires retrieval is MSR — and for MSR, the rich typed metadata makes structured SQL filtering the right tool, not vector similarity search.</w:t>
      </w:r>
    </w:p>
    <w:p>
      <w:pPr>
        <w:spacing w:after="160"/>
      </w:pPr>
      <w:r>
        <w:t xml:space="preserve"/>
      </w:r>
    </w:p>
    <w:p>
      <w:pPr>
        <w:pStyle w:val="Heading2"/>
      </w:pPr>
      <w:r>
        <w:t xml:space="preserve">5.3 What Was Incorrectly Counted Previously</w:t>
      </w:r>
    </w:p>
    <w:p>
      <w:pPr>
        <w:spacing w:after="140"/>
      </w:pPr>
      <w:r>
        <w:rPr>
          <w:rFonts w:ascii="Arial" w:cs="Arial" w:eastAsia="Arial" w:hAnsi="Arial"/>
          <w:sz w:val="22"/>
          <w:szCs w:val="22"/>
        </w:rPr>
        <w:t xml:space="preserve">An earlier analysis reported the "active knowledge corpus" as ~641,000 tokens and the "total corpus" as ~3.74M tokens. These figures were technically accurate but misleading: the 641K figure included predecessor versions and build artifacts, and the 3.74M figure included all governance infrastructure (00_ARCHITECTURE/*). Neither of these sets belongs in query context. The accurate query-relevant token budget is Tier 1 (~178K, always-load) plus Tier 2 (~377K, on-demand retrieval pool including MSR). Governance carries zero tokens into query context.</w:t>
      </w:r>
    </w:p>
    <w:p>
      <w:pPr>
        <w:spacing w:after="160"/>
      </w:pPr>
      <w:r>
        <w:t xml:space="preserve"/>
      </w:r>
    </w:p>
    <w:p>
      <w:r>
        <w:br w:type="page"/>
      </w:r>
    </w:p>
    <w:p>
      <w:pPr>
        <w:pStyle w:val="Heading1"/>
      </w:pPr>
      <w:r>
        <w:t xml:space="preserve">6. Retrieval Architecture Models Evaluated</w:t>
      </w:r>
    </w:p>
    <w:p>
      <w:pPr>
        <w:spacing w:after="140"/>
      </w:pPr>
      <w:r>
        <w:rPr>
          <w:rFonts w:ascii="Arial" w:cs="Arial" w:eastAsia="Arial" w:hAnsi="Arial"/>
          <w:sz w:val="22"/>
          <w:szCs w:val="22"/>
        </w:rPr>
        <w:t xml:space="preserve">Six distinct retrieval architectures were evaluated against five criteria: (1) ability to satisfy the B.11 Whole-Chart-Read Protocol (mandatory holistic context for every query); (2) ability to handle multi-domain queries requiring cross-layer signal aggregation; (3) suitability for the specific corpus structure (typed MSR metadata, CGM graph, relational UCN/CDLM content); (4) operational feasibility given existing infrastructure (pgvector on Cloud SQL PostgreSQL, Vertex AI embeddings); (5) architectural simplicity relative to capability delivered.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2600"/>
        <w:gridCol w:w="4460"/>
      </w:tblGrid>
      <w:t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44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Why Considered / Outcome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Long Context Direct Loading</w:t>
            </w:r>
          </w:p>
        </w:tc>
        <w:tc>
          <w:tcPr>
            <w:tcW w:type="dxa" w:w="7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Eliminated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 the entire knowledge corpus into a single LLM context window for each query. No retrieval; the LLM has full visibility of all data.</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WHY CONSIDERED: Ideal from an information-completeness standpoint. The LLM cannot miss any signal, relationship, or contradiction regardless of how distant the connection appears. Preserves all inter-document relationships that chunked retrieval severs. — OUTCOME: MSR alone is ~213,700 tokens, exceeding the 200K context window. The full T1+T2 knowledge corpus totals ~555,000 tokens (2.77x the window). Even with 1M-token models, the "lost in the middle" problem degrades attention to signals in the centre of very long contexts. Per-query cost would be prohibitive.</w:t>
            </w:r>
          </w:p>
        </w:tc>
      </w:tr>
      <w:tr>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sz w:val="20"/>
                <w:szCs w:val="20"/>
              </w:rPr>
              <w:t xml:space="preserve">Vanilla RAG (Dense Vector Retrieval)</w:t>
            </w:r>
          </w:p>
        </w:tc>
        <w:tc>
          <w:tcPr>
            <w:tcW w:type="dxa" w:w="7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Eliminated</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Chunk all documents, embed chunks via Vertex AI (768-dim, text-multilingual-embedding-002), store in pgvector with HNSW index, retrieve top-k by cosine similarity on each query.</w:t>
            </w:r>
          </w:p>
        </w:tc>
        <w:tc>
          <w:tcPr>
            <w:tcW w:type="dxa" w:w="44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WHY CONSIDERED: Industry standard, well-understood, and already partially deployed (pgvector on Cloud SQL PostgreSQL is operational). Simple to implement and extend. — OUTCOME: The corpus value lies in structure, typed metadata, and relationships between signals — not in prose similarity. Embedding proximity cannot distinguish a signal that supports a query from one that contradicts it (the UCN contradiction entries are semantically similar to the signals they contradict). The MSR has 499 signals with rich typed metadata (domain, planet, house, dasha_lord, confidence) for which SQL filtering is far more precise than vector similarity.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Structured Query First (Text-to-SQL)</w:t>
            </w:r>
          </w:p>
        </w:tc>
        <w:tc>
          <w:tcPr>
            <w:tcW w:type="dxa" w:w="7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sz w:val="20"/>
                <w:szCs w:val="20"/>
              </w:rPr>
              <w:t xml:space="preserve">Partially retained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Translate natural language queries into SQL or metadata filter expressions, execute against MSR and register metadata, retrieve matching records. No semantic search.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WHY CONSIDERED: MSR signals carry extensive typed metadata (domain, planet, house, nakshatra_lord, dasha_lord, confidence, significance, is_forward_looking). SQL can be exact: domain='career' AND confidence&gt;0.75 AND dasha_lord='Saturn' retrieves precisely the right signals. Fast, deterministic, reproducible. — OUTCOME: Cannot be the primary or sole strategy. UCN (49,548 tokens), CDLM (21,972 tokens), RM (9,620 tokens), and CGM (16,057 tokens) are relational semantic documents that cannot be SQL-filtered. Cross-domain queries ("how do career and relationship patterns interact?") do not map to metadata filters. The B.11 mandatory protocol requires holistic synthesis context first. Retained as the MSR retrieval tool within the chosen architecture.</w:t>
            </w:r>
          </w:p>
        </w:tc>
      </w:tr>
      <w:tr>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sz w:val="20"/>
                <w:szCs w:val="20"/>
              </w:rPr>
              <w:t xml:space="preserve">Microsoft GraphRAG (Community Detection)</w:t>
            </w:r>
          </w:p>
        </w:tc>
        <w:tc>
          <w:tcPr>
            <w:tcW w:type="dxa" w:w="7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Eliminated</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Build a knowledge graph from all documents via LLM-based entity extraction during indexing. Use graph community summaries plus local context for global and local queries.</w:t>
            </w:r>
          </w:p>
        </w:tc>
        <w:tc>
          <w:tcPr>
            <w:tcW w:type="dxa" w:w="44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WHY CONSIDERED: GraphRAG directly addresses the relational knowledge retrieval problem that vanilla RAG fails at. Designed for corpora where the value is in cross-document entity relationships. — OUTCOME: GraphRAG extracts entities and relationships from text via LLM passes during indexing. For MARSYS-JIS, these entities and relationships have already been manually curated (MSR signals, CGM nodes and edges, CDLM linkages, UCN contradictions). Auto-extraction would duplicate this work and likely produce lower-quality results than the hand-curated structures. Community detection would generate different communities from the semantically-defined layer structure already in place. Pre-existing curated graph &gt; auto-extracted graph in this corpus.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KGAG — Knowledge Graph-Augmented Generation</w:t>
            </w:r>
          </w:p>
        </w:tc>
        <w:tc>
          <w:tcPr>
            <w:tcW w:type="dxa" w:w="7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sz w:val="20"/>
                <w:szCs w:val="20"/>
              </w:rPr>
              <w:t xml:space="preserve">Partially retained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the existing CGM knowledge graph (234 nodes, typed SUPPORTS and CONTRADICTS edges) as the primary navigation mechanism. Extract entities from the query, map to CGM nodes, traverse edges to expand context, map back to MSR signals.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WHY CONSIDERED: The CGM and edge manifests are already built and available. Directly leverages the graph infrastructure without duplication. Captures relationships that semantic search ignores. Naturally traverses the contradiction network via CONTRADICTS edges. — OUTCOME: Single-pass with no mid-query recovery: if starting node extraction from NL query is imprecise, the entire traversal retrieves irrelevant context. No enforcement of the B.11 mandatory holistic load. No dynamic adaptation to multi-domain queries. Retained as the primary retrieval tool within the chosen Agentic orchestration layer.</w:t>
            </w:r>
          </w:p>
        </w:tc>
      </w:tr>
      <w:tr>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sz w:val="20"/>
                <w:szCs w:val="20"/>
              </w:rPr>
              <w:t xml:space="preserve">Agentic Retrieval (ReAct Loop)</w:t>
            </w:r>
          </w:p>
        </w:tc>
        <w:tc>
          <w:tcPr>
            <w:tcW w:type="dxa" w:w="7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sz w:val="20"/>
                <w:szCs w:val="20"/>
              </w:rPr>
              <w:t xml:space="preserve">Partially retained</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The LLM acts as its own orchestrator in a Reason → Act → Observe loop. The agent decides what to retrieve, issues a retrieval call, observes the result, and decides the next step. Final answer is synthesised from accumulated context.</w:t>
            </w:r>
          </w:p>
        </w:tc>
        <w:tc>
          <w:tcPr>
            <w:tcW w:type="dxa" w:w="44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WHY CONSIDERED: Multi-step reasoning handles complex multi-domain queries that require aggregating signals across career, psychology, timing, and health simultaneously. Can enforce B.11 as a system-level rule. Resilient to unexpected query types. Can combine multiple retrieval strategies adaptively. — OUTCOME: If the retrieval tools available to the agent are only semantic similarity search, the graph structure is entirely invisible. Non-deterministic across runs. Multiple LLM calls increase latency and cost. Retained as the orchestration layer; KGAG graph traversal and structured MSR filter are its tools.</w:t>
            </w:r>
          </w:p>
        </w:tc>
      </w:tr>
    </w:tbl>
    <w:p>
      <w:pPr>
        <w:spacing w:after="160"/>
      </w:pPr>
      <w:r>
        <w:t xml:space="preserve"/>
      </w:r>
    </w:p>
    <w:p>
      <w:r>
        <w:br w:type="page"/>
      </w:r>
    </w:p>
    <w:p>
      <w:pPr>
        <w:pStyle w:val="Heading1"/>
      </w:pPr>
      <w:r>
        <w:t xml:space="preserve">7. The Chosen Architecture — Agentic KGAG</w:t>
      </w:r>
    </w:p>
    <w:p>
      <w:pPr>
        <w:pStyle w:val="Heading2"/>
      </w:pPr>
      <w:r>
        <w:t xml:space="preserve">7.1 The Key Distinction: Orchestration vs Retrieval Mechanism</w:t>
      </w:r>
    </w:p>
    <w:p>
      <w:pPr>
        <w:spacing w:after="140"/>
      </w:pPr>
      <w:r>
        <w:rPr>
          <w:rFonts w:ascii="Arial" w:cs="Arial" w:eastAsia="Arial" w:hAnsi="Arial"/>
          <w:sz w:val="22"/>
          <w:szCs w:val="22"/>
        </w:rPr>
        <w:t xml:space="preserve">A clarification that is essential before describing the chosen architecture: KGAG (Knowledge Graph-Augmented Generation) and Agentic Retrieval operate at different levels of the system. KGAG is a retrieval mechanism — it describes how connected knowledge is navigated (via graph traversal through the CGM). Agentic retrieval is an orchestration model — it describes who decides what to retrieve and when (the LLM itself, in a multi-step reasoning loop). These two are not alternatives to each other. They can and should be combined — and combining them is the chosen architecture.</w:t>
      </w:r>
    </w:p>
    <w:p>
      <w:pPr>
        <w:spacing w:after="160"/>
      </w:pPr>
      <w:r>
        <w:t xml:space="preserve"/>
      </w:r>
    </w:p>
    <w:p>
      <w:pPr>
        <w:pStyle w:val="Heading2"/>
      </w:pPr>
      <w:r>
        <w:t xml:space="preserve">7.2 How Agentic KGAG Operates — Step by Step</w:t>
      </w:r>
    </w:p>
    <w:p>
      <w:pPr>
        <w:pStyle w:val="ListParagraph"/>
        <w:numPr>
          <w:ilvl w:val="0"/>
          <w:numId w:val="3"/>
        </w:numPr>
        <w:spacing w:after="60"/>
      </w:pPr>
      <w:r>
        <w:rPr>
          <w:rFonts w:ascii="Arial" w:cs="Arial" w:eastAsia="Arial" w:hAnsi="Arial"/>
          <w:sz w:val="22"/>
          <w:szCs w:val="22"/>
        </w:rPr>
        <w:t xml:space="preserve">Tier 1 unconditional load (B.11 satisfaction). Every query begins by loading the full 11-file Tier 1 set (~178K tokens) into the LLM context. This is not retrieval — it is a fixed load. The LLM therefore always has access to: the canonical chart data (FORENSIC, LEL), Saturn cycle data, the full contradiction network (UCN), the cross-domain linkage map (CDLM), the resolution matrix (RM), the graph map (CGM), and all four L3.5 discovery registers. The B.11 Whole-Chart-Read Protocol is satisfied by architecture, not by retrieval logic.</w:t>
      </w:r>
    </w:p>
    <w:p>
      <w:pPr>
        <w:pStyle w:val="ListParagraph"/>
        <w:numPr>
          <w:ilvl w:val="0"/>
          <w:numId w:val="3"/>
        </w:numPr>
        <w:spacing w:after="60"/>
      </w:pPr>
      <w:r>
        <w:rPr>
          <w:rFonts w:ascii="Arial" w:cs="Arial" w:eastAsia="Arial" w:hAnsi="Arial"/>
          <w:sz w:val="22"/>
          <w:szCs w:val="22"/>
        </w:rPr>
        <w:t xml:space="preserve">Query analysis. With full holistic context already loaded, the LLM (acting as agent) analyses the query to identify: relevant domain(s) (career, finance, psychology, health, relationships, timing, spiritual, remedial); relevant planets and houses; dasha context (current period); and whether the query is retrospective or forward-looking.</w:t>
      </w:r>
    </w:p>
    <w:p>
      <w:pPr>
        <w:pStyle w:val="ListParagraph"/>
        <w:numPr>
          <w:ilvl w:val="0"/>
          <w:numId w:val="3"/>
        </w:numPr>
        <w:spacing w:after="60"/>
      </w:pPr>
      <w:r>
        <w:rPr>
          <w:rFonts w:ascii="Arial" w:cs="Arial" w:eastAsia="Arial" w:hAnsi="Arial"/>
          <w:sz w:val="22"/>
          <w:szCs w:val="22"/>
        </w:rPr>
        <w:t xml:space="preserve">MSR structured retrieval (Tool A). The agent issues a structured metadata filter against the MSR: domain IN [...], dasha_lord IN [...], confidence &gt;= threshold, significance &gt;= threshold. Returned signal rows are compressed to the top 20-30 by combined confidence-significance score before injection into the context window.</w:t>
      </w:r>
    </w:p>
    <w:p>
      <w:pPr>
        <w:pStyle w:val="ListParagraph"/>
        <w:numPr>
          <w:ilvl w:val="0"/>
          <w:numId w:val="3"/>
        </w:numPr>
        <w:spacing w:after="60"/>
      </w:pPr>
      <w:r>
        <w:rPr>
          <w:rFonts w:ascii="Arial" w:cs="Arial" w:eastAsia="Arial" w:hAnsi="Arial"/>
          <w:sz w:val="22"/>
          <w:szCs w:val="22"/>
        </w:rPr>
        <w:t xml:space="preserve">CGM graph expansion (Tool B). Using the seed signal IDs from Tool A, the agent traverses the CGM edge manifests: SUPPORTS edges reveal amplifying signals not captured by the metadata filter; CONTRADICTS edges surface counter-signals that the response must explicitly address. This prevents confirmation bias in the assembled context.</w:t>
      </w:r>
    </w:p>
    <w:p>
      <w:pPr>
        <w:pStyle w:val="ListParagraph"/>
        <w:numPr>
          <w:ilvl w:val="0"/>
          <w:numId w:val="3"/>
        </w:numPr>
        <w:spacing w:after="60"/>
      </w:pPr>
      <w:r>
        <w:rPr>
          <w:rFonts w:ascii="Arial" w:cs="Arial" w:eastAsia="Arial" w:hAnsi="Arial"/>
          <w:sz w:val="22"/>
          <w:szCs w:val="22"/>
        </w:rPr>
        <w:t xml:space="preserve">Optional domain report (Tool C). For single-domain queries, the agent may load the corresponding L3 pre-synthesised domain report. This is currently under architect review — see Open Question 5.</w:t>
      </w:r>
    </w:p>
    <w:p>
      <w:pPr>
        <w:pStyle w:val="ListParagraph"/>
        <w:numPr>
          <w:ilvl w:val="0"/>
          <w:numId w:val="3"/>
        </w:numPr>
        <w:spacing w:after="60"/>
      </w:pPr>
      <w:r>
        <w:rPr>
          <w:rFonts w:ascii="Arial" w:cs="Arial" w:eastAsia="Arial" w:hAnsi="Arial"/>
          <w:sz w:val="22"/>
          <w:szCs w:val="22"/>
        </w:rPr>
        <w:t xml:space="preserve">Response synthesis. The agent synthesises a response from: the fixed Tier 1 context, the compressed MSR signal set, the graph-expanded signals, and any loaded domain report. The response cites specific signal IDs, notes contradictions, distinguishes confidence levels, and flags any forward-looking elements with their falsifier conditions.</w:t>
      </w:r>
    </w:p>
    <w:p>
      <w:pPr>
        <w:spacing w:after="160"/>
      </w:pPr>
      <w:r>
        <w:t xml:space="preserve"/>
      </w:r>
    </w:p>
    <w:p>
      <w:pPr>
        <w:pStyle w:val="Heading2"/>
      </w:pPr>
      <w:r>
        <w:t xml:space="preserve">7.3 Why This Combination Is Correct for This Corpus</w:t>
      </w:r>
    </w:p>
    <w:p>
      <w:pPr>
        <w:spacing w:after="140"/>
      </w:pPr>
      <w:r>
        <w:rPr>
          <w:rFonts w:ascii="Arial" w:cs="Arial" w:eastAsia="Arial" w:hAnsi="Arial"/>
          <w:sz w:val="22"/>
          <w:szCs w:val="22"/>
        </w:rPr>
        <w:t xml:space="preserve">Pure KGAG without an agentic layer has no enforcement of B.11, no ability to issue a second retrieval pass if the first is insufficient, and fails if node extraction from the NL query is imprecise. Pure agentic retrieval without KGAG as a tool reverts to semantic similarity for retrieval, making the entire CGM graph structure — the SUPPORTS/CONTRADICTS edge network that took significant effort to build — invisible to the retrieval process.</w:t>
      </w:r>
    </w:p>
    <w:p>
      <w:pPr>
        <w:spacing w:after="140"/>
      </w:pPr>
      <w:r>
        <w:rPr>
          <w:rFonts w:ascii="Arial" w:cs="Arial" w:eastAsia="Arial" w:hAnsi="Arial"/>
          <w:sz w:val="22"/>
          <w:szCs w:val="22"/>
        </w:rPr>
        <w:t xml:space="preserve">The combination exploits the strengths of each: the agentic layer provides orchestration, B.11 enforcement, and dynamic multi-pass capability; KGAG provides graph-aware retrieval that respects the explicitly-curated relationship structure. The MSR typed metadata filter provides precise, deterministic signal selection for the 499-signal core repository. Contextual compression manages the token budget after retrieval.</w:t>
      </w:r>
    </w:p>
    <w:p>
      <w:pPr>
        <w:spacing w:after="160"/>
      </w:pPr>
      <w:r>
        <w:t xml:space="preserve"/>
      </w:r>
    </w:p>
    <w:p>
      <w:pPr>
        <w:pStyle w:val="Heading2"/>
      </w:pPr>
      <w:r>
        <w:t xml:space="preserve">7.4 Why Contextual Compression Is Required</w:t>
      </w:r>
    </w:p>
    <w:p>
      <w:pPr>
        <w:spacing w:after="140"/>
      </w:pPr>
      <w:r>
        <w:rPr>
          <w:rFonts w:ascii="Arial" w:cs="Arial" w:eastAsia="Arial" w:hAnsi="Arial"/>
          <w:sz w:val="22"/>
          <w:szCs w:val="22"/>
        </w:rPr>
        <w:t xml:space="preserve">After a structured metadata filter on MSR, the agent may receive 60-100 candidate signal rows. At approximately 4-6 tokens per field across 15 fields per signal, 80 signals represent 5,000-8,000 tokens of context — manageable, but not optimally focused. A compression pass that retains only the 20-30 signals with the highest combined confidence-significance score keeps the injected context tight and reduces the risk of less-relevant signals competing for the LLM's attention. The architect is asked to recommend the compression approach: significance-weighted sort (simple, no additional model call), cross-encoder reranker (higher quality, one additional model call), or LLMLingua-style token pruning (see Open Question 3).</w:t>
      </w:r>
    </w:p>
    <w:p>
      <w:pPr>
        <w:spacing w:after="160"/>
      </w:pPr>
      <w:r>
        <w:t xml:space="preserve"/>
      </w:r>
    </w:p>
    <w:p>
      <w:r>
        <w:br w:type="page"/>
      </w:r>
    </w:p>
    <w:p>
      <w:pPr>
        <w:pStyle w:val="Heading1"/>
      </w:pPr>
      <w:r>
        <w:t xml:space="preserve">8. File Tiering for Query Context</w:t>
      </w:r>
    </w:p>
    <w:p>
      <w:pPr>
        <w:spacing w:after="140"/>
      </w:pPr>
      <w:r>
        <w:rPr>
          <w:rFonts w:ascii="Arial" w:cs="Arial" w:eastAsia="Arial" w:hAnsi="Arial"/>
          <w:sz w:val="22"/>
          <w:szCs w:val="22"/>
        </w:rPr>
        <w:t xml:space="preserve">All canonical data files are assigned to one of three tiers. Files not appearing in this table carry zero tokens into query context. The total Tier 1 always-load set (~178K tokens) fits within the 200K context window.</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900"/>
        <w:gridCol w:w="4660"/>
      </w:tblGrid>
      <w:tr>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3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Tokens</w:t>
            </w:r>
          </w:p>
        </w:tc>
        <w:tc>
          <w:tcPr>
            <w:tcW w:type="dxa" w:w="4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Query Context Role</w:t>
            </w:r>
          </w:p>
        </w:tc>
      </w:tr>
      <w:tr>
        <w:tc>
          <w:tcPr>
            <w:tcW w:type="dxa" w:w="7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sz w:val="20"/>
                <w:szCs w:val="20"/>
              </w:rPr>
              <w:t xml:space="preserve">T1</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FORENSIC_ASTROLOGICAL_DATA_v8_0.md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~24,426</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natal chart.  Planetary positions, house cusps, all 16 divisional charts (D-1 to D-60), Vimshottari dasha sequence, ashtakavarga, special yogas. Computed via Jagannatha Hora. Single source of truth for L1 facts.</w:t>
            </w:r>
          </w:p>
        </w:tc>
      </w:tr>
      <w:tr>
        <w:tc>
          <w:tcPr>
            <w:tcW w:type="dxa" w:w="7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sz w:val="20"/>
                <w:szCs w:val="20"/>
              </w:rPr>
              <w:t xml:space="preserve">T1</w:t>
            </w:r>
          </w:p>
        </w:tc>
        <w:tc>
          <w:tcPr>
            <w:tcW w:type="dxa" w:w="31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Courier New" w:cs="Courier New" w:eastAsia="Courier New" w:hAnsi="Courier New"/>
                <w:sz w:val="17"/>
                <w:szCs w:val="17"/>
              </w:rPr>
              <w:t xml:space="preserve">LIFE_EVENT_LOG_v1_2.md</w:t>
            </w:r>
          </w:p>
        </w:tc>
        <w:tc>
          <w:tcPr>
            <w:tcW w:type="dxa" w:w="9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~25,790</w:t>
            </w:r>
          </w:p>
        </w:tc>
        <w:tc>
          <w:tcPr>
            <w:tcW w:type="dxa" w:w="46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36 chronological life events + 5 period summaries + 6 chronic patterns.  Each event has Swiss Ephemeris-populated chart_states: natal + transiting positions at event time. Confidence-rated at 0.89.</w:t>
            </w:r>
          </w:p>
        </w:tc>
      </w:tr>
      <w:tr>
        <w:tc>
          <w:tcPr>
            <w:tcW w:type="dxa" w:w="7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sz w:val="20"/>
                <w:szCs w:val="20"/>
              </w:rPr>
              <w:t xml:space="preserve">T1</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SADE_SATI_CYCLES_ALL.md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~1,727</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Saturn's Sade Sati and Kantaka Shani cycle timings across the native's lifetime.  Critical for long-arc timing queries.</w:t>
            </w:r>
          </w:p>
        </w:tc>
      </w:tr>
      <w:tr>
        <w:tc>
          <w:tcPr>
            <w:tcW w:type="dxa" w:w="7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sz w:val="20"/>
                <w:szCs w:val="20"/>
              </w:rPr>
              <w:t xml:space="preserve">T1</w:t>
            </w:r>
          </w:p>
        </w:tc>
        <w:tc>
          <w:tcPr>
            <w:tcW w:type="dxa" w:w="31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Courier New" w:cs="Courier New" w:eastAsia="Courier New" w:hAnsi="Courier New"/>
                <w:sz w:val="17"/>
                <w:szCs w:val="17"/>
              </w:rPr>
              <w:t xml:space="preserve">UCN_v4_0.md</w:t>
            </w:r>
          </w:p>
        </w:tc>
        <w:tc>
          <w:tcPr>
            <w:tcW w:type="dxa" w:w="9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~49,548</w:t>
            </w:r>
          </w:p>
        </w:tc>
        <w:tc>
          <w:tcPr>
            <w:tcW w:type="dxa" w:w="46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Unified Contradiction Network: relational map of all signals that conflict.  Contradiction types: direct opposition, temporal conflict, domain interference. Essential for balanced, non-one-sided answers. Always loaded.</w:t>
            </w:r>
          </w:p>
        </w:tc>
      </w:tr>
      <w:tr>
        <w:tc>
          <w:tcPr>
            <w:tcW w:type="dxa" w:w="7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sz w:val="20"/>
                <w:szCs w:val="20"/>
              </w:rPr>
              <w:t xml:space="preserve">T1</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CDLM_v1_1.md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~21,972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Cross-Domain Linkage Matrix: explicit mappings showing how signals in one domain (career) link to signals in other domains (psychology, health, finance).  Prevents domain siloing. Always loaded.</w:t>
            </w:r>
          </w:p>
        </w:tc>
      </w:tr>
      <w:tr>
        <w:tc>
          <w:tcPr>
            <w:tcW w:type="dxa" w:w="7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sz w:val="20"/>
                <w:szCs w:val="20"/>
              </w:rPr>
              <w:t xml:space="preserve">T1</w:t>
            </w:r>
          </w:p>
        </w:tc>
        <w:tc>
          <w:tcPr>
            <w:tcW w:type="dxa" w:w="31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Courier New" w:cs="Courier New" w:eastAsia="Courier New" w:hAnsi="Courier New"/>
                <w:sz w:val="17"/>
                <w:szCs w:val="17"/>
              </w:rPr>
              <w:t xml:space="preserve">RM_v2_0.md</w:t>
            </w:r>
          </w:p>
        </w:tc>
        <w:tc>
          <w:tcPr>
            <w:tcW w:type="dxa" w:w="9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~9,620</w:t>
            </w:r>
          </w:p>
        </w:tc>
        <w:tc>
          <w:tcPr>
            <w:tcW w:type="dxa" w:w="46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Resolution Matrix: for each UCN contradiction node, the resolution strategy and weight of evidence on each side.  Guides the LLM in navigating contradictions gracefully rather than ignoring one side.</w:t>
            </w:r>
          </w:p>
        </w:tc>
      </w:tr>
      <w:tr>
        <w:tc>
          <w:tcPr>
            <w:tcW w:type="dxa" w:w="7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sz w:val="20"/>
                <w:szCs w:val="20"/>
              </w:rPr>
              <w:t xml:space="preserve">T1</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CGM_v9_0.md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~16,057</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Cognitive Graph Map: 234 YAML node blocks across 9 node types (planet, house, yoga, nakshatra, dasha, domain, pattern, contradiction, cluster).  Nodes connected by typed SUPPORTS and CONTRADICTS edges. The graph backbone for KGAG traversal.</w:t>
            </w:r>
          </w:p>
        </w:tc>
      </w:tr>
      <w:tr>
        <w:tc>
          <w:tcPr>
            <w:tcW w:type="dxa" w:w="7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sz w:val="20"/>
                <w:szCs w:val="20"/>
              </w:rPr>
              <w:t xml:space="preserve">T1</w:t>
            </w:r>
          </w:p>
        </w:tc>
        <w:tc>
          <w:tcPr>
            <w:tcW w:type="dxa" w:w="31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Courier New" w:cs="Courier New" w:eastAsia="Courier New" w:hAnsi="Courier New"/>
                <w:sz w:val="17"/>
                <w:szCs w:val="17"/>
              </w:rPr>
              <w:t xml:space="preserve">PATTERN_REGISTER_v1_0.json</w:t>
            </w:r>
          </w:p>
        </w:tc>
        <w:tc>
          <w:tcPr>
            <w:tcW w:type="dxa" w:w="9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~12,119</w:t>
            </w:r>
          </w:p>
        </w:tc>
        <w:tc>
          <w:tcPr>
            <w:tcW w:type="dxa" w:w="46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22 validated astrological patterns.  Each has: claim_text, mechanism, domain, confidence, significance score, falsifier conditions, forward/retrospective flag, classical basis citation. Validated through P1-P9 quality gates.</w:t>
            </w:r>
          </w:p>
        </w:tc>
      </w:tr>
      <w:tr>
        <w:tc>
          <w:tcPr>
            <w:tcW w:type="dxa" w:w="7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sz w:val="20"/>
                <w:szCs w:val="20"/>
              </w:rPr>
              <w:t xml:space="preserve">T1</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CONTRADICTION_REGISTER_v1_0.json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~5,193</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formally catalogued chart contradictions: signal pairs in opposition with contradiction type, severity, and evidence weight on each side. </w:t>
            </w:r>
          </w:p>
        </w:tc>
      </w:tr>
      <w:tr>
        <w:tc>
          <w:tcPr>
            <w:tcW w:type="dxa" w:w="7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sz w:val="20"/>
                <w:szCs w:val="20"/>
              </w:rPr>
              <w:t xml:space="preserve">T1</w:t>
            </w:r>
          </w:p>
        </w:tc>
        <w:tc>
          <w:tcPr>
            <w:tcW w:type="dxa" w:w="31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Courier New" w:cs="Courier New" w:eastAsia="Courier New" w:hAnsi="Courier New"/>
                <w:sz w:val="17"/>
                <w:szCs w:val="17"/>
              </w:rPr>
              <w:t xml:space="preserve">CLUSTER_ATLAS_v1_0.json</w:t>
            </w:r>
          </w:p>
        </w:tc>
        <w:tc>
          <w:tcPr>
            <w:tcW w:type="dxa" w:w="9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~4,922</w:t>
            </w:r>
          </w:p>
        </w:tc>
        <w:tc>
          <w:tcPr>
            <w:tcW w:type="dxa" w:w="46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12 signal clusters: thematically co-occurring signal groups, each with a centroid characterisation and constituent signal IDs. </w:t>
            </w:r>
          </w:p>
        </w:tc>
      </w:tr>
      <w:tr>
        <w:tc>
          <w:tcPr>
            <w:tcW w:type="dxa" w:w="7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sz w:val="20"/>
                <w:szCs w:val="20"/>
              </w:rPr>
              <w:t xml:space="preserve">T1</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RESONANCE_REGISTER_v1_0.json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~6,949</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Resonance relationships: signal pairs that mutually amplify each other across domains, with amplification type and combined significance. </w:t>
            </w:r>
          </w:p>
        </w:tc>
      </w:tr>
      <w:tr>
        <w:tc>
          <w:tcPr>
            <w:tcW w:type="dxa" w:w="7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c>
          <w:tcPr>
            <w:tcW w:type="dxa" w:w="31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Courier New" w:cs="Courier New" w:eastAsia="Courier New" w:hAnsi="Courier New"/>
                <w:sz w:val="17"/>
                <w:szCs w:val="17"/>
              </w:rPr>
              <w:t xml:space="preserve">MSR_v3_0.md</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~213,731</w:t>
            </w:r>
          </w:p>
        </w:tc>
        <w:tc>
          <w:tcPr>
            <w:tcW w:type="dxa" w:w="46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Master Signal Register: 499 individually-catalogued astrological signals.  Each signal: domain, planet, house, nakshatra, dasha_lord, confidence (0-1), significance score, forward/retrospective flag, classical basis citation. Primary intelligence repository. Exceeds context window alone; retrieved via structured metadata filter then compressed.</w:t>
            </w:r>
          </w:p>
        </w:tc>
      </w:tr>
      <w:tr>
        <w:tc>
          <w:tcPr>
            <w:tcW w:type="dxa" w:w="7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MATRIX_HOUSES.md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~12,196</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House-by-house analysis matrix: lord, occupants, aspects received, special conditions, shadbala strength, significations across divisional charts. </w:t>
            </w:r>
          </w:p>
        </w:tc>
      </w:tr>
      <w:tr>
        <w:tc>
          <w:tcPr>
            <w:tcW w:type="dxa" w:w="7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c>
          <w:tcPr>
            <w:tcW w:type="dxa" w:w="31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Courier New" w:cs="Courier New" w:eastAsia="Courier New" w:hAnsi="Courier New"/>
                <w:sz w:val="17"/>
                <w:szCs w:val="17"/>
              </w:rPr>
              <w:t xml:space="preserve">MATRIX_PLANETS.md</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~9,729</w:t>
            </w:r>
          </w:p>
        </w:tc>
        <w:tc>
          <w:tcPr>
            <w:tcW w:type="dxa" w:w="46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Planet-by-planet matrix: sign, house, nakshatra, dignity, aspect relationships, functional nature (Lagna = Cancer), conjunctions, key yogas formed. </w:t>
            </w:r>
          </w:p>
        </w:tc>
      </w:tr>
      <w:tr>
        <w:tc>
          <w:tcPr>
            <w:tcW w:type="dxa" w:w="7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MATRIX_DASHA_PERIODS.md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~10,131</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table of all Vimshottari dasha and antardasha periods: start/end dates, dasha lord, antardasha lord, functional nature, key significations.  Enables dasha-based retrieval.</w:t>
            </w:r>
          </w:p>
        </w:tc>
      </w:tr>
      <w:tr>
        <w:tc>
          <w:tcPr>
            <w:tcW w:type="dxa" w:w="7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c>
          <w:tcPr>
            <w:tcW w:type="dxa" w:w="31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Courier New" w:cs="Courier New" w:eastAsia="Courier New" w:hAnsi="Courier New"/>
                <w:sz w:val="17"/>
                <w:szCs w:val="17"/>
              </w:rPr>
              <w:t xml:space="preserve">MATRIX_DIVISIONALS.md</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~7,979</w:t>
            </w:r>
          </w:p>
        </w:tc>
        <w:tc>
          <w:tcPr>
            <w:tcW w:type="dxa" w:w="46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Planetary positions across all 16 divisional charts (D-1 through D-60).  Structured data behind divisional chart analysis.</w:t>
            </w:r>
          </w:p>
        </w:tc>
      </w:tr>
      <w:tr>
        <w:tc>
          <w:tcPr>
            <w:tcW w:type="dxa" w:w="7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MATRIX_SIGNS.md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~8,989</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Sign-by-sign analysis: planets transiting or occupying each rashi, quality (movable/fixed/dual), element, lord, relevant yogas. </w:t>
            </w:r>
          </w:p>
        </w:tc>
      </w:tr>
      <w:tr>
        <w:tc>
          <w:tcPr>
            <w:tcW w:type="dxa" w:w="7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c>
          <w:tcPr>
            <w:tcW w:type="dxa" w:w="31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Courier New" w:cs="Courier New" w:eastAsia="Courier New" w:hAnsi="Courier New"/>
                <w:sz w:val="17"/>
                <w:szCs w:val="17"/>
              </w:rPr>
              <w:t xml:space="preserve">REPORT_CAREER_DHARMA_v1_1.md</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~26,757</w:t>
            </w:r>
          </w:p>
        </w:tc>
        <w:tc>
          <w:tcPr>
            <w:tcW w:type="dxa" w:w="46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Pre-synthesised career and dharma report: vocational aptitude, public role, professional karma, dharmic purpose.  Retrieved for career-domain queries.</w:t>
            </w:r>
          </w:p>
        </w:tc>
      </w:tr>
      <w:tr>
        <w:tc>
          <w:tcPr>
            <w:tcW w:type="dxa" w:w="7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REPORT_PSYCHOLOGY_MIND_v1_1.md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~18,301</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Psychology and mental constitution: cognitive style, emotional patterns, psychological vulnerabilities and strengths. </w:t>
            </w:r>
          </w:p>
        </w:tc>
      </w:tr>
      <w:tr>
        <w:tc>
          <w:tcPr>
            <w:tcW w:type="dxa" w:w="7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c>
          <w:tcPr>
            <w:tcW w:type="dxa" w:w="31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Courier New" w:cs="Courier New" w:eastAsia="Courier New" w:hAnsi="Courier New"/>
                <w:sz w:val="17"/>
                <w:szCs w:val="17"/>
              </w:rPr>
              <w:t xml:space="preserve">REPORT_FINANCIAL_v2_0.md</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~26,501</w:t>
            </w:r>
          </w:p>
        </w:tc>
        <w:tc>
          <w:tcPr>
            <w:tcW w:type="dxa" w:w="46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Financial destiny: wealth indicators, business/employment karmas, financial timing windows, risk appetite. </w:t>
            </w:r>
          </w:p>
        </w:tc>
      </w:tr>
      <w:tr>
        <w:tc>
          <w:tcPr>
            <w:tcW w:type="dxa" w:w="7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REPORT_HEALTH_LONGEVITY_v1_1.md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~9,333</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constitution and longevity: constitutional strength, vulnerability areas, critical periods for health vigilance. </w:t>
            </w:r>
          </w:p>
        </w:tc>
      </w:tr>
      <w:tr>
        <w:tc>
          <w:tcPr>
            <w:tcW w:type="dxa" w:w="7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c>
          <w:tcPr>
            <w:tcW w:type="dxa" w:w="31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Courier New" w:cs="Courier New" w:eastAsia="Courier New" w:hAnsi="Courier New"/>
                <w:sz w:val="17"/>
                <w:szCs w:val="17"/>
              </w:rPr>
              <w:t xml:space="preserve">REPORT_RELATIONSHIPS_v1_1.md</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~2,559</w:t>
            </w:r>
          </w:p>
        </w:tc>
        <w:tc>
          <w:tcPr>
            <w:tcW w:type="dxa" w:w="46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Relationship patterns: marriage indicators, partnership karma, family dynamics.  Note: v1.1 is substantially smaller than v1.0 (87KB); architect to advise whether v1.0 should be reinstated.</w:t>
            </w:r>
          </w:p>
        </w:tc>
      </w:tr>
      <w:tr>
        <w:tc>
          <w:tcPr>
            <w:tcW w:type="dxa" w:w="7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REPORT_SPIRITUAL_v1_1.md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~3,314</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Spiritual path: dharmic orientation, moksha indicators, contemplative practice aptitude. </w:t>
            </w:r>
          </w:p>
        </w:tc>
      </w:tr>
      <w:tr>
        <w:tc>
          <w:tcPr>
            <w:tcW w:type="dxa" w:w="7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c>
          <w:tcPr>
            <w:tcW w:type="dxa" w:w="31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Courier New" w:cs="Courier New" w:eastAsia="Courier New" w:hAnsi="Courier New"/>
                <w:sz w:val="17"/>
                <w:szCs w:val="17"/>
              </w:rPr>
              <w:t xml:space="preserve">REPORT_CHILDREN_v1_1.md</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~4,830</w:t>
            </w:r>
          </w:p>
        </w:tc>
        <w:tc>
          <w:tcPr>
            <w:tcW w:type="dxa" w:w="46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Children and progeny: timing, karmic dynamics, relationship with children. </w:t>
            </w:r>
          </w:p>
        </w:tc>
      </w:tr>
      <w:tr>
        <w:tc>
          <w:tcPr>
            <w:tcW w:type="dxa" w:w="7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REPORT_PARENTS_v1_1.md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~2,975</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Parents and family of origin: parental karma, family dynamics, ancestral influences. </w:t>
            </w:r>
          </w:p>
        </w:tc>
      </w:tr>
      <w:tr>
        <w:tc>
          <w:tcPr>
            <w:tcW w:type="dxa" w:w="7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c>
          <w:tcPr>
            <w:tcW w:type="dxa" w:w="31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Courier New" w:cs="Courier New" w:eastAsia="Courier New" w:hAnsi="Courier New"/>
                <w:sz w:val="17"/>
                <w:szCs w:val="17"/>
              </w:rPr>
              <w:t xml:space="preserve">REPORT_TRAVEL_v1_1.md</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~3,179</w:t>
            </w:r>
          </w:p>
        </w:tc>
        <w:tc>
          <w:tcPr>
            <w:tcW w:type="dxa" w:w="46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Foreign travel and relocation: directional strength, auspicious geographies, timing. </w:t>
            </w:r>
          </w:p>
        </w:tc>
      </w:tr>
      <w:tr>
        <w:tc>
          <w:tcPr>
            <w:tcW w:type="dxa" w:w="7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LIFETIME_TIMELINE_v1_0.md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~2,815</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Year-by-year timeline: key dasha transitions, major transits, life phase characterisations. </w:t>
            </w:r>
          </w:p>
        </w:tc>
      </w:tr>
      <w:tr>
        <w:tc>
          <w:tcPr>
            <w:tcW w:type="dxa" w:w="7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c>
          <w:tcPr>
            <w:tcW w:type="dxa" w:w="31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Courier New" w:cs="Courier New" w:eastAsia="Courier New" w:hAnsi="Courier New"/>
                <w:sz w:val="17"/>
                <w:szCs w:val="17"/>
              </w:rPr>
              <w:t xml:space="preserve">HEATMAP_VARSHPHAL_v1_0.md</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~1,591</w:t>
            </w:r>
          </w:p>
        </w:tc>
        <w:tc>
          <w:tcPr>
            <w:tcW w:type="dxa" w:w="46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Annual (Varshaphal) chart heatmap: year-by-year strength and weakness indicators. </w:t>
            </w:r>
          </w:p>
        </w:tc>
      </w:tr>
      <w:tr>
        <w:tc>
          <w:tcPr>
            <w:tcW w:type="dxa" w:w="7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REMEDIAL_CODEX_v2_0_PART1+2.md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~8,380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Prescribed remedial measures: mantras, gemstones, rituals, lifestyle adjustments, timing of remedies.  Two-part document.</w:t>
            </w:r>
          </w:p>
        </w:tc>
      </w:tr>
      <w:tr>
        <w:tc>
          <w:tcPr>
            <w:tcW w:type="dxa" w:w="7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w:t>
            </w:r>
          </w:p>
        </w:tc>
        <w:tc>
          <w:tcPr>
            <w:tcW w:type="dxa" w:w="31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Courier New" w:cs="Courier New" w:eastAsia="Courier New" w:hAnsi="Courier New"/>
                <w:sz w:val="17"/>
                <w:szCs w:val="17"/>
              </w:rPr>
              <w:t xml:space="preserve">prediction_ledger.jsonl</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~3,309</w:t>
            </w:r>
          </w:p>
        </w:tc>
        <w:tc>
          <w:tcPr>
            <w:tcW w:type="dxa" w:w="46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Prospective predictions logged before outcomes observed.  Each entry: prediction_text, confidence, horizon_date, falsifier_condition. Used for model calibration and learning-layer feedback.</w:t>
            </w:r>
          </w:p>
        </w:tc>
      </w:tr>
      <w:tr>
        <w:tc>
          <w:tcPr>
            <w:tcW w:type="dxa" w:w="7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sz w:val="20"/>
                <w:szCs w:val="20"/>
              </w:rPr>
              <w:t xml:space="preserve">T3</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EPHEMERIS_MONTHLY_1900_2100.csv</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~422,700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years of monthly planetary positions (1900-2100).  Never injected in full. Queried by date range for transit analysis: e.g. "what was transiting on 2019-06-15?"</w:t>
            </w:r>
          </w:p>
        </w:tc>
      </w:tr>
      <w:tr>
        <w:tc>
          <w:tcPr>
            <w:tcW w:type="dxa" w:w="7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sz w:val="20"/>
                <w:szCs w:val="20"/>
              </w:rPr>
              <w:t xml:space="preserve">T3</w:t>
            </w:r>
          </w:p>
        </w:tc>
        <w:tc>
          <w:tcPr>
            <w:tcW w:type="dxa" w:w="31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Courier New" w:cs="Courier New" w:eastAsia="Courier New" w:hAnsi="Courier New"/>
                <w:sz w:val="17"/>
                <w:szCs w:val="17"/>
              </w:rPr>
              <w:t xml:space="preserve">ECLIPSES_1900_2100.csv</w:t>
            </w:r>
          </w:p>
        </w:tc>
        <w:tc>
          <w:tcPr>
            <w:tcW w:type="dxa" w:w="9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sz w:val="20"/>
                <w:szCs w:val="20"/>
              </w:rPr>
              <w:t xml:space="preserve">~16,946</w:t>
            </w:r>
          </w:p>
        </w:tc>
        <w:tc>
          <w:tcPr>
            <w:tcW w:type="dxa" w:w="46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sz w:val="20"/>
                <w:szCs w:val="20"/>
              </w:rPr>
              <w:t xml:space="preserve">200 years of eclipse timings and types.  Date-range query for eclipse-sensitive timing periods.</w:t>
            </w:r>
          </w:p>
        </w:tc>
      </w:tr>
      <w:tr>
        <w:tc>
          <w:tcPr>
            <w:tcW w:type="dxa" w:w="7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sz w:val="20"/>
                <w:szCs w:val="20"/>
              </w:rPr>
              <w:t xml:space="preserve">T3</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RETROGRADES_1900_2100.csv</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~20,420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years of planetary retrograde windows.  Date-range query for retrograde sensitivity analysis.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7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1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sz w:val="20"/>
                <w:szCs w:val="20"/>
              </w:rPr>
              <w:t xml:space="preserve">T1 — Always inject</w:t>
            </w:r>
          </w:p>
        </w:tc>
        <w:tc>
          <w:tcPr>
            <w:tcW w:type="dxa" w:w="75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Loaded unconditionally for every query. Combined ~178K tokens fits in the 200K context window. Satisfies B.11 Whole-Chart-Read Protocol without retrieval logic.</w:t>
            </w:r>
          </w:p>
        </w:tc>
      </w:tr>
      <w:tr>
        <w:tc>
          <w:tcPr>
            <w:tcW w:type="dxa" w:w="1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T2 — On-demand retrieval</w:t>
            </w:r>
          </w:p>
        </w:tc>
        <w:tc>
          <w:tcPr>
            <w:tcW w:type="dxa" w:w="75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Retrieved based on query classification. MSR retrieved via structured metadata filter + contextual compression. Matrix files and domain reports retrieved by domain/topic. Temporal, remedial, and prediction ledger retrieved by query type.</w:t>
            </w:r>
          </w:p>
        </w:tc>
      </w:tr>
      <w:tr>
        <w:tc>
          <w:tcPr>
            <w:tcW w:type="dxa" w:w="1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sz w:val="20"/>
                <w:szCs w:val="20"/>
              </w:rPr>
              <w:t xml:space="preserve">T3 — Lookup only</w:t>
            </w:r>
          </w:p>
        </w:tc>
        <w:tc>
          <w:tcPr>
            <w:tcW w:type="dxa" w:w="75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sz w:val="20"/>
                <w:szCs w:val="20"/>
              </w:rPr>
              <w:t xml:space="preserve">Never injected in full. Queried for specific date ranges (e.g. "what planetary positions applied on 2019-06-15?"). The three CSV files (ephemeris, eclipses, retrogrades) fall in this tier.</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180"/>
              <w:bottom w:type="dxa" w:w="120"/>
              <w:right w:type="dxa" w:w="180"/>
            </w:tcMar>
          </w:tcPr>
          <w:p>
            <w:r>
              <w:rPr>
                <w:rFonts w:ascii="Arial" w:cs="Arial" w:eastAsia="Arial" w:hAnsi="Arial"/>
                <w:i/>
                <w:iCs/>
                <w:sz w:val="21"/>
                <w:szCs w:val="21"/>
              </w:rPr>
              <w:t xml:space="preserve">Files NOT in any tier (zero bytes in query context): All 00_ARCHITECTURE/* governance files. Layer CLAUDE.md files. All predecessor versions (CGM v1/v2, UCN v1-v3, CDLM v1.0, RM v1.0/v1.1, LEL v1.1, FORENSIC v6/v7). DEEP_ANALYSIS_Abhisek_Mohanty_v1.md (436KB narrative analysis). All PROMPTS/ batch response files. All SCHEMAS/ validation directories. CGM edge build manifests. RED_TEAM and audit files. EVENT_CHART_STATES_v1_0.md (superseded by LEL v1.2). JHORA_TRANSCRIPTION_v8_0_SOURCE.md (data now in FORENSIC v8.0). MASTER_SYNTHESIS_v1_0.md (superseded by MSR v3.0). two_pass_events.jsonl (455KB ML build ledger).</w:t>
            </w:r>
          </w:p>
        </w:tc>
      </w:tr>
    </w:tbl>
    <w:p>
      <w:pPr>
        <w:spacing w:after="160"/>
      </w:pPr>
      <w:r>
        <w:t xml:space="preserve"/>
      </w:r>
    </w:p>
    <w:p>
      <w:r>
        <w:br w:type="page"/>
      </w:r>
    </w:p>
    <w:p>
      <w:pPr>
        <w:pStyle w:val="Heading1"/>
      </w:pPr>
      <w:r>
        <w:t xml:space="preserve">9. Phase B.6 — Hybrid Retrieval Library: What Needs to Be Built</w:t>
      </w:r>
    </w:p>
    <w:p>
      <w:pPr>
        <w:spacing w:after="140"/>
      </w:pPr>
      <w:r>
        <w:rPr>
          <w:rFonts w:ascii="Arial" w:cs="Arial" w:eastAsia="Arial" w:hAnsi="Arial"/>
          <w:sz w:val="22"/>
          <w:szCs w:val="22"/>
        </w:rPr>
        <w:t xml:space="preserve">The current state of the retrieval pipeline: retrieve.py exists as a 7-line stub with no implementation; router.py exists as an 8-line stub. The pgvector infrastructure is deployed and operational on Cloud SQL PostgreSQL. MSR signals are not yet indexed as structured rows in the database (they exist only as the markdown flat file). Phase B.6 is the build phase for the entire query-side pipeline.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Inputs / Dependencies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router.py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classifier. Receives the raw NL query and classifies: domain(s) involved (career, finance, psychology, health, relationships, spiritual, timing, remedial, or multi-domain); dasha context needed (yes/no); forward-looking flag; whether graph traversal expansion is warranted. Output: a structured retrieval plan consumed by retrieve.py.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NL query. LLM call with a classification prompt. Output feeds retrieve.py.</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sz w:val="20"/>
                <w:szCs w:val="20"/>
              </w:rPr>
              <w:t xml:space="preserve">retrieve.py — Tool A: MSR Structured Filter</w:t>
            </w:r>
          </w:p>
        </w:tc>
        <w:tc>
          <w:tcPr>
            <w:tcW w:type="dxa" w:w="4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Translates the router output into a SQL metadata filter against the MSR signals table in PostgreSQL. Filter predicates: domain IN [...], planet IN [...], dasha_lord IN [...], confidence &gt;= threshold, significance &gt;= threshold. Returns matching signal rows, ranked by significance. Applied contextual compression: top 20-30 signals by combined confidence x significance score retained.</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Router output (domain list, dasha context, confidence floor). PostgreSQL / pgvector (Cloud SQL). MSR data must be loaded as structured rows, not just as a markdown document.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retrieve.py — Tool B: CGM Graph Traversal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Given seed signal IDs from Tool A, traverses the CGM edge manifests (cgm_supports_edges_manifest_v1_0.json and cgm_contradicts_edges_manifest_v1_0.json) to expand context. SUPPORTS traversal: one hop to find amplifying signals not yet in context. CONTRADICTS traversal: one hop to surface counter-signals the response must address. Prevents confirmation bias in assembled context.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Seed signal IDs from Tool A output. CGM edge manifest JSON files (already present in 035_DISCOVERY_LAYER/). Configurable hop depth (default: 1 hop, architect to advise on optimal depth).</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sz w:val="20"/>
                <w:szCs w:val="20"/>
              </w:rPr>
              <w:t xml:space="preserve">retrieve.py — Tool C: Domain Report Loader</w:t>
            </w:r>
          </w:p>
        </w:tc>
        <w:tc>
          <w:tcPr>
            <w:tcW w:type="dxa" w:w="4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For single-domain queries classified by the router, optionally loads the corresponding pre-synthesised L3 domain report. Provides the LLM with curated domain-level narrative context in addition to raw signal rows. Decision on inclusion or exclusion delegated to architect review (see Open Questions, item 5).</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Domain classification from router. Domain report files in 03_DOMAIN_REPORTS/ (current canonical versions: v1.1 for most domains, v2.0 for financial).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context_assembler.py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Combines the fixed Tier 1 always-load (11 files, ~178K tokens) with the retrieved context from Tools A, B, C. Enforces the token budget ceiling: if the assembled context exceeds the configured limit, domain reports are dropped first, then compressed MSR signals are further reduced. Assembles the final prompt payload passed to the LLM.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1 file paths (hard-coded). Tool A/B/C outputs. Configurable token ceiling. Output: structured prompt context passed to the LLM inference call.</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sz w:val="20"/>
                <w:szCs w:val="20"/>
              </w:rPr>
              <w:t xml:space="preserve">Contextual Compression (MSR reranker)</w:t>
            </w:r>
          </w:p>
        </w:tc>
        <w:tc>
          <w:tcPr>
            <w:tcW w:type="dxa" w:w="4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Post-retrieval compression pass on MSR signal rows. After Tool A retrieves 60-100 candidate signals, this pass reduces to the 20-30 most relevant. Implementation options: significance-weighted sort (simplest, no additional model call); cross-encoder reranker (higher quality, one additional model call); LLMLingua-style token pruning (most aggressive). Architect to advise on approach.</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Tool A output (candidate signal rows). Query string for relevance scoring. No additional infrastructure required for significance-weighted sort; cross-encoder requires a small reranker model deployment.</w:t>
            </w:r>
          </w:p>
        </w:tc>
      </w:tr>
    </w:tbl>
    <w:p>
      <w:pPr>
        <w:spacing w:after="160"/>
      </w:pPr>
      <w:r>
        <w:t xml:space="preserve"/>
      </w:r>
    </w:p>
    <w:p>
      <w:pPr>
        <w:pStyle w:val="Heading2"/>
      </w:pPr>
      <w:r>
        <w:t xml:space="preserve">9.1 MSR Indexing as a Prerequisite</w:t>
      </w:r>
    </w:p>
    <w:p>
      <w:pPr>
        <w:spacing w:after="140"/>
      </w:pPr>
      <w:r>
        <w:rPr>
          <w:rFonts w:ascii="Arial" w:cs="Arial" w:eastAsia="Arial" w:hAnsi="Arial"/>
          <w:sz w:val="22"/>
          <w:szCs w:val="22"/>
        </w:rPr>
        <w:t xml:space="preserve">Before any retrieval against MSR can be implemented, the 499 signals in MSR_v3_0.md must be parsed and loaded into the PostgreSQL database as structured rows, with each field (domain, planet, house, nakshatra, dasha_lord, confidence, significance, is_forward_looking, claim_text) as a typed column. This is a one-time ETL task. Once indexed, Tool A (structured metadata filter) can execute as SQL queries rather than requiring the markdown file to be parsed at query time.</w:t>
      </w:r>
    </w:p>
    <w:p>
      <w:pPr>
        <w:spacing w:after="160"/>
      </w:pPr>
      <w:r>
        <w:t xml:space="preserve"/>
      </w:r>
    </w:p>
    <w:p>
      <w:pPr>
        <w:pStyle w:val="Heading2"/>
      </w:pPr>
      <w:r>
        <w:t xml:space="preserve">9.2 Existing Infrastructure</w:t>
      </w:r>
    </w:p>
    <w:p>
      <w:pPr>
        <w:spacing w:after="140"/>
      </w:pPr>
      <w:r>
        <w:rPr>
          <w:rFonts w:ascii="Arial" w:cs="Arial" w:eastAsia="Arial" w:hAnsi="Arial"/>
          <w:sz w:val="22"/>
          <w:szCs w:val="22"/>
        </w:rPr>
        <w:t xml:space="preserve">The following infrastructure is already deployed and requires no new provisioning for Phase B.6:</w:t>
      </w:r>
    </w:p>
    <w:p>
      <w:pPr>
        <w:pStyle w:val="ListParagraph"/>
        <w:numPr>
          <w:ilvl w:val="0"/>
          <w:numId w:val="2"/>
        </w:numPr>
        <w:spacing w:after="60"/>
      </w:pPr>
      <w:r>
        <w:rPr>
          <w:rFonts w:ascii="Arial" w:cs="Arial" w:eastAsia="Arial" w:hAnsi="Arial"/>
          <w:sz w:val="22"/>
          <w:szCs w:val="22"/>
        </w:rPr>
        <w:t xml:space="preserve">Cloud Run (Python sidecar service)</w:t>
      </w:r>
    </w:p>
    <w:p>
      <w:pPr>
        <w:pStyle w:val="ListParagraph"/>
        <w:numPr>
          <w:ilvl w:val="0"/>
          <w:numId w:val="2"/>
        </w:numPr>
        <w:spacing w:after="60"/>
      </w:pPr>
      <w:r>
        <w:rPr>
          <w:rFonts w:ascii="Arial" w:cs="Arial" w:eastAsia="Arial" w:hAnsi="Arial"/>
          <w:sz w:val="22"/>
          <w:szCs w:val="22"/>
        </w:rPr>
        <w:t xml:space="preserve">Cloud SQL PostgreSQL with pgvector extension and HNSW index</w:t>
      </w:r>
    </w:p>
    <w:p>
      <w:pPr>
        <w:pStyle w:val="ListParagraph"/>
        <w:numPr>
          <w:ilvl w:val="0"/>
          <w:numId w:val="2"/>
        </w:numPr>
        <w:spacing w:after="60"/>
      </w:pPr>
      <w:r>
        <w:rPr>
          <w:rFonts w:ascii="Arial" w:cs="Arial" w:eastAsia="Arial" w:hAnsi="Arial"/>
          <w:sz w:val="22"/>
          <w:szCs w:val="22"/>
        </w:rPr>
        <w:t xml:space="preserve">Vertex AI text-multilingual-embedding-002 (768-dim embeddings)</w:t>
      </w:r>
    </w:p>
    <w:p>
      <w:pPr>
        <w:pStyle w:val="ListParagraph"/>
        <w:numPr>
          <w:ilvl w:val="0"/>
          <w:numId w:val="2"/>
        </w:numPr>
        <w:spacing w:after="60"/>
      </w:pPr>
      <w:r>
        <w:rPr>
          <w:rFonts w:ascii="Arial" w:cs="Arial" w:eastAsia="Arial" w:hAnsi="Arial"/>
          <w:sz w:val="22"/>
          <w:szCs w:val="22"/>
        </w:rPr>
        <w:t xml:space="preserve">GCS bucket for state and file storage</w:t>
      </w:r>
    </w:p>
    <w:p>
      <w:pPr>
        <w:pStyle w:val="ListParagraph"/>
        <w:numPr>
          <w:ilvl w:val="0"/>
          <w:numId w:val="2"/>
        </w:numPr>
        <w:spacing w:after="60"/>
      </w:pPr>
      <w:r>
        <w:rPr>
          <w:rFonts w:ascii="Arial" w:cs="Arial" w:eastAsia="Arial" w:hAnsi="Arial"/>
          <w:sz w:val="22"/>
          <w:szCs w:val="22"/>
        </w:rPr>
        <w:t xml:space="preserve">Firebase Auth and Cloud Load Balancer</w:t>
      </w:r>
    </w:p>
    <w:p>
      <w:pPr>
        <w:spacing w:after="160"/>
      </w:pPr>
      <w:r>
        <w:t xml:space="preserve"/>
      </w:r>
    </w:p>
    <w:p>
      <w:r>
        <w:br w:type="page"/>
      </w:r>
    </w:p>
    <w:p>
      <w:pPr>
        <w:pStyle w:val="Heading1"/>
      </w:pPr>
      <w:r>
        <w:t xml:space="preserve">10. Open Questions for Architect Review</w:t>
      </w:r>
    </w:p>
    <w:p>
      <w:pPr>
        <w:spacing w:after="140"/>
      </w:pPr>
      <w:r>
        <w:rPr>
          <w:rFonts w:ascii="Arial" w:cs="Arial" w:eastAsia="Arial" w:hAnsi="Arial"/>
          <w:sz w:val="22"/>
          <w:szCs w:val="22"/>
        </w:rPr>
        <w:t xml:space="preserve">The architect is asked to provide recommendations on the following open questions before Phase B.6 implementation begins.</w:t>
      </w:r>
    </w:p>
    <w:p>
      <w:pPr>
        <w:spacing w:after="160"/>
      </w:pPr>
      <w:r>
        <w:t xml:space="preserve"/>
      </w:r>
    </w:p>
    <w:p>
      <w:pPr>
        <w:pStyle w:val="Heading3"/>
      </w:pPr>
      <w:r>
        <w:t xml:space="preserve">Q1: Tier 1 budget sizing</w:t>
      </w:r>
    </w:p>
    <w:p>
      <w:pPr>
        <w:spacing w:after="140"/>
      </w:pPr>
      <w:r>
        <w:rPr>
          <w:rFonts w:ascii="Arial" w:cs="Arial" w:eastAsia="Arial" w:hAnsi="Arial"/>
          <w:sz w:val="22"/>
          <w:szCs w:val="22"/>
        </w:rPr>
        <w:t xml:space="preserve">The current Tier 1 set is ~178K tokens. With the 200K window this leaves ~22K tokens of headroom for retrieved MSR signals and graph-expanded context before reaching the ceiling. Is this the right balance, or should Tier 1 be trimmed to create more headroom for retrieval? For example, should the L3.5 registers (PATTERN, CONTRADICTION, CLUSTER, RESONANCE — combined ~29K tokens) move to Tier 2 and be loaded only for queries that require discovery-layer context?</w:t>
      </w:r>
    </w:p>
    <w:p>
      <w:pPr>
        <w:spacing w:after="160"/>
      </w:pPr>
      <w:r>
        <w:t xml:space="preserve"/>
      </w:r>
    </w:p>
    <w:p>
      <w:pPr>
        <w:pStyle w:val="Heading3"/>
      </w:pPr>
      <w:r>
        <w:t xml:space="preserve">Q2: MSR chunking strategy</w:t>
      </w:r>
    </w:p>
    <w:p>
      <w:pPr>
        <w:spacing w:after="140"/>
      </w:pPr>
      <w:r>
        <w:rPr>
          <w:rFonts w:ascii="Arial" w:cs="Arial" w:eastAsia="Arial" w:hAnsi="Arial"/>
          <w:sz w:val="22"/>
          <w:szCs w:val="22"/>
        </w:rPr>
        <w:t xml:space="preserve">MSR signals are currently stored as a flat markdown file. For SQL retrieval, each signal becomes a database row. For vector retrieval (if retained as a fallback), should signals be embedded individually (one vector per signal, ~499 vectors) or grouped by domain/planet (one vector per cluster of ~15-20 signals, ~30 vectors)? Individual embedding allows more precise retrieval but requires a larger index and may retrieve very similar signals redundantly. Grouped embedding is coarser but reduces noise.</w:t>
      </w:r>
    </w:p>
    <w:p>
      <w:pPr>
        <w:spacing w:after="160"/>
      </w:pPr>
      <w:r>
        <w:t xml:space="preserve"/>
      </w:r>
    </w:p>
    <w:p>
      <w:pPr>
        <w:pStyle w:val="Heading3"/>
      </w:pPr>
      <w:r>
        <w:t xml:space="preserve">Q3: Contextual compression approach</w:t>
      </w:r>
    </w:p>
    <w:p>
      <w:pPr>
        <w:spacing w:after="140"/>
      </w:pPr>
      <w:r>
        <w:rPr>
          <w:rFonts w:ascii="Arial" w:cs="Arial" w:eastAsia="Arial" w:hAnsi="Arial"/>
          <w:sz w:val="22"/>
          <w:szCs w:val="22"/>
        </w:rPr>
        <w:t xml:space="preserve">After MSR retrieval returns 60-100 candidate signals, compression to 20-30 is needed. Three options: (A) significance-weighted sort — rank by combined confidence x significance, take top 25; simple, deterministic, no additional model call; (B) cross-encoder reranker — score each (query, signal) pair for relevance; higher quality but requires a small reranker model deployment; (C) LLMLingua-style token pruning — compress the signal text itself, retaining tokens that are most salient to the query; most aggressive compression, most complex to implement. Which does the architect recommend?</w:t>
      </w:r>
    </w:p>
    <w:p>
      <w:pPr>
        <w:spacing w:after="160"/>
      </w:pPr>
      <w:r>
        <w:t xml:space="preserve"/>
      </w:r>
    </w:p>
    <w:p>
      <w:pPr>
        <w:pStyle w:val="Heading3"/>
      </w:pPr>
      <w:r>
        <w:t xml:space="preserve">Q4: KGAG traversal depth</w:t>
      </w:r>
    </w:p>
    <w:p>
      <w:pPr>
        <w:spacing w:after="140"/>
      </w:pPr>
      <w:r>
        <w:rPr>
          <w:rFonts w:ascii="Arial" w:cs="Arial" w:eastAsia="Arial" w:hAnsi="Arial"/>
          <w:sz w:val="22"/>
          <w:szCs w:val="22"/>
        </w:rPr>
        <w:t xml:space="preserve">The CGM graph traversal currently plans one hop from seed signals. Two hops would significantly expand the retrieved context but risks including loosely-related signals. What is the recommended traversal depth, and should it be adaptive (deeper for synthesis queries, shallower for factual lookup queries)?</w:t>
      </w:r>
    </w:p>
    <w:p>
      <w:pPr>
        <w:spacing w:after="160"/>
      </w:pPr>
      <w:r>
        <w:t xml:space="preserve"/>
      </w:r>
    </w:p>
    <w:p>
      <w:pPr>
        <w:pStyle w:val="Heading3"/>
      </w:pPr>
      <w:r>
        <w:t xml:space="preserve">Q5: Domain reports — include or exclude</w:t>
      </w:r>
    </w:p>
    <w:p>
      <w:pPr>
        <w:spacing w:after="140"/>
      </w:pPr>
      <w:r>
        <w:rPr>
          <w:rFonts w:ascii="Arial" w:cs="Arial" w:eastAsia="Arial" w:hAnsi="Arial"/>
          <w:sz w:val="22"/>
          <w:szCs w:val="22"/>
        </w:rPr>
        <w:t xml:space="preserve">The L3 domain reports (nine files, ~97K tokens combined) are pre-synthesised analytical documents. They were explicitly flagged as "analysis, not data" during architectural review, suggesting they should be excluded from query context. However, they encode curated domain-level intelligence that complements the raw signal data. The architect is asked to advise: should domain reports be available as Tier 2 retrieval context, or should the architecture derive all domain context from raw signals (MSR + KGAG traversal) without pre-synthesised reports?</w:t>
      </w:r>
    </w:p>
    <w:p>
      <w:pPr>
        <w:spacing w:after="160"/>
      </w:pPr>
      <w:r>
        <w:t xml:space="preserve"/>
      </w:r>
    </w:p>
    <w:p>
      <w:pPr>
        <w:pStyle w:val="Heading3"/>
      </w:pPr>
      <w:r>
        <w:t xml:space="preserve">Q6: Relationships report v1.1 vs v1.0</w:t>
      </w:r>
    </w:p>
    <w:p>
      <w:pPr>
        <w:spacing w:after="140"/>
      </w:pPr>
      <w:r>
        <w:rPr>
          <w:rFonts w:ascii="Arial" w:cs="Arial" w:eastAsia="Arial" w:hAnsi="Arial"/>
          <w:sz w:val="22"/>
          <w:szCs w:val="22"/>
        </w:rPr>
        <w:t xml:space="preserve">REPORT_RELATIONSHIPS_v1_1.md is 10,238 bytes (v1.1), while REPORT_RELATIONSHIPS_v1_0.md is 87,371 bytes (v1.0). This is an anomaly — v1.1 is 88% smaller than v1.0. It is possible that v1.1 is a diff/amendment rather than a full replacement, meaning the v1.0 full report is still the more complete data source. The architect should flag whether this versioning pattern is intentional and whether v1.0 should be restored as the canonical source for this domain.</w:t>
      </w:r>
    </w:p>
    <w:p>
      <w:pPr>
        <w:spacing w:after="160"/>
      </w:pPr>
      <w:r>
        <w:t xml:space="preserve"/>
      </w:r>
    </w:p>
    <w:p>
      <w:pPr>
        <w:pStyle w:val="Heading3"/>
      </w:pPr>
      <w:r>
        <w:t xml:space="preserve">Q7: Prediction ledger tier</w:t>
      </w:r>
    </w:p>
    <w:p>
      <w:pPr>
        <w:spacing w:after="140"/>
      </w:pPr>
      <w:r>
        <w:rPr>
          <w:rFonts w:ascii="Arial" w:cs="Arial" w:eastAsia="Arial" w:hAnsi="Arial"/>
          <w:sz w:val="22"/>
          <w:szCs w:val="22"/>
        </w:rPr>
        <w:t xml:space="preserve">The prediction_ledger.jsonl is currently 13,238 bytes (~3,309 tokens) and is assigned to Tier 2. As more predictions are logged, its size will grow. Should it be Tier 1 (always-load, given its small current size and its value for any forward-looking query) or remain Tier 2 (load only when the query has explicit future orientation)? At what size does it cross the threshold for Tier 2 to prevent context bloat?</w:t>
      </w:r>
    </w:p>
    <w:p>
      <w:pPr>
        <w:spacing w:after="160"/>
      </w:pPr>
      <w:r>
        <w:t xml:space="preserve"/>
      </w:r>
    </w:p>
    <w:p>
      <w:pPr>
        <w:pStyle w:val="Heading3"/>
      </w:pPr>
      <w:r>
        <w:t xml:space="preserve">Q8: Multi-native extension</w:t>
      </w:r>
    </w:p>
    <w:p>
      <w:pPr>
        <w:spacing w:after="140"/>
      </w:pPr>
      <w:r>
        <w:rPr>
          <w:rFonts w:ascii="Arial" w:cs="Arial" w:eastAsia="Arial" w:hAnsi="Arial"/>
          <w:sz w:val="22"/>
          <w:szCs w:val="22"/>
        </w:rPr>
        <w:t xml:space="preserve">The CLAUDE.md mission statement notes that the system should eventually be extended beyond this single native to become a research tool for Jyotish as a discipline. The current architecture is entirely native-specific (all files are for Abhisek Mohanty). When multi-native capability is added, should the retrieval architecture change fundamentally (e.g., per-native namespacing in pgvector, separate MSR tables per native), or is the current three-tier model extensible to multi-native by namespace alone?</w:t>
      </w:r>
    </w:p>
    <w:p>
      <w:pPr>
        <w:spacing w:after="160"/>
      </w:pPr>
      <w:r>
        <w:t xml:space="preserve"/>
      </w:r>
    </w:p>
    <w:p>
      <w:r>
        <w:br w:type="page"/>
      </w:r>
    </w:p>
    <w:p>
      <w:pPr>
        <w:pStyle w:val="Heading1"/>
      </w:pPr>
      <w:r>
        <w:t xml:space="preserve">Appendix A: Files Explicitly Excluded from Query Context</w:t>
      </w:r>
    </w:p>
    <w:p>
      <w:pPr>
        <w:spacing w:after="140"/>
      </w:pPr>
      <w:r>
        <w:rPr>
          <w:rFonts w:ascii="Arial" w:cs="Arial" w:eastAsia="Arial" w:hAnsi="Arial"/>
          <w:sz w:val="22"/>
          <w:szCs w:val="22"/>
        </w:rPr>
        <w:t xml:space="preserve">The following files exist in the knowledge corpus but are excluded from query context. Inclusion of these files would either provide no analytical value for queries or would introduce confusion between governance infrastructure and knowledge content.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File / File Set</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Reason for Exclusion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00_ARCHITECTURE/* (all files)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 infrastructure. Session logs, planning documents, templates, schema validators, drift detectors. Project management tooling — not knowledge content. ~3.1M tokens if counted; zero in query context.</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Courier New" w:cs="Courier New" w:eastAsia="Courier New" w:hAnsi="Courier New"/>
                <w:sz w:val="17"/>
                <w:szCs w:val="17"/>
              </w:rPr>
              <w:t xml:space="preserve">DEEP_ANALYSIS_Abhisek_Mohanty_v1.md</w:t>
            </w:r>
          </w:p>
        </w:tc>
        <w:tc>
          <w:tcPr>
            <w:tcW w:type="dxa" w:w="6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436KB narrative deep analysis. This is the output of the analytical process — the document produced from the data — not a data source for queries. Including it would introduce circular reasoning: the LLM would be summarising a prior summary rather than reasoning from primary signals.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All predecessor versions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CGM v1.0/v2.0, UCN v1.0-v3.0, CDLM v1.0, RM v1.0/v1.1, LEL v1.1, FORENSIC v6.0, FORENSIC v7 supplement. Superseded by current canonical versions. Including superseded versions would introduce conflicting data.</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Courier New" w:cs="Courier New" w:eastAsia="Courier New" w:hAnsi="Courier New"/>
                <w:sz w:val="17"/>
                <w:szCs w:val="17"/>
              </w:rPr>
              <w:t xml:space="preserve">PROMPTS/ directories and batch responses</w:t>
            </w:r>
          </w:p>
        </w:tc>
        <w:tc>
          <w:tcPr>
            <w:tcW w:type="dxa" w:w="6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Prompt templates used during corpus build and raw LLM batch response files. Build-time tooling; no query-time 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SCHEMAS/ directories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validation schemas used for build-time data quality enforcement. Not data.</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Courier New" w:cs="Courier New" w:eastAsia="Courier New" w:hAnsi="Courier New"/>
                <w:sz w:val="17"/>
                <w:szCs w:val="17"/>
              </w:rPr>
              <w:t xml:space="preserve">CGM edge build manifests</w:t>
            </w:r>
          </w:p>
        </w:tc>
        <w:tc>
          <w:tcPr>
            <w:tcW w:type="dxa" w:w="6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cgm_supports_edges_manifest_v1_0.json (75KB) and cgm_contradicts_edges_manifest_v1_0.json (3.7KB). These were used to build the CGM but the relevant relationship structure is already reflected in CGM_v9_0.md. To be evaluated: should these manifests serve as the graph traversal source in Tool B, supplementing or replacing CGM_v9_0.md?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EVENT_CHART_STATES_v1_0.md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57KB intermediate computation file. The Swiss Ephemeris chart states it contains have been incorporated into LIFE_EVENT_LOG_v1_2.md. Superseded in situ.</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Courier New" w:cs="Courier New" w:eastAsia="Courier New" w:hAnsi="Courier New"/>
                <w:sz w:val="17"/>
                <w:szCs w:val="17"/>
              </w:rPr>
              <w:t xml:space="preserve">JHORA_TRANSCRIPTION_v8_0_SOURCE.md</w:t>
            </w:r>
          </w:p>
        </w:tc>
        <w:tc>
          <w:tcPr>
            <w:tcW w:type="dxa" w:w="6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27KB source transcription from Jagannatha Hora software. Data has been incorporated into FORENSIC_ASTROLOGICAL_DATA_v8_0.md. Superseded in situ.</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MASTER_SYNTHESIS_v1_0.md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7.5KB early synthesis document predating the MSR architecture. Superseded by MSR_v3_0.md.</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Courier New" w:cs="Courier New" w:eastAsia="Courier New" w:hAnsi="Courier New"/>
                <w:sz w:val="17"/>
                <w:szCs w:val="17"/>
              </w:rPr>
              <w:t xml:space="preserve">two_pass_events.jsonl</w:t>
            </w:r>
          </w:p>
        </w:tc>
        <w:tc>
          <w:tcPr>
            <w:tcW w:type="dxa" w:w="6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455KB machine learning build ledger used during the two-pass event annotation pipeline. Build-time data; not query context.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7"/>
                <w:szCs w:val="17"/>
              </w:rPr>
              <w:t xml:space="preserve">RED_TEAM and audit files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RED_TEAM_L2_5_v1_0.md, RED_TEAM_L3_v1_0.md, CGP_AUDIT_v1_0.md, CROSS_REPORT_COHERENCE_AUDIT_v1_0.md, RED_TEAM_PHASE5_v1_0.md. Quality audit records from the build process. Not query data.</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Courier New" w:cs="Courier New" w:eastAsia="Courier New" w:hAnsi="Courier New"/>
                <w:sz w:val="17"/>
                <w:szCs w:val="17"/>
              </w:rPr>
              <w:t xml:space="preserve">EXTERNAL_COMPUTATION_SPEC files</w:t>
            </w:r>
          </w:p>
        </w:tc>
        <w:tc>
          <w:tcPr>
            <w:tcW w:type="dxa" w:w="6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Specifications for computations deferred to external software (Jagannatha Hora, Swiss Ephemeris). Procedural documents, not data.</w:t>
            </w:r>
          </w:p>
        </w:tc>
      </w:tr>
    </w:tbl>
    <w:p>
      <w:pPr>
        <w:spacing w:after="160"/>
      </w:pPr>
      <w:r>
        <w:t xml:space="preserve"/>
      </w:r>
    </w:p>
    <w:p>
      <w:r>
        <w:br w:type="page"/>
      </w:r>
    </w:p>
    <w:p>
      <w:pPr>
        <w:pStyle w:val="Heading1"/>
      </w:pPr>
      <w:r>
        <w:t xml:space="preserve">Appendix B: Glossary of Domain Terms</w:t>
      </w:r>
    </w:p>
    <w:p>
      <w:pPr>
        <w:spacing w:after="140"/>
      </w:pPr>
      <w:r>
        <w:rPr>
          <w:rFonts w:ascii="Arial" w:cs="Arial" w:eastAsia="Arial" w:hAnsi="Arial"/>
          <w:sz w:val="22"/>
          <w:szCs w:val="22"/>
        </w:rPr>
        <w:t xml:space="preserve">This glossary assists readers unfamiliar with Jyotish terminology to interpret the document correctly.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Ashtakavarga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Jyotish sub-system that assigns numerical strength scores to each planet in each house, used to assess the combined benefic/malefic influence on a given house.</w:t>
            </w:r>
          </w:p>
        </w:tc>
      </w:tr>
      <w:tr>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sz w:val="20"/>
                <w:szCs w:val="20"/>
              </w:rPr>
              <w:t xml:space="preserve">Antardasha</w:t>
            </w:r>
          </w:p>
        </w:tc>
        <w:tc>
          <w:tcPr>
            <w:tcW w:type="dxa" w:w="6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 sub-period within a main Vimshottari dasha period. Each main dasha (e.g. Saturn dasha, 19 years) is subdivided into sub-periods (antardasha) for each of the nine Jyotish planets in sequence.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Dasha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planetary period system in Jyotish (specifically Vimshottari dasha for this system) that assigns rulership of time to planets in a fixed sequence based on the Moon's nakshatra at birth. The current dasha lord strongly colours life events during its period.</w:t>
            </w:r>
          </w:p>
        </w:tc>
      </w:tr>
      <w:tr>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sz w:val="20"/>
                <w:szCs w:val="20"/>
              </w:rPr>
              <w:t xml:space="preserve">Divisional chart (Varga)</w:t>
            </w:r>
          </w:p>
        </w:tc>
        <w:tc>
          <w:tcPr>
            <w:tcW w:type="dxa" w:w="6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One of 16 derived charts computed from the natal chart by dividing each sign into equal parts. D-1 is the natal chart itself; D-9 (Navamsha) shows the soul's deeper nature and marriage; D-10 (Dasamsha) shows career; D-60 (Shashtiamsha) shows past-life karma. Each adds a layer of specificity to the analysis.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Jyotish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Vedic astrology — the traditional Indian astrological system. Operates via a sidereal zodiac (using the actual astronomical positions of stars), divisional charts, nakshatra-based timing (dashas), and a functional benefic/malefic framework determined by the Lagna (ascendant) rather than a universal good/bad assignment.</w:t>
            </w:r>
          </w:p>
        </w:tc>
      </w:tr>
      <w:tr>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sz w:val="20"/>
                <w:szCs w:val="20"/>
              </w:rPr>
              <w:t xml:space="preserve">Lagna</w:t>
            </w:r>
          </w:p>
        </w:tc>
        <w:tc>
          <w:tcPr>
            <w:tcW w:type="dxa" w:w="6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The ascendant — the zodiac sign rising on the eastern horizon at the time of birth. For this native, Lagna is Cancer (Karka). The Lagna determines the functional nature of each planet (whether it acts as a benefic or malefic for this specific chart).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Nakshatra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of 27 lunar mansions (27-fold division of the zodiac). The nakshatra occupied by the Moon at birth determines the starting dasha and its sub-lord assignments. Nakshatra-level analysis adds precision beyond the 12 rashi signs.</w:t>
            </w:r>
          </w:p>
        </w:tc>
      </w:tr>
      <w:tr>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sz w:val="20"/>
                <w:szCs w:val="20"/>
              </w:rPr>
              <w:t xml:space="preserve">Rashi</w:t>
            </w:r>
          </w:p>
        </w:tc>
        <w:tc>
          <w:tcPr>
            <w:tcW w:type="dxa" w:w="6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The 12 signs of the zodiac in Jyotish (Aries through Pisces). The rashi (birth sign) chart (D-1) is the primary chart; the Lagna's rashi determines the functional lordship of each planet.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Sade Sati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Saturn's seven-and-a-half year transit over the sign occupied by the natal Moon and the two adjacent signs. A well-known period of karmic pressure and restructuring in Jyotish.</w:t>
            </w:r>
          </w:p>
        </w:tc>
      </w:tr>
      <w:tr>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sz w:val="20"/>
                <w:szCs w:val="20"/>
              </w:rPr>
              <w:t xml:space="preserve">Yoga</w:t>
            </w:r>
          </w:p>
        </w:tc>
        <w:tc>
          <w:tcPr>
            <w:tcW w:type="dxa" w:w="6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 specific planetary combination — two or more planets in a particular angular relationship, sign, or house configuration — that produces a defined astrological effect. Examples: Raja yoga (leadership/status), Dhana yoga (wealth), Viparita Raja yoga (rise through adversity).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Varshaphal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 horoscopy — the chart cast for the exact moment the Sun returns to its natal degree each year (Solar Return equivalent). Provides a one-year overlay on the natal chart.</w:t>
            </w:r>
          </w:p>
        </w:tc>
      </w:tr>
    </w:tbl>
    <w:p>
      <w:pPr>
        <w:spacing w:after="1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April 2026   |   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color w:val="888888"/>
        <w:sz w:val="18"/>
        <w:szCs w:val="18"/>
      </w:rPr>
      <w:t xml:space="preserve">MARSYS-JIS — Retrieval Architecture Review Brief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lvl w:ilvl="1" w15:tentative="1">
      <w:start w:val="1"/>
      <w:numFmt w:val="bullet"/>
      <w:lvlText w:val="◦"/>
      <w:lvlJc w:val="left"/>
      <w:pPr>
        <w:spacing w:after="60"/>
        <w:ind w:left="108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A6FA5" w:sz="4" w:space="4"/>
      </w:pBd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C5282"/>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2026-04-27T08:28:10.881Z</dcterms:created>
  <dcterms:modified xsi:type="dcterms:W3CDTF">2026-04-27T08:28:10.881Z</dcterms:modified>
</cp:coreProperties>
</file>

<file path=docProps/custom.xml><?xml version="1.0" encoding="utf-8"?>
<Properties xmlns="http://schemas.openxmlformats.org/officeDocument/2006/custom-properties" xmlns:vt="http://schemas.openxmlformats.org/officeDocument/2006/docPropsVTypes"/>
</file>