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del ERP de InfoMatt360</w:t>
      </w:r>
    </w:p>
    <w:p>
      <w:r>
        <w:t>Inventario, entregas aprobadas y honorarios | Versión verificada el 28 de septiembre de 2026</w:t>
      </w:r>
    </w:p>
    <w:p>
      <w:r>
        <w:t>Este manual explica cómo preparar y usar el módulo ERP que está disponible en Administración → ERP. El módulo registra existencias y liquida una tarifa fija cuando se aprueba una entrega capturada en un formulario vinculado. La prueba automatizada del ERP pasó en el código desplegado en el VPS; las operaciones con datos reales requieren una sesión autorizada y una validación adicional.</w:t>
      </w:r>
    </w:p>
    <w:p>
      <w:pPr>
        <w:pStyle w:val="Heading1"/>
      </w:pPr>
      <w:r>
        <w:t>1. Acceso y alcance</w:t>
      </w:r>
    </w:p>
    <w:p>
      <w:r>
        <w:t>Abra InfoMatt360, seleccione el proyecto y vaya a Administración → ERP. El menú aparece para usuarios con el permiso erp.manage. Las pestañas son Inventario, Honorarios y Configuración por plantilla. Para aprobar una respuesta se necesita el permiso de aprobación correspondiente en el módulo de registros.</w:t>
      </w:r>
    </w:p>
    <w:p>
      <w:r>
        <w:t>Este módulo administra un saldo de inventario por SKU y proyecto, y un historial de movimientos. El honorario se acredita al usuario que envió el registro aprobado. “Marcar pagado” registra una decisión administrativa; no transfiere dinero.</w:t>
      </w:r>
    </w:p>
    <w:p>
      <w:pPr>
        <w:pStyle w:val="Heading1"/>
      </w:pPr>
      <w:r>
        <w:t>2. Preparar los datos</w:t>
      </w:r>
    </w:p>
    <w:p>
      <w:pPr>
        <w:pStyle w:val="ListBullet"/>
      </w:pPr>
      <w:r>
        <w:t>Defina un SKU único para cada insumo dentro del proyecto y su cantidad inicial.</w:t>
      </w:r>
    </w:p>
    <w:p>
      <w:pPr>
        <w:pStyle w:val="ListBullet"/>
      </w:pPr>
      <w:r>
        <w:t>En el formulario de entrega, identifique los nombres internos exactos de los campos que guardan el SKU y la cantidad.</w:t>
      </w:r>
    </w:p>
    <w:p>
      <w:pPr>
        <w:pStyle w:val="ListBullet"/>
      </w:pPr>
      <w:r>
        <w:t>Obtenga el ID interno de la plantilla y acuerde la tarifa fija por registro aprobado.</w:t>
      </w:r>
    </w:p>
    <w:p>
      <w:pPr>
        <w:pStyle w:val="ListBullet"/>
      </w:pPr>
      <w:r>
        <w:t>Use la plantilla Excel adjunta para preparar y revisar estos valores. El ERP actual no importa ese archivo de forma masiva.</w:t>
      </w:r>
    </w:p>
    <w:p>
      <w:pPr>
        <w:pStyle w:val="Heading1"/>
      </w:pPr>
      <w:r>
        <w:t>3. Crear un ítem de inventario</w:t>
      </w:r>
    </w:p>
    <w:p>
      <w:r>
        <w:t>En la pestaña Inventario, complete SKU, Nombre, Unidad y Cantidad inicial. Pulse Crear ítem. La lista Stock actual mostrará el nuevo saldo. Seleccione el ítem para ver sus movimientos. Cuando la cantidad inicial es mayor que cero, se crea un movimiento de alta inicial por esa cantidad.</w:t>
      </w:r>
    </w:p>
    <w:p>
      <w:r>
        <w:t>El mismo SKU no se puede crear dos veces en un proyecto. La cantidad inicial debe ser cero o positiva. La pantalla actual no incluye una función para aumentar existencias después del alta; escale esa necesidad al administrador antes de operar nuevas entregas.</w:t>
      </w:r>
    </w:p>
    <w:p>
      <w:pPr>
        <w:pStyle w:val="Heading1"/>
      </w:pPr>
      <w:r>
        <w:t>4. Vincular un formulario</w:t>
      </w:r>
    </w:p>
    <w:p>
      <w:r>
        <w:t>En Configuración por plantilla, escriba el ID de la plantilla, el nombre interno del campo SKU, el nombre interno del campo cantidad y el honorario por registro. Pulse Vincular. Puede consultar una vinculación existente por ID de plantilla en el panel derecho.</w:t>
      </w:r>
    </w:p>
    <w:p>
      <w:r>
        <w:t>Los nombres de campos deben coincidir exactamente con los del formulario. La pantalla permite escribirlos, pero no comprueba durante la vinculación que existan. Verifique con una entrega de prueba antes de usar el flujo en producción. Cada plantilla admite una sola configuración ERP y la pantalla no permite editarla luego de crearla.</w:t>
      </w:r>
    </w:p>
    <w:p>
      <w:pPr>
        <w:pStyle w:val="Heading1"/>
      </w:pPr>
      <w:r>
        <w:t>5. Capturar y aprobar una entrega</w:t>
      </w:r>
    </w:p>
    <w:p>
      <w:r>
        <w:t>El capturador envía una respuesta con un SKU existente y una cantidad mayor que cero. El aprobador revisa la respuesta y la aprueba desde el flujo de registros. Si la plantilla está vinculada y hay stock suficiente, la aprobación descuenta la cantidad, agrega un movimiento con referencia al registro y genera un honorario acumulado para quien envió la respuesta.</w:t>
      </w:r>
    </w:p>
    <w:p>
      <w:r>
        <w:t>Ejemplo: con 10 unidades de KIT-001, aprobar una entrega de 3 deja 7 unidades. Si el SKU no existe, falta alguno de los campos, la cantidad no es válida o no hay stock suficiente, la aprobación devuelve un error y no se registra el descuento ni el honorario.</w:t>
      </w:r>
    </w:p>
    <w:p>
      <w:pPr>
        <w:pStyle w:val="Heading1"/>
      </w:pPr>
      <w:r>
        <w:t>6. Consultar movimientos y honorarios</w:t>
      </w:r>
    </w:p>
    <w:p>
      <w:r>
        <w:t>En Inventario, seleccione un SKU para ver el historial con fecha, cantidad, motivo y referencia del registro. En Honorarios, pulse Consultar para ver los importes del proyecto. Puede filtrar por el ID del usuario gestor. Los honorarios nuevos aparecen como acumulados.</w:t>
      </w:r>
    </w:p>
    <w:p>
      <w:r>
        <w:t>Para registrar un pago administrativo, pulse Marcar pagado y confirme. Verifique que el estado cambió a Pagado. La operación no ejecuta un desembolso bancario y no debe usarse como comprobante de transferencia.</w:t>
      </w:r>
    </w:p>
    <w:p>
      <w:pPr>
        <w:pStyle w:val="Heading1"/>
      </w:pPr>
      <w:r>
        <w:t>7. Qué hacer ante errores</w:t>
      </w:r>
    </w:p>
    <w:tbl>
      <w:tblPr>
        <w:tblStyle w:val="LightShading-Accent1"/>
        <w:tblW w:type="auto" w:w="0"/>
        <w:jc w:val="center"/>
        <w:tblLook w:firstColumn="1" w:firstRow="1" w:lastColumn="0" w:lastRow="0" w:noHBand="0" w:noVBand="1" w:val="04A0"/>
      </w:tblPr>
      <w:tblGrid>
        <w:gridCol w:w="4968"/>
        <w:gridCol w:w="4968"/>
      </w:tblGrid>
      <w:tr>
        <w:trPr>
          <w:cantSplit/>
          <w:tblHeader w:val="true"/>
        </w:trPr>
        <w:tc>
          <w:tcPr>
            <w:tcW w:type="dxa" w:w="4968"/>
          </w:tcPr>
          <w:p>
            <w:r>
              <w:rPr>
                <w:b/>
              </w:rPr>
              <w:t>Situación</w:t>
            </w:r>
          </w:p>
        </w:tc>
        <w:tc>
          <w:tcPr>
            <w:tcW w:type="dxa" w:w="4968"/>
          </w:tcPr>
          <w:p>
            <w:r>
              <w:rPr>
                <w:b/>
              </w:rPr>
              <w:t>Acción</w:t>
            </w:r>
          </w:p>
        </w:tc>
      </w:tr>
      <w:tr>
        <w:trPr>
          <w:cantSplit/>
        </w:trPr>
        <w:tc>
          <w:tcPr>
            <w:tcW w:type="dxa" w:w="4968"/>
          </w:tcPr>
          <w:p>
            <w:r>
              <w:t>SKU inexistente</w:t>
            </w:r>
          </w:p>
        </w:tc>
        <w:tc>
          <w:tcPr>
            <w:tcW w:type="dxa" w:w="4968"/>
          </w:tcPr>
          <w:p>
            <w:r>
              <w:t>Confirme el SKU escrito en el registro y que el ítem pertenezca al mismo proyecto.</w:t>
            </w:r>
          </w:p>
        </w:tc>
      </w:tr>
      <w:tr>
        <w:trPr>
          <w:cantSplit/>
        </w:trPr>
        <w:tc>
          <w:tcPr>
            <w:tcW w:type="dxa" w:w="4968"/>
          </w:tcPr>
          <w:p>
            <w:r>
              <w:t>Stock insuficiente</w:t>
            </w:r>
          </w:p>
        </w:tc>
        <w:tc>
          <w:tcPr>
            <w:tcW w:type="dxa" w:w="4968"/>
          </w:tcPr>
          <w:p>
            <w:r>
              <w:t>Consulte el saldo y no fuerce la aprobación. El módulo no ofrece reposición desde esta pantalla.</w:t>
            </w:r>
          </w:p>
        </w:tc>
      </w:tr>
      <w:tr>
        <w:trPr>
          <w:cantSplit/>
        </w:trPr>
        <w:tc>
          <w:tcPr>
            <w:tcW w:type="dxa" w:w="4968"/>
          </w:tcPr>
          <w:p>
            <w:r>
              <w:t>Campo ERP faltante</w:t>
            </w:r>
          </w:p>
        </w:tc>
        <w:tc>
          <w:tcPr>
            <w:tcW w:type="dxa" w:w="4968"/>
          </w:tcPr>
          <w:p>
            <w:r>
              <w:t>Compare los nombres internos del formulario con la configuración de la plantilla.</w:t>
            </w:r>
          </w:p>
        </w:tc>
      </w:tr>
      <w:tr>
        <w:trPr>
          <w:cantSplit/>
        </w:trPr>
        <w:tc>
          <w:tcPr>
            <w:tcW w:type="dxa" w:w="4968"/>
          </w:tcPr>
          <w:p>
            <w:r>
              <w:t>No aparece ERP</w:t>
            </w:r>
          </w:p>
        </w:tc>
        <w:tc>
          <w:tcPr>
            <w:tcW w:type="dxa" w:w="4968"/>
          </w:tcPr>
          <w:p>
            <w:r>
              <w:t>Pida al administrador que revise el permiso erp.manage y la asignación al proyecto.</w:t>
            </w:r>
          </w:p>
        </w:tc>
      </w:tr>
      <w:tr>
        <w:trPr>
          <w:cantSplit/>
        </w:trPr>
        <w:tc>
          <w:tcPr>
            <w:tcW w:type="dxa" w:w="4968"/>
          </w:tcPr>
          <w:p>
            <w:r>
              <w:t>Honorario sin gestor</w:t>
            </w:r>
          </w:p>
        </w:tc>
        <w:tc>
          <w:tcPr>
            <w:tcW w:type="dxa" w:w="4968"/>
          </w:tcPr>
          <w:p>
            <w:r>
              <w:t>Compruebe quién envió el registro; el honorario se asigna a submitted_by.</w:t>
            </w:r>
          </w:p>
        </w:tc>
      </w:tr>
    </w:tbl>
    <w:p>
      <w:pPr>
        <w:pStyle w:val="Heading1"/>
      </w:pPr>
      <w:r>
        <w:t>8. Límites y verificación</w:t>
      </w:r>
    </w:p>
    <w:p>
      <w:r>
        <w:t>El ERP actual no incluye compras, facturación, impuestos, contabilidad general, varias bodegas, nómina legal ni pagos bancarios. Tampoco ofrece reversión automática de una liquidación, edición de la configuración vinculada ni importación masiva desde Excel. No convierta un registro ya liquidado en una corrección operativa sin revisar el impacto en inventario y honorarios.</w:t>
      </w:r>
    </w:p>
    <w:p>
      <w:r>
        <w:t>El 28 de septiembre de 2026 se ejecutaron siete pruebas del módulo ERP en un contenedor aislado del VPS: aprobación con descuento y honorario, stock insuficiente, formulario no vinculado, permisos, consultas y marcado pagado. La API pública respondió 200 en salud y 401 para inventario y honorarios sin sesión. No se ejecutó una aprobación de prueba contra datos reales de producción ni se verificó la interfaz con una cuenta autenticada en esta revisión.</w:t>
      </w:r>
    </w:p>
    <w:p>
      <w:r>
        <w:t>Documento de referencia técnica: docs/84_ERP_HEADLESS_INVENTARIO_NOMINA.md del repositorio InfoMatt360.</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InfoMatt360 · Manual de usuario ERP · 28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