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5AA1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C2F981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EAC71B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1E5305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CA28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872A5CC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5DC5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51FE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BCF47D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35F98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6F9F4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FADCE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B7919" w14:textId="77777777" w:rsidR="00307C3F" w:rsidRPr="00F26387" w:rsidRDefault="00307C3F" w:rsidP="00307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195F0" w14:textId="208151B2" w:rsidR="00307C3F" w:rsidRPr="00863F0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63F0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361FA92" w14:textId="42B3CA48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20D67979" w14:textId="543821A2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8C65F4">
        <w:rPr>
          <w:rFonts w:ascii="Times New Roman" w:hAnsi="Times New Roman" w:cs="Times New Roman"/>
          <w:sz w:val="28"/>
          <w:szCs w:val="28"/>
        </w:rPr>
        <w:t>Интерфейс с языками высокого уровня. Работа с математическим сопроцессором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5EFEE6E7" w14:textId="713BDA5E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8C65F4">
        <w:rPr>
          <w:rFonts w:ascii="Times New Roman" w:hAnsi="Times New Roman" w:cs="Times New Roman"/>
          <w:sz w:val="28"/>
          <w:szCs w:val="28"/>
        </w:rPr>
        <w:t>6</w:t>
      </w:r>
    </w:p>
    <w:p w14:paraId="73ED24D9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BAB9F7A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1F4E5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CCC7B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D7BFA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9F1E0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0DFDD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8F1AE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C9C98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03AC7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BA9AD" w14:textId="77777777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93355" w14:textId="77777777" w:rsidR="00307C3F" w:rsidRPr="00F26387" w:rsidRDefault="00307C3F" w:rsidP="0030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307C3F" w:rsidRPr="00F26387" w14:paraId="5D9FD1C8" w14:textId="77777777" w:rsidTr="001425B1">
        <w:trPr>
          <w:trHeight w:val="1751"/>
        </w:trPr>
        <w:tc>
          <w:tcPr>
            <w:tcW w:w="4416" w:type="dxa"/>
          </w:tcPr>
          <w:p w14:paraId="0DD3037F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7339DAC7" w14:textId="5F7C56A9" w:rsidR="00307C3F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250501</w:t>
            </w:r>
          </w:p>
          <w:p w14:paraId="10F92BE3" w14:textId="11B0EBBB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</w:p>
          <w:p w14:paraId="0D8AF49D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26D6E94D" w14:textId="77777777" w:rsidR="00307C3F" w:rsidRPr="00F26387" w:rsidRDefault="00307C3F" w:rsidP="0014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DC106A4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112888FD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5B1C095B" w14:textId="77777777" w:rsidR="00307C3F" w:rsidRPr="00F26387" w:rsidRDefault="00307C3F" w:rsidP="001425B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573FCACF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44948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C201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B77FB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AC71B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4F874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C42F9" w14:textId="77777777" w:rsidR="00307C3F" w:rsidRPr="00F26387" w:rsidRDefault="00307C3F" w:rsidP="00307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22A38" w14:textId="5A0A6E39" w:rsidR="00307C3F" w:rsidRPr="00F26387" w:rsidRDefault="00307C3F" w:rsidP="00307C3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27BDD5E9" w14:textId="118F6615" w:rsidR="00307C3F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</w:t>
      </w:r>
      <w:r w:rsidR="008C65F4" w:rsidRPr="008C65F4">
        <w:rPr>
          <w:rFonts w:ascii="Times New Roman" w:hAnsi="Times New Roman" w:cs="Times New Roman"/>
          <w:sz w:val="28"/>
          <w:szCs w:val="28"/>
        </w:rPr>
        <w:t>Ознакомиться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0C1BC66A" w14:textId="77777777" w:rsidR="008C65F4" w:rsidRP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4111B" w14:textId="77777777" w:rsidR="00307C3F" w:rsidRPr="008E40A2" w:rsidRDefault="00307C3F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4DD97E3" w14:textId="77777777" w:rsid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Написание программы полностью на языке ассемблера допустимо только 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 </w:t>
      </w:r>
    </w:p>
    <w:p w14:paraId="408E5337" w14:textId="2F1B4604" w:rsid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-- основная часть программы пишется на языке высокого уровня, а на ассемблере пишутся отдельные процедуры, которые должны осуществлять управление нижнего уровня и(или) иметь высокую производительность; </w:t>
      </w:r>
    </w:p>
    <w:p w14:paraId="7B69D990" w14:textId="26CC6C70" w:rsid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-- ассемблерная программа использует библиотечные средства языков высокого уровня. В данной лабораторной работе выполняется создание основной программы на языке С\С++, а часть связанная с вычислениями на математическом сопроцессоре лежит на ассемблерной процедуре. </w:t>
      </w:r>
    </w:p>
    <w:p w14:paraId="5075BAFE" w14:textId="77777777" w:rsid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операционной системы: </w:t>
      </w:r>
    </w:p>
    <w:p w14:paraId="6743FF42" w14:textId="77777777" w:rsidR="008C65F4" w:rsidRDefault="008C65F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E61F9" w14:textId="68D1698B" w:rsidR="008C65F4" w:rsidRPr="008C65F4" w:rsidRDefault="008C65F4" w:rsidP="008C65F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Соглашения об объединении программных модулей. </w:t>
      </w:r>
    </w:p>
    <w:p w14:paraId="284E2C2C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Связь ассемблерных модулей с языками высокого уровня требует следующих соглашений, которые сильно зависят от применяемых компиляторов и операционной системы: </w:t>
      </w:r>
    </w:p>
    <w:p w14:paraId="023E3C15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-- Согласование вызовов. </w:t>
      </w:r>
    </w:p>
    <w:p w14:paraId="40B0CB53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Вызов процедуры и возврат из нее в головную программу должны быть согласованы друг с другом. </w:t>
      </w:r>
    </w:p>
    <w:p w14:paraId="77462834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В DOS вызываемая процедура может находиться: </w:t>
      </w:r>
    </w:p>
    <w:p w14:paraId="1F3CDB98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 в том же сегменте, что и команда вызова, при этом вызов называется близким или внутрисегментным (NEAR), адрес возврата занимает слово и возврат из процедуры должен быть тоже близким (RETN), </w:t>
      </w:r>
    </w:p>
    <w:p w14:paraId="15D9F51D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 в другом сегменте, тогда вызов называется дальним или межсегментным (FAR), адрес возврата занимает двойное слово и возврат из процедуры должен быть тоже дальним (RETF). Поэтому при объединении программных модулей, написанных на языках С и ассемблера, эти модули должны использовать одну и ту же модель памяти. В Windows используется односегментная модель памяти FLAT, в которой все вызовы по типу являются близкими и согласование вызовов упрощается. </w:t>
      </w:r>
    </w:p>
    <w:p w14:paraId="5605F261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-- Согласование имен. </w:t>
      </w:r>
    </w:p>
    <w:p w14:paraId="76F22B9E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Согласование имен требуется для того, чтобы компоновщик мог собрать исполняемый модуль. Проблемы согласования имен следующие: </w:t>
      </w:r>
    </w:p>
    <w:p w14:paraId="286CCB48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 автоматическое добавление в конце имени процедуры строки @N, где N – количество передаваемых в стек параметров. </w:t>
      </w:r>
    </w:p>
    <w:p w14:paraId="78514D4C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 xml:space="preserve">- автоматическое добавление символа «_» (подчеркивание) перед именем (например, MASM генерирует подчеркивание автоматически, а TASM этого не делает). </w:t>
      </w:r>
    </w:p>
    <w:p w14:paraId="2FAA8148" w14:textId="77777777" w:rsid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lastRenderedPageBreak/>
        <w:t xml:space="preserve">- согласование заглавных и прописных букв (язык C автоматически различает регистр, а для TASM нужно использовать ключ /ml, чтобы различать прописные и заглавные буквы). </w:t>
      </w:r>
    </w:p>
    <w:p w14:paraId="6C85DADF" w14:textId="595A382C" w:rsidR="00307C3F" w:rsidRPr="008C65F4" w:rsidRDefault="008C65F4" w:rsidP="008C65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5F4">
        <w:rPr>
          <w:rFonts w:ascii="Times New Roman" w:hAnsi="Times New Roman" w:cs="Times New Roman"/>
          <w:sz w:val="28"/>
          <w:szCs w:val="28"/>
        </w:rPr>
        <w:t>- автоматическое добавление к концу имени перегружаемой функции в С++ некоторой строки для того, чтобы эти функции различались при компоновке – для исключения этой проблемы нужно использовать модификатор extern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5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65F4">
        <w:rPr>
          <w:rFonts w:ascii="Times New Roman" w:hAnsi="Times New Roman" w:cs="Times New Roman"/>
          <w:sz w:val="28"/>
          <w:szCs w:val="28"/>
        </w:rPr>
        <w:t>”.</w:t>
      </w:r>
    </w:p>
    <w:p w14:paraId="358FAD05" w14:textId="77777777" w:rsidR="005346D6" w:rsidRPr="008C65F4" w:rsidRDefault="005346D6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18A73" w14:textId="77777777" w:rsidR="00995204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Чтобы обеспечить доступ к глобальным переменным при объединении модулей, необходимо выполнить следующие требования: </w:t>
      </w:r>
    </w:p>
    <w:p w14:paraId="312D8047" w14:textId="77777777" w:rsidR="00995204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- если процедура на языке ассемблера вызывается из программы на языке C\С++, то такая процедура в языке ассемблера должна быть описана как PUBLIC; </w:t>
      </w:r>
    </w:p>
    <w:p w14:paraId="2449B7F5" w14:textId="77777777" w:rsidR="00995204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- если переменная объявлена в программе на языке ассемблера, то в программе на ассемблере она должна иметь атрибут PUBLIC, а в программе на С\С++ – extern; </w:t>
      </w:r>
    </w:p>
    <w:p w14:paraId="242CAD0C" w14:textId="399F032D" w:rsidR="005346D6" w:rsidRDefault="00995204" w:rsidP="009952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>- если переменная объявлена в программе на C\С++, то в программе на ассемблере она должна иметь атрибут EXTRN.</w:t>
      </w:r>
    </w:p>
    <w:p w14:paraId="4722D435" w14:textId="77777777" w:rsidR="007165E1" w:rsidRPr="00995204" w:rsidRDefault="007165E1" w:rsidP="007165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3911C" w14:textId="77777777" w:rsidR="00995204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2. Встроенный ассемблер. </w:t>
      </w:r>
    </w:p>
    <w:p w14:paraId="2F5565CD" w14:textId="77777777" w:rsidR="007165E1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>Встроенный ассемблер – вставка ассемблерного кода непосредственно в код программы на языке высокого уровня. Использование встроенного ассемблера позволяет создавать программы более быстро, используя небольшие фрагменты кода без выполнения выше изложенных требований по сборке проекта.</w:t>
      </w:r>
    </w:p>
    <w:p w14:paraId="7DE65764" w14:textId="77777777" w:rsidR="007165E1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Любую ассемблерную команду можно записать в виде: </w:t>
      </w:r>
    </w:p>
    <w:p w14:paraId="6E2D7E1D" w14:textId="77777777" w:rsidR="007165E1" w:rsidRDefault="00995204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аsm код_операции операнды ; </w:t>
      </w:r>
    </w:p>
    <w:p w14:paraId="1C66B471" w14:textId="77777777" w:rsidR="007165E1" w:rsidRDefault="00995204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-- asm – оператор встроенной команды ассемблера (для компиляторов C++ от Microsoft используется ключевое слово _asm); </w:t>
      </w:r>
    </w:p>
    <w:p w14:paraId="4A0D3176" w14:textId="77777777" w:rsidR="007165E1" w:rsidRDefault="00995204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-- код_операции – команду языка ассемблера (например, mov); </w:t>
      </w:r>
    </w:p>
    <w:p w14:paraId="6DA06315" w14:textId="77777777" w:rsidR="007165E1" w:rsidRDefault="00995204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-- операнды – операнды команды (например, ax, bx). </w:t>
      </w:r>
    </w:p>
    <w:p w14:paraId="2D989432" w14:textId="77777777" w:rsidR="007165E1" w:rsidRDefault="00995204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 xml:space="preserve">Если с помощью одного слова asm необходимо задать много ассемблерных команд, то они заключаются в фигурные скобки. Комментарии можно записывать только в форме, принятой в языке С++. </w:t>
      </w:r>
    </w:p>
    <w:p w14:paraId="0D17AFE8" w14:textId="026AA1BC" w:rsidR="005346D6" w:rsidRDefault="00995204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204">
        <w:rPr>
          <w:rFonts w:ascii="Times New Roman" w:hAnsi="Times New Roman" w:cs="Times New Roman"/>
          <w:sz w:val="28"/>
          <w:szCs w:val="28"/>
        </w:rPr>
        <w:t>В программе на языке С++, использующей ассемблерные команды, иногда необходимо задать директиву #pragma inline – эта директива сообщает компилятору, что программа содержит внутренний ассемблерный код, что важно при оптимизации программы</w:t>
      </w:r>
      <w:r w:rsidR="007165E1" w:rsidRPr="007165E1">
        <w:rPr>
          <w:rFonts w:ascii="Times New Roman" w:hAnsi="Times New Roman" w:cs="Times New Roman"/>
          <w:sz w:val="28"/>
          <w:szCs w:val="28"/>
        </w:rPr>
        <w:t>.</w:t>
      </w:r>
    </w:p>
    <w:p w14:paraId="086FF191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В командах встроенного ассемблера можно свободно использовать переменные из языка высокого уровня, так как они автоматически преобразуются в соответствующие выражения. </w:t>
      </w:r>
    </w:p>
    <w:p w14:paraId="60AA755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6C67D8" w14:textId="3151A84E" w:rsidR="007165E1" w:rsidRPr="007165E1" w:rsidRDefault="007165E1" w:rsidP="007165E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Работа с математическим сопроцессором. </w:t>
      </w:r>
    </w:p>
    <w:p w14:paraId="478AAB6A" w14:textId="1E33D5D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lastRenderedPageBreak/>
        <w:t>В процессорах Intel операции с плавающей запятой выполняет специальный математический сопроцессор (FPU), который имеет собственные регистры и собственный набор команд.</w:t>
      </w:r>
    </w:p>
    <w:p w14:paraId="087FC0A1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Сопроцессор выполняет все вычисления в 80-ти битном расширенном формате, а 32-х и 64-х битные числа используются для обмена данными с основным процессором и памятью. </w:t>
      </w:r>
    </w:p>
    <w:p w14:paraId="2A7C8D37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В математическом сопроцессоре есть следующие регистры: </w:t>
      </w:r>
    </w:p>
    <w:p w14:paraId="15DE5D11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регистры данных (R0 – R7) – не доступны по именам, а рассматриваются как стек, вершина которого называется ST(0) или просто ST, а следующие элементы – ST(1), ST(2) и т.д. до ST(7). </w:t>
      </w:r>
    </w:p>
    <w:p w14:paraId="0C1018E1" w14:textId="07424F06" w:rsidR="007165E1" w:rsidRP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>-- регистр состояний SR</w:t>
      </w:r>
    </w:p>
    <w:p w14:paraId="7A9F777A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Важные флаги регистра состояний: </w:t>
      </w:r>
    </w:p>
    <w:p w14:paraId="64F5A0BC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С3 – С0 – результат выполнения предыдущей команды, используются для условных переходов; </w:t>
      </w:r>
    </w:p>
    <w:p w14:paraId="0C0E7BEF" w14:textId="22B5314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ТОР – номер регистра данных, который в настоящий момент является вершиной стека. </w:t>
      </w:r>
    </w:p>
    <w:p w14:paraId="02FF8249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ES – общий флаг ошибки; </w:t>
      </w:r>
    </w:p>
    <w:p w14:paraId="73107499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SF – ошибка стека; </w:t>
      </w:r>
    </w:p>
    <w:p w14:paraId="5476CF0A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UE – флаг антипереполнения; </w:t>
      </w:r>
    </w:p>
    <w:p w14:paraId="0D52C558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ОЕ – флаг переполнения; </w:t>
      </w:r>
    </w:p>
    <w:p w14:paraId="56DBD423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ZE – флаг деления на ноль; </w:t>
      </w:r>
    </w:p>
    <w:p w14:paraId="4D4DA3A2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IE – флаг недопустимой операции. </w:t>
      </w:r>
    </w:p>
    <w:p w14:paraId="5E5309D3" w14:textId="4A663009" w:rsidR="005346D6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>-- регистр управления CR (см. рисунок 3).</w:t>
      </w:r>
    </w:p>
    <w:p w14:paraId="4E8ACC4A" w14:textId="77777777" w:rsidR="007165E1" w:rsidRDefault="007165E1" w:rsidP="0030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AF139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Важные флаги регистра состояний: </w:t>
      </w:r>
    </w:p>
    <w:p w14:paraId="15BBF2FF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RC – управление округлением (0 – к ближайшему числу, 1 – к отрицательной бесконечности, 2 – к положительной бесконечности, 3 – к нулю). </w:t>
      </w:r>
    </w:p>
    <w:p w14:paraId="6C3445C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PC – управление точностью результатов команд (FADD, FSUB, FSUBR, FMUL, FDIV, FDIVR и FSQRT): 0 – одинарная точность (32-х битные числа), 2 – двойная точность (64-х битные), 3 – расширенная точность (80-ти битные). </w:t>
      </w:r>
    </w:p>
    <w:p w14:paraId="0397E6DF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 биты 0 – 5 – маскируют соответствующие исключения – если маскирующий бит установлен, то исключения не происходит, а результат вызвавшей его команды определяется правилами для каждого исключения специально. </w:t>
      </w:r>
    </w:p>
    <w:p w14:paraId="13E4BC79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регистр тегов TW – описывает текущее состояние каждого регистра данных (биты 15 - 14 описывают регистр R7, 13 - 12 — R6 и т.д.): 00 – регистр содержит число, 01 – ноль, 10 – нечисло (бесконечность, денормализованное число, неподдерживаемое число), 11 – регистр пуст. </w:t>
      </w:r>
    </w:p>
    <w:p w14:paraId="4F506406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регистры FIP и FDP содержат адрес последней выполненной команды и адрес ее операнда соответственно (используются в обработчиках исключений  для анализа вызвавшей его команды). </w:t>
      </w:r>
    </w:p>
    <w:p w14:paraId="33F7E71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Команды математического сопроцессора делят на следующие группы: </w:t>
      </w:r>
    </w:p>
    <w:p w14:paraId="58469E6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команды управления сопроцессором: </w:t>
      </w:r>
    </w:p>
    <w:p w14:paraId="73E7EC1E" w14:textId="235A3F99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lastRenderedPageBreak/>
        <w:t xml:space="preserve">FINCSTP – увеличить указатель вершины стека (если ТОР было равно 7, то оно обнуляется). </w:t>
      </w:r>
    </w:p>
    <w:p w14:paraId="27B3E92B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FDECSTP – уменьшить указатель вершины стека (если ТОР было равно 0, то оно устанавливается в 7). </w:t>
      </w:r>
    </w:p>
    <w:p w14:paraId="1F9049D5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FFREE операнд – освободить регистр данных ST(n). </w:t>
      </w:r>
    </w:p>
    <w:p w14:paraId="6255541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FINIT – инициализировать </w:t>
      </w:r>
    </w:p>
    <w:p w14:paraId="2BC65291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FPU. FCLEX – обнулить флаги исключений. </w:t>
      </w:r>
    </w:p>
    <w:p w14:paraId="19F0FA56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FSTCW приемник – сохранить регистр CR в приемник (16-битная переменяя). </w:t>
      </w:r>
    </w:p>
    <w:p w14:paraId="0F4CCC30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FLDCW источник – загрузить регистр CR из источника (16-битная переменная) </w:t>
      </w:r>
    </w:p>
    <w:p w14:paraId="4FED59E3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FSAVE приемник – сохранить состояние FPU в область памяти размером 94 или 108 байт, в зависимости от разрядности операндов и инициализирует FPU аналогично команде FINIT. </w:t>
      </w:r>
    </w:p>
    <w:p w14:paraId="51515DF5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FRSTOR источник – восстановить состояние FPU. </w:t>
      </w:r>
    </w:p>
    <w:p w14:paraId="27586B47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FWAIT (WAIT) – ожидание готовности сопроцессора (эту команду можно указывать в критических ситуациях после команд FPU, чтобы убедиться, что возможные исключения будут обработаны). </w:t>
      </w:r>
    </w:p>
    <w:p w14:paraId="6CCC655F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FNOP – отсутствие операции. </w:t>
      </w:r>
    </w:p>
    <w:p w14:paraId="28D40757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команды пересылки данных: </w:t>
      </w:r>
    </w:p>
    <w:p w14:paraId="1A9DC6E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FLD источник – загрузить вещественное число в стек – помещает содержимое источника (32-х, 64-х или 80-ми битная переменная или ST(n)) и уменьшает ТОР на 1. Команда FLD ST(0) делает копию вершины стека. </w:t>
      </w:r>
    </w:p>
    <w:p w14:paraId="46B2CFEF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FST приемник – скопировать вещественное число из стека – копирует ST(0) в приемник (32- или 64-битную переменную или пустой ST(n)). </w:t>
      </w:r>
    </w:p>
    <w:p w14:paraId="2BF12CCD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FSTP приемник – считать вещественное число из стека – копирует ST(0) в приемник (32-, 64- или 80-битную переменную или пустой ST(n)), а затем выталкивает число из стека (помечает ST(0) как пустой и увеличивает ТОР на один). </w:t>
      </w:r>
    </w:p>
    <w:p w14:paraId="7E994F41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FILD источник – загрузить целое число в стек – преобразовывает целое число со знаком из источника (16-, 32- или 64-битная переменная) в вещественный формат, помещает на вершину стека и уменьшает ТОР на 1. </w:t>
      </w:r>
    </w:p>
    <w:p w14:paraId="1B062F18" w14:textId="516DDBE2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>FIST приемник – скопировать целое число из стека – преобразовывает число из вершины стека в целое со знаком и записывает его в приемник (16- или 32-битная переменная).</w:t>
      </w:r>
    </w:p>
    <w:p w14:paraId="1A6C3BC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FISTP приемник – считать целое число из стека – преобразовывает число из вершины стека в целое со знаком и записывает его в (16-, 32- или 64-битная переменная), а затем выталкивает число из стека. </w:t>
      </w:r>
    </w:p>
    <w:p w14:paraId="7009625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FBLD источник – загрузить десятичное число в стек – преобразовывает BCD число из источника (80-битная переменная в памяти), помещает в вершину стека и уменьшает ТОР на 1. </w:t>
      </w:r>
    </w:p>
    <w:p w14:paraId="414AA1C8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FBSTP приемник – считать десятичное число из стека – преобразовывает число из вершины стека в 80-битное упакованное десятичное, записывает его в приемник (80-битная переменная) и выталкивает это число из стека. </w:t>
      </w:r>
    </w:p>
    <w:p w14:paraId="10385E43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0A6467" w14:textId="16BA9D7C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lastRenderedPageBreak/>
        <w:t xml:space="preserve">FXCH приемник – обменять местами два регистра стека – обмен местами содержимого регистра ST(0) и источника (регистр ST(n)), если операнд не указан, обменивается содержимое ST(0) и ST(1). </w:t>
      </w:r>
    </w:p>
    <w:p w14:paraId="51F8CE7F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команды базовой арифметики: </w:t>
      </w:r>
    </w:p>
    <w:p w14:paraId="71AACBD3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FADD приемник,источник – сложение вещественных чисел: </w:t>
      </w:r>
    </w:p>
    <w:p w14:paraId="21200C5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a) FADD источник – когда источником является 32- или 64-битная переменная, а приемником – ST(0); </w:t>
      </w:r>
    </w:p>
    <w:p w14:paraId="553D7BED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b) FADD ST(0),ST(n), FADD ST(n),ST(0) – когда источник и приемник заданы явно в виде регистров FPU; </w:t>
      </w:r>
    </w:p>
    <w:p w14:paraId="3EE1ADA7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c) FADD (без операндов) – эквивалентно FADD ST(0),ST(1). </w:t>
      </w:r>
    </w:p>
    <w:p w14:paraId="4A06698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BBAE80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FADDP приемник,источник – сложение с выталкиванием из стека: </w:t>
      </w:r>
    </w:p>
    <w:p w14:paraId="382D5E53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a) FADDP ST(n),ST(0) – когда источник и приемник заданы явно в виде регистров FPU; </w:t>
      </w:r>
    </w:p>
    <w:p w14:paraId="69D4C4DB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b) FADDP (без операндов) – эквивалентно FADDP ST(1),ST(0). </w:t>
      </w:r>
    </w:p>
    <w:p w14:paraId="2C35CDF3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FIADD источник – сложение целых чисел, когда источником является 16- или 32-битная переменная, содержащая целое число, а приемником – ST(0). </w:t>
      </w:r>
    </w:p>
    <w:p w14:paraId="2CF98155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Варианты задания операндов для ниже перечисленных команд аналогичны выше перечисленным ситуациям задания операндов для команд сложения (с учетом выполняемых действий). </w:t>
      </w:r>
    </w:p>
    <w:p w14:paraId="7F99910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FSUB приемник,источник – вычитание вещественных чисел. </w:t>
      </w:r>
    </w:p>
    <w:p w14:paraId="333B6378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FSUBP приемник,источник – вычитание с выталкиванием из стека: </w:t>
      </w:r>
    </w:p>
    <w:p w14:paraId="7467D55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FISUB источник – вычитание целых чисел. FSUBR приемник,источник – обратное вычитание вещественных чисел (вычитание приемника из источника). </w:t>
      </w:r>
    </w:p>
    <w:p w14:paraId="722D672A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FSUBRP приемник,источник – обратное вычитание с выталкиванием. </w:t>
      </w:r>
    </w:p>
    <w:p w14:paraId="52E233F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FISUBR источник – обратное вычитание целых чисел. </w:t>
      </w:r>
    </w:p>
    <w:p w14:paraId="7490D083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FMUL приемник,источник – умножение вещественных чисел. </w:t>
      </w:r>
    </w:p>
    <w:p w14:paraId="6D5FE838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FMULP приемник,источник – умножение с выталкиванием из стека. </w:t>
      </w:r>
    </w:p>
    <w:p w14:paraId="48DCF45E" w14:textId="729C3310" w:rsidR="007165E1" w:rsidRP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>FIMUL источник – умножение целых чисел.</w:t>
      </w:r>
    </w:p>
    <w:p w14:paraId="16EA6A95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FDIV приемник,источник – деление вещественных чисел (некоторые ассемблеры безоперандную версию команды FDIV выполняют как команду FDIVP, т.е. безоперандная мнемоника FDIV выполняет ST(1)=ST(1)/ST(0) и выталкивает из стека верхний элемент, после чего результат оказывается в ST(0)). </w:t>
      </w:r>
    </w:p>
    <w:p w14:paraId="52082502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FDIVP приемник,источник – деление с выталкиванием из стека. </w:t>
      </w:r>
    </w:p>
    <w:p w14:paraId="6BEF8891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FIDIV источник – деление целых чисел. </w:t>
      </w:r>
    </w:p>
    <w:p w14:paraId="298F09C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FDIVR приемник,источник – обратное деление вещественных чисел. </w:t>
      </w:r>
    </w:p>
    <w:p w14:paraId="2F9D5FDE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FDIVRP приемник,источник – обратное деление с выталкиванием из стека. </w:t>
      </w:r>
    </w:p>
    <w:p w14:paraId="44F8D63D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FIDIVR источник – обратное деление целых чисел. </w:t>
      </w:r>
    </w:p>
    <w:p w14:paraId="3D9A97FB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FABS – найти абсолютное значение ST(0). </w:t>
      </w:r>
    </w:p>
    <w:p w14:paraId="2469B086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FCHS – изменить знак ST(0). </w:t>
      </w:r>
    </w:p>
    <w:p w14:paraId="3F5D6B0B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lastRenderedPageBreak/>
        <w:t xml:space="preserve">FRNDINT – округлить ST(0) до целого в соответствии с режимом округления, заданным битами RC. </w:t>
      </w:r>
    </w:p>
    <w:p w14:paraId="21B77F88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FSCALE – масштабировать по степеням двойки – умножает ST(0) на 2 в степени ST(1) (значение ST(1) предварительно округляется в сторону нуля до целого числа) и записывает результат в ST(0). </w:t>
      </w:r>
    </w:p>
    <w:p w14:paraId="141192FB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FXTRACT – извлечь экспоненту и мантиссу из числа в ST(0) (действие, обратное FSCALE) – разделяет число на мантиссу и экспоненту так, что мантисса оказывается в ST(0), а экспонента – в ST(1). </w:t>
      </w:r>
    </w:p>
    <w:p w14:paraId="4089CB85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FSQRT – извлечь квадратный корень из ST(0), сохраняет результат в ST(0). </w:t>
      </w:r>
    </w:p>
    <w:p w14:paraId="1E2A8853" w14:textId="60BCA81A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-- команды сравнения (основные): </w:t>
      </w:r>
    </w:p>
    <w:p w14:paraId="2D22D914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FCOM источник – сравнить вещественные числа. </w:t>
      </w:r>
    </w:p>
    <w:p w14:paraId="5A77CC0B" w14:textId="77777777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 xml:space="preserve">FCOMP источник – сравнить и вытолкнуть из стека. </w:t>
      </w:r>
    </w:p>
    <w:p w14:paraId="54126E38" w14:textId="2CEEA68A" w:rsid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5E1">
        <w:rPr>
          <w:rFonts w:ascii="Times New Roman" w:hAnsi="Times New Roman" w:cs="Times New Roman"/>
          <w:sz w:val="28"/>
          <w:szCs w:val="28"/>
        </w:rPr>
        <w:t>FCOMPP источник – сравнить и вытолкнуть из стека два числа.</w:t>
      </w:r>
    </w:p>
    <w:p w14:paraId="1534732F" w14:textId="0C8E78C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>-- трансцендентные операции – выполняют операцию над числом, находящемся в ST(0), и обычно сохраняют результат в этом же регистре; для всех тригонометрических команд, операнд считается заданным в радианах и не может быть больше 2</w:t>
      </w:r>
      <w:r w:rsidRPr="007B20E3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Pr="007B20E3">
        <w:rPr>
          <w:rFonts w:ascii="Times New Roman" w:hAnsi="Times New Roman" w:cs="Times New Roman"/>
          <w:sz w:val="28"/>
          <w:szCs w:val="28"/>
        </w:rPr>
        <w:t xml:space="preserve"> или меньше -2</w:t>
      </w:r>
      <w:r w:rsidRPr="007B20E3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Pr="007B20E3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07486B8C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FPTAN – тангенс (ST(0) содержит 1, тангенс в ST(1)). Единица помещается в стек для того, чтобы можно было получить котангенс вызовом команды FDIVR сразу после FPTAN. </w:t>
      </w:r>
    </w:p>
    <w:p w14:paraId="7C97304C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FPATAN – арктангенс числа, получаемого при делении ST(1) на ST(0). </w:t>
      </w:r>
    </w:p>
    <w:p w14:paraId="4F5AFB19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F2XMI – вычисление 2х -1 (x в ST(0) и должно быть в диапазоне [-1..+1]). </w:t>
      </w:r>
    </w:p>
    <w:p w14:paraId="4F32C005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FYL2X – вычисление у*log2(x) (x – в ST(0) и должно быть неотрицательным, y – в ST(1)). </w:t>
      </w:r>
    </w:p>
    <w:p w14:paraId="5C2E5F24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FSIN – синус. </w:t>
      </w:r>
    </w:p>
    <w:p w14:paraId="23090C20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FCOS – косинус. </w:t>
      </w:r>
    </w:p>
    <w:p w14:paraId="19DB0C1B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-- команды записи констант – помещают в ST(0) часто используемую в вычислениях точную константу: </w:t>
      </w:r>
    </w:p>
    <w:p w14:paraId="64C1784D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FLD1 – 1,0. </w:t>
      </w:r>
    </w:p>
    <w:p w14:paraId="106090E1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FLDZ – 0,0. </w:t>
      </w:r>
    </w:p>
    <w:p w14:paraId="7323539A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FLDPI – число π. </w:t>
      </w:r>
    </w:p>
    <w:p w14:paraId="6C7B64C0" w14:textId="63A2AF13" w:rsidR="007B20E3" w:rsidRPr="00863F07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F07">
        <w:rPr>
          <w:rFonts w:ascii="Times New Roman" w:hAnsi="Times New Roman" w:cs="Times New Roman"/>
          <w:sz w:val="28"/>
          <w:szCs w:val="28"/>
          <w:lang w:val="en-US"/>
        </w:rPr>
        <w:t>FLDL2E – log2(e)</w:t>
      </w:r>
    </w:p>
    <w:p w14:paraId="1E6DCF95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0E3">
        <w:rPr>
          <w:rFonts w:ascii="Times New Roman" w:hAnsi="Times New Roman" w:cs="Times New Roman"/>
          <w:sz w:val="28"/>
          <w:szCs w:val="28"/>
          <w:lang w:val="en-US"/>
        </w:rPr>
        <w:t xml:space="preserve">FLDL2T – log2(10). </w:t>
      </w:r>
    </w:p>
    <w:p w14:paraId="12EC0739" w14:textId="77777777" w:rsidR="007B20E3" w:rsidRPr="00863F07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  <w:lang w:val="en-US"/>
        </w:rPr>
        <w:t>FLDLN</w:t>
      </w:r>
      <w:r w:rsidRPr="00863F07">
        <w:rPr>
          <w:rFonts w:ascii="Times New Roman" w:hAnsi="Times New Roman" w:cs="Times New Roman"/>
          <w:sz w:val="28"/>
          <w:szCs w:val="28"/>
        </w:rPr>
        <w:t xml:space="preserve">2 – </w:t>
      </w:r>
      <w:r w:rsidRPr="007B20E3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63F07">
        <w:rPr>
          <w:rFonts w:ascii="Times New Roman" w:hAnsi="Times New Roman" w:cs="Times New Roman"/>
          <w:sz w:val="28"/>
          <w:szCs w:val="28"/>
        </w:rPr>
        <w:t xml:space="preserve">(2). </w:t>
      </w:r>
    </w:p>
    <w:p w14:paraId="6EFA5C0E" w14:textId="77777777" w:rsidR="007B20E3" w:rsidRPr="00863F07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  <w:lang w:val="en-US"/>
        </w:rPr>
        <w:t>FLDLG</w:t>
      </w:r>
      <w:r w:rsidRPr="00863F07">
        <w:rPr>
          <w:rFonts w:ascii="Times New Roman" w:hAnsi="Times New Roman" w:cs="Times New Roman"/>
          <w:sz w:val="28"/>
          <w:szCs w:val="28"/>
        </w:rPr>
        <w:t xml:space="preserve">2 – </w:t>
      </w:r>
      <w:r w:rsidRPr="007B20E3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863F07">
        <w:rPr>
          <w:rFonts w:ascii="Times New Roman" w:hAnsi="Times New Roman" w:cs="Times New Roman"/>
          <w:sz w:val="28"/>
          <w:szCs w:val="28"/>
        </w:rPr>
        <w:t xml:space="preserve">(2). </w:t>
      </w:r>
    </w:p>
    <w:p w14:paraId="4D5F5B2D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Особенностями использования математического сопроцессора являются: </w:t>
      </w:r>
    </w:p>
    <w:p w14:paraId="2809BF40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- необходимость инициализации с помощью команды FINIT перед использованием; </w:t>
      </w:r>
    </w:p>
    <w:p w14:paraId="64FE5DB2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- параллельная работа процессора Intel 8086 и сопроцессора требуют дополнительной синхронизации, т.к. оба процессора подключены к общей системной шине, например, при работе с памятью: </w:t>
      </w:r>
    </w:p>
    <w:p w14:paraId="4D2408CA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FIST I ; скопировать число в память I </w:t>
      </w:r>
    </w:p>
    <w:p w14:paraId="0540D3BA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 xml:space="preserve">FWAIT ; ожидать готовности сопроцессора </w:t>
      </w:r>
    </w:p>
    <w:p w14:paraId="655C4646" w14:textId="77777777" w:rsid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lastRenderedPageBreak/>
        <w:t xml:space="preserve">MOV AX,I ; загрузить данные в центральный процессор </w:t>
      </w:r>
    </w:p>
    <w:p w14:paraId="36A81AE7" w14:textId="1504D308" w:rsidR="007B20E3" w:rsidRPr="007B20E3" w:rsidRDefault="007B20E3" w:rsidP="007B20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0E3">
        <w:rPr>
          <w:rFonts w:ascii="Times New Roman" w:hAnsi="Times New Roman" w:cs="Times New Roman"/>
          <w:sz w:val="28"/>
          <w:szCs w:val="28"/>
        </w:rPr>
        <w:t>Команда FWAIT приостанавливает работу центрального процессора, который может загрузить данные в регистр AX быстрее, чем нужные данные скопируются из сопроцессора. В современных процессорах такие операции синхронизации обычно выполняются автоматически.</w:t>
      </w:r>
    </w:p>
    <w:p w14:paraId="6085FFF5" w14:textId="77777777" w:rsidR="007165E1" w:rsidRPr="007165E1" w:rsidRDefault="007165E1" w:rsidP="007165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2AA109" w14:textId="77777777" w:rsidR="00307C3F" w:rsidRPr="00307C3F" w:rsidRDefault="00307C3F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07C3F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07C3F">
        <w:rPr>
          <w:rFonts w:ascii="Times New Roman" w:hAnsi="Times New Roman" w:cs="Times New Roman"/>
          <w:b/>
          <w:sz w:val="28"/>
          <w:szCs w:val="28"/>
        </w:rPr>
        <w:t>)</w:t>
      </w:r>
    </w:p>
    <w:p w14:paraId="2A979DCC" w14:textId="77777777" w:rsidR="005346D6" w:rsidRDefault="005346D6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79F1D" w14:textId="03389397" w:rsidR="005346D6" w:rsidRPr="00307C3F" w:rsidRDefault="007B20E3" w:rsidP="00C85D4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B20E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82AE12" wp14:editId="3DFF127D">
            <wp:extent cx="5762625" cy="6637655"/>
            <wp:effectExtent l="0" t="0" r="9525" b="0"/>
            <wp:docPr id="146309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9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3CC" w14:textId="77777777" w:rsidR="00307C3F" w:rsidRDefault="00307C3F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F5A17" w14:textId="3F1E51CF" w:rsidR="00C85D4A" w:rsidRPr="00196E7D" w:rsidRDefault="00196E7D" w:rsidP="00307C3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Код программы</w:t>
      </w:r>
    </w:p>
    <w:p w14:paraId="27391CCC" w14:textId="77777777" w:rsidR="00C85D4A" w:rsidRDefault="00C85D4A" w:rsidP="00196E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4A2AE3" w14:textId="77777777" w:rsidR="00C85D4A" w:rsidRPr="00307C3F" w:rsidRDefault="00C85D4A" w:rsidP="007B20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46E7E5" w14:textId="72BFDB7A" w:rsidR="00307C3F" w:rsidRPr="0033214C" w:rsidRDefault="00307C3F" w:rsidP="00C85D4A">
      <w:pPr>
        <w:spacing w:after="0" w:line="240" w:lineRule="auto"/>
        <w:ind w:left="2831" w:firstLine="709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 программы</w:t>
      </w:r>
    </w:p>
    <w:p w14:paraId="5D3AE061" w14:textId="77777777" w:rsidR="00307C3F" w:rsidRDefault="00307C3F" w:rsidP="00307C3F">
      <w:pPr>
        <w:spacing w:after="0" w:line="240" w:lineRule="auto"/>
        <w:ind w:firstLine="709"/>
        <w:jc w:val="center"/>
        <w:rPr>
          <w:b/>
          <w:sz w:val="28"/>
          <w:szCs w:val="21"/>
        </w:rPr>
      </w:pPr>
    </w:p>
    <w:p w14:paraId="7DE46A7E" w14:textId="1697B320" w:rsidR="007B20E3" w:rsidRDefault="007B20E3" w:rsidP="00307C3F">
      <w:pPr>
        <w:spacing w:after="0" w:line="240" w:lineRule="auto"/>
        <w:ind w:firstLine="709"/>
        <w:jc w:val="center"/>
        <w:rPr>
          <w:b/>
          <w:sz w:val="28"/>
          <w:szCs w:val="21"/>
        </w:rPr>
      </w:pPr>
      <w:r w:rsidRPr="007B20E3">
        <w:rPr>
          <w:b/>
          <w:noProof/>
          <w:sz w:val="28"/>
          <w:szCs w:val="21"/>
        </w:rPr>
        <w:drawing>
          <wp:inline distT="0" distB="0" distL="0" distR="0" wp14:anchorId="54BF8773" wp14:editId="3F85EE1A">
            <wp:extent cx="5543550" cy="1720850"/>
            <wp:effectExtent l="0" t="0" r="0" b="0"/>
            <wp:docPr id="137117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8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B1AB" w14:textId="20574B10" w:rsidR="005346D6" w:rsidRDefault="005346D6" w:rsidP="005346D6">
      <w:pPr>
        <w:tabs>
          <w:tab w:val="left" w:pos="28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A0ADA" w14:textId="3D2EBCAB" w:rsidR="00307C3F" w:rsidRPr="00702E03" w:rsidRDefault="00307C3F" w:rsidP="00307C3F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20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637B0A46" w14:textId="77777777" w:rsidR="00821C85" w:rsidRDefault="00821C85"/>
    <w:sectPr w:rsidR="00821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4B8"/>
    <w:multiLevelType w:val="hybridMultilevel"/>
    <w:tmpl w:val="638444FA"/>
    <w:lvl w:ilvl="0" w:tplc="B5946C9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C6A31"/>
    <w:multiLevelType w:val="hybridMultilevel"/>
    <w:tmpl w:val="2D86DB04"/>
    <w:lvl w:ilvl="0" w:tplc="7570C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02357555">
    <w:abstractNumId w:val="1"/>
  </w:num>
  <w:num w:numId="2" w16cid:durableId="150277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F"/>
    <w:rsid w:val="00196E7D"/>
    <w:rsid w:val="00307C3F"/>
    <w:rsid w:val="005346D6"/>
    <w:rsid w:val="007165E1"/>
    <w:rsid w:val="007667B9"/>
    <w:rsid w:val="007B20E3"/>
    <w:rsid w:val="00821C85"/>
    <w:rsid w:val="00863F07"/>
    <w:rsid w:val="008C65F4"/>
    <w:rsid w:val="00995204"/>
    <w:rsid w:val="00C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9999"/>
  <w15:chartTrackingRefBased/>
  <w15:docId w15:val="{89828382-346E-46AF-B84F-29BD219D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C3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7C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7</cp:revision>
  <dcterms:created xsi:type="dcterms:W3CDTF">2023-09-14T08:17:00Z</dcterms:created>
  <dcterms:modified xsi:type="dcterms:W3CDTF">2023-10-27T05:35:00Z</dcterms:modified>
</cp:coreProperties>
</file>