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A2 Medallion architecture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Add the four bronze audit columns to a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add_audit_columns(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ingestion_id: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source_file: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delivery_version: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Rename supplier columns to registry names.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rename_to_canonical(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column_map: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reach, one row per grain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reach_metrics(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grain: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A2 Medallion architecture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