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022EADCC" w14:textId="77777777" w:rsidR="002D79C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55CC2561" w14:textId="13C2DF65" w:rsidR="002D79CE" w:rsidRDefault="002D79CE" w:rsidP="002D79CE">
      <w:pPr>
        <w:contextualSpacing/>
        <w:jc w:val="both"/>
        <w:rPr>
          <w:rFonts w:ascii="Times New Roman" w:hAnsi="Times New Roman" w:cs="Times New Roman"/>
          <w:bCs/>
          <w:sz w:val="22"/>
          <w:szCs w:val="22"/>
        </w:rPr>
      </w:pPr>
    </w:p>
    <w:p w14:paraId="3600E169" w14:textId="7147A8A2" w:rsidR="002D79CE" w:rsidRDefault="002D79CE" w:rsidP="002D79CE">
      <w:pPr>
        <w:contextualSpacing/>
        <w:jc w:val="both"/>
        <w:rPr>
          <w:rFonts w:ascii="Times New Roman" w:hAnsi="Times New Roman" w:cs="Times New Roman"/>
          <w:bCs/>
          <w:sz w:val="22"/>
          <w:szCs w:val="22"/>
        </w:rPr>
      </w:pPr>
      <w:r>
        <w:rPr>
          <w:rFonts w:ascii="Times New Roman" w:hAnsi="Times New Roman" w:cs="Times New Roman"/>
          <w:bCs/>
          <w:sz w:val="22"/>
          <w:szCs w:val="22"/>
        </w:rPr>
        <w:t>INSERT SSE EQUATION HERE</w:t>
      </w:r>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lastRenderedPageBreak/>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lastRenderedPageBreak/>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1A3208B9" w:rsidR="00E177C5" w:rsidRDefault="00E177C5" w:rsidP="00F142BA">
      <w:pPr>
        <w:jc w:val="both"/>
        <w:rPr>
          <w:rFonts w:ascii="Times New Roman" w:hAnsi="Times New Roman" w:cs="Times New Roman"/>
          <w:bCs/>
          <w:sz w:val="22"/>
          <w:szCs w:val="22"/>
        </w:rPr>
      </w:pPr>
    </w:p>
    <w:p w14:paraId="0C856F49" w14:textId="71F604F5" w:rsidR="00E177C5" w:rsidRDefault="00E177C5" w:rsidP="00F142BA">
      <w:pPr>
        <w:jc w:val="both"/>
        <w:rPr>
          <w:rFonts w:ascii="Times New Roman" w:hAnsi="Times New Roman" w:cs="Times New Roman"/>
          <w:bCs/>
          <w:sz w:val="22"/>
          <w:szCs w:val="22"/>
        </w:rPr>
      </w:pPr>
      <w:r>
        <w:rPr>
          <w:rFonts w:ascii="Times New Roman" w:hAnsi="Times New Roman" w:cs="Times New Roman"/>
          <w:bCs/>
          <w:sz w:val="22"/>
          <w:szCs w:val="22"/>
        </w:rPr>
        <w:t>INSERT SSR EQUATION HERE</w:t>
      </w:r>
    </w:p>
    <w:p w14:paraId="1F3F1477" w14:textId="77777777" w:rsidR="00E177C5" w:rsidRDefault="00E177C5" w:rsidP="00F142BA">
      <w:pPr>
        <w:jc w:val="both"/>
        <w:rPr>
          <w:rFonts w:ascii="Times New Roman" w:hAnsi="Times New Roman" w:cs="Times New Roman"/>
          <w:bCs/>
          <w:sz w:val="22"/>
          <w:szCs w:val="22"/>
        </w:rPr>
      </w:pPr>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w:t>
      </w:r>
      <w:r>
        <w:rPr>
          <w:rFonts w:ascii="Times New Roman" w:hAnsi="Times New Roman" w:cs="Times New Roman"/>
          <w:bCs/>
          <w:sz w:val="22"/>
          <w:szCs w:val="22"/>
        </w:rPr>
        <w:lastRenderedPageBreak/>
        <w:t xml:space="preserve">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w:t>
      </w:r>
      <w:r>
        <w:rPr>
          <w:rFonts w:ascii="Times New Roman" w:hAnsi="Times New Roman" w:cs="Times New Roman"/>
          <w:sz w:val="22"/>
          <w:szCs w:val="22"/>
        </w:rPr>
        <w:lastRenderedPageBreak/>
        <w:t>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w:t>
      </w:r>
      <w:r>
        <w:rPr>
          <w:rFonts w:ascii="Times New Roman" w:hAnsi="Times New Roman" w:cs="Times New Roman"/>
          <w:sz w:val="22"/>
          <w:szCs w:val="22"/>
        </w:rPr>
        <w:lastRenderedPageBreak/>
        <w:t xml:space="preserve">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w:t>
      </w:r>
      <w:r w:rsidR="001E52AD">
        <w:rPr>
          <w:rFonts w:ascii="Times New Roman" w:hAnsi="Times New Roman" w:cs="Times New Roman"/>
          <w:bCs/>
          <w:sz w:val="22"/>
          <w:szCs w:val="22"/>
        </w:rPr>
        <w:lastRenderedPageBreak/>
        <w:t xml:space="preserve">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xml:space="preserve">, a </w:t>
      </w:r>
      <w:r>
        <w:rPr>
          <w:rFonts w:ascii="Times New Roman" w:hAnsi="Times New Roman" w:cs="Times New Roman"/>
          <w:sz w:val="22"/>
          <w:szCs w:val="22"/>
        </w:rPr>
        <w:lastRenderedPageBreak/>
        <w:t>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This chart compares the “base” forest from Section 2 with the time-series-optimized forest from Section 3. In the second and third rows, both models are compared to an ARIMA baseline.</w:t>
            </w:r>
            <w:r>
              <w:rPr>
                <w:rFonts w:ascii="Times New Roman" w:hAnsi="Times New Roman" w:cs="Times New Roman"/>
                <w:sz w:val="16"/>
                <w:szCs w:val="16"/>
              </w:rPr>
              <w:t xml:space="preserv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D34850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3298">
        <w:rPr>
          <w:rFonts w:ascii="Times New Roman" w:hAnsi="Times New Roman" w:cs="Times New Roman"/>
          <w:sz w:val="22"/>
          <w:szCs w:val="22"/>
        </w:rPr>
        <w:t xml:space="preserve">“Real” trees are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they contain more than one node. In the base forest model, out of 50 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are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xml:space="preserve">. I </w:t>
      </w:r>
      <w:r w:rsidR="009E265A">
        <w:rPr>
          <w:rFonts w:ascii="Times New Roman" w:hAnsi="Times New Roman" w:cs="Times New Roman"/>
          <w:sz w:val="22"/>
          <w:szCs w:val="22"/>
        </w:rPr>
        <w:lastRenderedPageBreak/>
        <w:t>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w:t>
      </w:r>
      <w:proofErr w:type="spellStart"/>
      <w:r>
        <w:rPr>
          <w:rFonts w:ascii="Times New Roman" w:hAnsi="Times New Roman" w:cs="Times New Roman"/>
          <w:sz w:val="22"/>
          <w:szCs w:val="22"/>
        </w:rPr>
        <w:t>ctive</w:t>
      </w:r>
      <w:proofErr w:type="spellEnd"/>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w:t>
      </w:r>
      <w:r>
        <w:rPr>
          <w:rFonts w:ascii="Times New Roman" w:hAnsi="Times New Roman" w:cs="Times New Roman"/>
          <w:sz w:val="22"/>
          <w:szCs w:val="22"/>
        </w:rPr>
        <w:lastRenderedPageBreak/>
        <w:t xml:space="preserve">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2902D0BB" w:rsidR="00023EFD" w:rsidRPr="00DA23E5" w:rsidRDefault="00023EFD" w:rsidP="00023EFD">
      <w:pPr>
        <w:jc w:val="both"/>
        <w:rPr>
          <w:rFonts w:ascii="Times New Roman" w:hAnsi="Times New Roman" w:cs="Times New Roman"/>
          <w:i/>
          <w:iCs/>
          <w:sz w:val="22"/>
          <w:szCs w:val="22"/>
        </w:rPr>
      </w:pPr>
      <w:r>
        <w:rPr>
          <w:rFonts w:ascii="Times New Roman" w:hAnsi="Times New Roman" w:cs="Times New Roman"/>
          <w:i/>
          <w:iCs/>
          <w:sz w:val="22"/>
          <w:szCs w:val="22"/>
        </w:rPr>
        <w:t>Analyzing feature importance</w:t>
      </w:r>
      <w:r w:rsidR="00DA23E5">
        <w:rPr>
          <w:rFonts w:ascii="Times New Roman" w:hAnsi="Times New Roman" w:cs="Times New Roman"/>
          <w:i/>
          <w:iCs/>
          <w:sz w:val="22"/>
          <w:szCs w:val="22"/>
        </w:rPr>
        <w:t xml:space="preserve">. </w:t>
      </w:r>
      <w:r>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2CE9CC5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This is only an example, but Graph 2 highlights a similar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53521B5F"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around 50%, sharing it with the tmin1 and tmin10 terms (interesting!). Then, at about 2007, the trend importance begins to hover around 55%, and the tmin1 and tmin10 terms fall out of importance, in favor of the tmin3 term. The remaining term is either tmin8 or tmin2, depending on the particular month, but both these terms are fairly unimportant, never more than 5%.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52A3A667" w:rsidR="00682007" w:rsidRDefault="00C133EA"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Graph of feature importance. Graph of tree split frequency. </w:t>
      </w:r>
      <w:r w:rsidR="007350D2">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39C1C06B" w14:textId="58FFA003" w:rsidR="00CC4FE7" w:rsidRDefault="00CC4FE7" w:rsidP="007350D2">
      <w:pPr>
        <w:ind w:firstLine="720"/>
        <w:jc w:val="both"/>
        <w:rPr>
          <w:rFonts w:ascii="Times New Roman" w:hAnsi="Times New Roman" w:cs="Times New Roman"/>
          <w:sz w:val="22"/>
          <w:szCs w:val="22"/>
        </w:rPr>
      </w:pPr>
    </w:p>
    <w:p w14:paraId="1CD5D6F1" w14:textId="1EB1DE9E" w:rsidR="00CC4FE7" w:rsidRPr="00C133EA" w:rsidRDefault="007B5504" w:rsidP="00CC4FE7">
      <w:pPr>
        <w:jc w:val="both"/>
        <w:rPr>
          <w:rFonts w:ascii="Times New Roman" w:hAnsi="Times New Roman" w:cs="Times New Roman"/>
          <w:sz w:val="22"/>
          <w:szCs w:val="22"/>
        </w:rPr>
      </w:pPr>
      <w:r>
        <w:rPr>
          <w:rFonts w:ascii="Times New Roman" w:hAnsi="Times New Roman" w:cs="Times New Roman"/>
          <w:sz w:val="22"/>
          <w:szCs w:val="22"/>
        </w:rPr>
        <w:t xml:space="preserve">IDEA: DO A </w:t>
      </w:r>
      <w:r w:rsidR="00F52B45">
        <w:rPr>
          <w:rFonts w:ascii="Times New Roman" w:hAnsi="Times New Roman" w:cs="Times New Roman"/>
          <w:sz w:val="22"/>
          <w:szCs w:val="22"/>
        </w:rPr>
        <w:t xml:space="preserve">ROLLING AVERAGE GRAPH (maybe 12-month rolling average) of relative frequency of different features, in the sample forest, non-sample forest, mean forest. Include only the top 3 or 4 features </w:t>
      </w:r>
      <w:r w:rsidR="00F52B45">
        <w:rPr>
          <w:rFonts w:ascii="Times New Roman" w:hAnsi="Times New Roman" w:cs="Times New Roman"/>
          <w:sz w:val="22"/>
          <w:szCs w:val="22"/>
        </w:rPr>
        <w:lastRenderedPageBreak/>
        <w:t>(so some lines will disappear and reappear</w:t>
      </w:r>
      <w:proofErr w:type="gramStart"/>
      <w:r w:rsidR="00F52B45">
        <w:rPr>
          <w:rFonts w:ascii="Times New Roman" w:hAnsi="Times New Roman" w:cs="Times New Roman"/>
          <w:sz w:val="22"/>
          <w:szCs w:val="22"/>
        </w:rPr>
        <w:t>), and</w:t>
      </w:r>
      <w:proofErr w:type="gramEnd"/>
      <w:r w:rsidR="00F52B45">
        <w:rPr>
          <w:rFonts w:ascii="Times New Roman" w:hAnsi="Times New Roman" w:cs="Times New Roman"/>
          <w:sz w:val="22"/>
          <w:szCs w:val="22"/>
        </w:rPr>
        <w:t xml:space="preserve"> do a different graph for each model type. These graphs would illustrate the changing significance of different features as the inflation process plays out over time. Maybe the process changes, so that tmin1 and trend are important at first, but later it’s tmin9 and tmin2. Worth checking out!</w:t>
      </w:r>
    </w:p>
    <w:p w14:paraId="0BB4BD66" w14:textId="77777777" w:rsidR="00C133EA" w:rsidRDefault="00C133EA"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2E4CCE5A"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w:t>
      </w:r>
      <w:r w:rsidR="00FD3F6F">
        <w:rPr>
          <w:rFonts w:ascii="Times New Roman" w:hAnsi="Times New Roman" w:cs="Times New Roman"/>
          <w:sz w:val="22"/>
          <w:szCs w:val="22"/>
        </w:rPr>
        <w:t>e</w:t>
      </w:r>
      <w:r>
        <w:rPr>
          <w:rFonts w:ascii="Times New Roman" w:hAnsi="Times New Roman" w:cs="Times New Roman"/>
          <w:sz w:val="22"/>
          <w:szCs w:val="22"/>
        </w:rPr>
        <w:t xml:space="preserv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1A862265" w:rsidR="00E90264" w:rsidRPr="00FD3F6F" w:rsidRDefault="00FD3F6F" w:rsidP="00FD3F6F">
      <w:pPr>
        <w:ind w:left="720"/>
        <w:jc w:val="both"/>
        <w:rPr>
          <w:rFonts w:ascii="Times New Roman" w:hAnsi="Times New Roman" w:cs="Times New Roman"/>
          <w:sz w:val="22"/>
          <w:szCs w:val="22"/>
        </w:rPr>
      </w:pPr>
      <w:r>
        <w:rPr>
          <w:rFonts w:ascii="Times New Roman" w:hAnsi="Times New Roman" w:cs="Times New Roman"/>
          <w:sz w:val="22"/>
          <w:szCs w:val="22"/>
        </w:rPr>
        <w:t>We want to consider multivariate models.</w:t>
      </w: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5071654E" w:rsidR="00802FB3" w:rsidRPr="00BC7E31" w:rsidRDefault="002B5AC2" w:rsidP="007B4FE5">
      <w:pPr>
        <w:spacing w:after="160"/>
        <w:rPr>
          <w:rFonts w:ascii="Times New Roman" w:hAnsi="Times New Roman" w:cs="Times New Roman"/>
        </w:rPr>
      </w:pPr>
      <w:r>
        <w:rPr>
          <w:rFonts w:ascii="Times New Roman" w:hAnsi="Times New Roman" w:cs="Times New Roman"/>
        </w:rPr>
        <w:t xml:space="preserve">NOTE: </w:t>
      </w:r>
      <w:r w:rsidR="002B5D57">
        <w:rPr>
          <w:rFonts w:ascii="Times New Roman" w:hAnsi="Times New Roman" w:cs="Times New Roman"/>
        </w:rPr>
        <w:t>Both forests use</w:t>
      </w:r>
      <w:r>
        <w:rPr>
          <w:rFonts w:ascii="Times New Roman" w:hAnsi="Times New Roman" w:cs="Times New Roman"/>
        </w:rPr>
        <w:t xml:space="preserve"> the 0.8*</w:t>
      </w:r>
      <w:proofErr w:type="spellStart"/>
      <w:r>
        <w:rPr>
          <w:rFonts w:ascii="Times New Roman" w:hAnsi="Times New Roman" w:cs="Times New Roman"/>
        </w:rPr>
        <w:t>beta_hat</w:t>
      </w:r>
      <w:proofErr w:type="spellEnd"/>
      <w:r>
        <w:rPr>
          <w:rFonts w:ascii="Times New Roman" w:hAnsi="Times New Roman" w:cs="Times New Roman"/>
        </w:rPr>
        <w:t xml:space="preserve"> for predictions. </w:t>
      </w:r>
      <w:r w:rsidR="002B5D57">
        <w:rPr>
          <w:rFonts w:ascii="Times New Roman" w:hAnsi="Times New Roman" w:cs="Times New Roman"/>
        </w:rPr>
        <w:t xml:space="preserve">The sampled forest seems to run only slightly worse when it’s clean, and it has a lower ACF to boot. </w:t>
      </w:r>
      <w:r w:rsidR="0072247F">
        <w:rPr>
          <w:rFonts w:ascii="Times New Roman" w:hAnsi="Times New Roman" w:cs="Times New Roman"/>
        </w:rPr>
        <w:t xml:space="preserve">The adjusted prediction forest runs horribly. Not sure how I can justify using the 0.8*, so I’d better run the non-sampled clean and update all the numbers. </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w:t>
      </w:r>
      <w:r>
        <w:rPr>
          <w:rFonts w:ascii="Times New Roman" w:hAnsi="Times New Roman" w:cs="Times New Roman"/>
          <w:bCs/>
          <w:sz w:val="22"/>
          <w:szCs w:val="22"/>
        </w:rPr>
        <w:lastRenderedPageBreak/>
        <w:t xml:space="preserve">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B73C6" w:rsidRDefault="00AB73C6">
      <w:pPr>
        <w:pStyle w:val="CommentText"/>
      </w:pPr>
      <w:r>
        <w:rPr>
          <w:rStyle w:val="CommentReference"/>
        </w:rPr>
        <w:annotationRef/>
      </w:r>
      <w:r>
        <w:t>Find a paper for this.</w:t>
      </w:r>
    </w:p>
  </w:comment>
  <w:comment w:id="1" w:author="Alex Moran" w:date="2021-01-15T18:05:00Z" w:initials="AM">
    <w:p w14:paraId="6073BA6B" w14:textId="4D205912" w:rsidR="00AB73C6" w:rsidRDefault="00AB73C6">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AB73C6" w:rsidRDefault="00AB73C6">
      <w:pPr>
        <w:pStyle w:val="CommentText"/>
      </w:pPr>
      <w:r>
        <w:rPr>
          <w:rStyle w:val="CommentReference"/>
        </w:rPr>
        <w:annotationRef/>
      </w:r>
      <w:r>
        <w:t>Check back on this.</w:t>
      </w:r>
    </w:p>
  </w:comment>
  <w:comment w:id="3" w:author="Alex Moran" w:date="2021-01-26T16:26:00Z" w:initials="AM">
    <w:p w14:paraId="51AB19BE" w14:textId="2F3A8361" w:rsidR="00AB73C6" w:rsidRDefault="00AB73C6">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23EFD"/>
    <w:rsid w:val="00033D98"/>
    <w:rsid w:val="000351AD"/>
    <w:rsid w:val="000465B3"/>
    <w:rsid w:val="00051535"/>
    <w:rsid w:val="00054548"/>
    <w:rsid w:val="00087937"/>
    <w:rsid w:val="000B57D8"/>
    <w:rsid w:val="000C2384"/>
    <w:rsid w:val="000D15AC"/>
    <w:rsid w:val="000E2CBD"/>
    <w:rsid w:val="000E44A7"/>
    <w:rsid w:val="000E6990"/>
    <w:rsid w:val="000E7E1C"/>
    <w:rsid w:val="00115ED0"/>
    <w:rsid w:val="001231A0"/>
    <w:rsid w:val="00123221"/>
    <w:rsid w:val="00123BFB"/>
    <w:rsid w:val="00124792"/>
    <w:rsid w:val="0012612A"/>
    <w:rsid w:val="0013062E"/>
    <w:rsid w:val="00133298"/>
    <w:rsid w:val="0014300F"/>
    <w:rsid w:val="001446EC"/>
    <w:rsid w:val="00145A6A"/>
    <w:rsid w:val="00150FEF"/>
    <w:rsid w:val="001668B0"/>
    <w:rsid w:val="00167A62"/>
    <w:rsid w:val="00183F3F"/>
    <w:rsid w:val="00185084"/>
    <w:rsid w:val="001A1000"/>
    <w:rsid w:val="001C37B1"/>
    <w:rsid w:val="001D04CB"/>
    <w:rsid w:val="001D228E"/>
    <w:rsid w:val="001E0233"/>
    <w:rsid w:val="001E52AD"/>
    <w:rsid w:val="001F6884"/>
    <w:rsid w:val="00227891"/>
    <w:rsid w:val="00235125"/>
    <w:rsid w:val="002365BC"/>
    <w:rsid w:val="00255124"/>
    <w:rsid w:val="00257C19"/>
    <w:rsid w:val="00260FA2"/>
    <w:rsid w:val="00264F1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6881"/>
    <w:rsid w:val="003929F8"/>
    <w:rsid w:val="00394798"/>
    <w:rsid w:val="003A4A7F"/>
    <w:rsid w:val="003C1854"/>
    <w:rsid w:val="003C5D66"/>
    <w:rsid w:val="003E0D13"/>
    <w:rsid w:val="004018FC"/>
    <w:rsid w:val="00405882"/>
    <w:rsid w:val="00415215"/>
    <w:rsid w:val="0042198F"/>
    <w:rsid w:val="0042596F"/>
    <w:rsid w:val="004326C0"/>
    <w:rsid w:val="00447911"/>
    <w:rsid w:val="00486F3B"/>
    <w:rsid w:val="00493440"/>
    <w:rsid w:val="0049474A"/>
    <w:rsid w:val="004A4F68"/>
    <w:rsid w:val="004D03EC"/>
    <w:rsid w:val="004D2B04"/>
    <w:rsid w:val="004E53E0"/>
    <w:rsid w:val="004F4203"/>
    <w:rsid w:val="0051602B"/>
    <w:rsid w:val="0051628D"/>
    <w:rsid w:val="005343DD"/>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60E"/>
    <w:rsid w:val="005D0EF1"/>
    <w:rsid w:val="005E2765"/>
    <w:rsid w:val="0060152E"/>
    <w:rsid w:val="0060209B"/>
    <w:rsid w:val="00603B67"/>
    <w:rsid w:val="00611E47"/>
    <w:rsid w:val="006225F0"/>
    <w:rsid w:val="006411E7"/>
    <w:rsid w:val="006446B0"/>
    <w:rsid w:val="0064693E"/>
    <w:rsid w:val="00665951"/>
    <w:rsid w:val="00666765"/>
    <w:rsid w:val="006673D4"/>
    <w:rsid w:val="00670AD1"/>
    <w:rsid w:val="00671CAC"/>
    <w:rsid w:val="00673C91"/>
    <w:rsid w:val="00682007"/>
    <w:rsid w:val="006905E5"/>
    <w:rsid w:val="00697DDC"/>
    <w:rsid w:val="006A0D7E"/>
    <w:rsid w:val="006C3865"/>
    <w:rsid w:val="006C50CA"/>
    <w:rsid w:val="006C5B71"/>
    <w:rsid w:val="006C7F22"/>
    <w:rsid w:val="006D02A6"/>
    <w:rsid w:val="006D59C4"/>
    <w:rsid w:val="006D5CC1"/>
    <w:rsid w:val="006F54B7"/>
    <w:rsid w:val="00706B7A"/>
    <w:rsid w:val="007112B3"/>
    <w:rsid w:val="00720171"/>
    <w:rsid w:val="0072172B"/>
    <w:rsid w:val="0072247F"/>
    <w:rsid w:val="007350D2"/>
    <w:rsid w:val="00763454"/>
    <w:rsid w:val="00766E2D"/>
    <w:rsid w:val="00780299"/>
    <w:rsid w:val="00784A6B"/>
    <w:rsid w:val="00790533"/>
    <w:rsid w:val="00790D07"/>
    <w:rsid w:val="00794013"/>
    <w:rsid w:val="0079696A"/>
    <w:rsid w:val="007A0904"/>
    <w:rsid w:val="007A1D61"/>
    <w:rsid w:val="007B0C26"/>
    <w:rsid w:val="007B4FE5"/>
    <w:rsid w:val="007B5504"/>
    <w:rsid w:val="007C4FAF"/>
    <w:rsid w:val="007E415E"/>
    <w:rsid w:val="007F37B1"/>
    <w:rsid w:val="007F4C8E"/>
    <w:rsid w:val="00802FB3"/>
    <w:rsid w:val="00803DA3"/>
    <w:rsid w:val="00812EE6"/>
    <w:rsid w:val="00826046"/>
    <w:rsid w:val="00835032"/>
    <w:rsid w:val="008443D9"/>
    <w:rsid w:val="008800BE"/>
    <w:rsid w:val="0088521E"/>
    <w:rsid w:val="0089114D"/>
    <w:rsid w:val="008A32CD"/>
    <w:rsid w:val="008B0304"/>
    <w:rsid w:val="008C11E0"/>
    <w:rsid w:val="00901AFE"/>
    <w:rsid w:val="0090446A"/>
    <w:rsid w:val="009053FC"/>
    <w:rsid w:val="00907CBC"/>
    <w:rsid w:val="00910903"/>
    <w:rsid w:val="00916EC2"/>
    <w:rsid w:val="00940D8A"/>
    <w:rsid w:val="00956988"/>
    <w:rsid w:val="00962D70"/>
    <w:rsid w:val="009827CD"/>
    <w:rsid w:val="00996C28"/>
    <w:rsid w:val="009A0415"/>
    <w:rsid w:val="009A418D"/>
    <w:rsid w:val="009C24D6"/>
    <w:rsid w:val="009E265A"/>
    <w:rsid w:val="009F1494"/>
    <w:rsid w:val="009F2617"/>
    <w:rsid w:val="009F5135"/>
    <w:rsid w:val="00A053A2"/>
    <w:rsid w:val="00A1636E"/>
    <w:rsid w:val="00A2527D"/>
    <w:rsid w:val="00A2703F"/>
    <w:rsid w:val="00A30DF6"/>
    <w:rsid w:val="00A40D4C"/>
    <w:rsid w:val="00A51A3B"/>
    <w:rsid w:val="00A658E8"/>
    <w:rsid w:val="00A70911"/>
    <w:rsid w:val="00A8013B"/>
    <w:rsid w:val="00A84A7B"/>
    <w:rsid w:val="00A9637F"/>
    <w:rsid w:val="00AB6EFB"/>
    <w:rsid w:val="00AB73C6"/>
    <w:rsid w:val="00AD51A3"/>
    <w:rsid w:val="00AE233E"/>
    <w:rsid w:val="00AE593B"/>
    <w:rsid w:val="00AF16E1"/>
    <w:rsid w:val="00B26B28"/>
    <w:rsid w:val="00B30D06"/>
    <w:rsid w:val="00B37199"/>
    <w:rsid w:val="00B466D0"/>
    <w:rsid w:val="00B523A9"/>
    <w:rsid w:val="00B568DB"/>
    <w:rsid w:val="00B8342C"/>
    <w:rsid w:val="00B86874"/>
    <w:rsid w:val="00B87E23"/>
    <w:rsid w:val="00B92935"/>
    <w:rsid w:val="00B9577C"/>
    <w:rsid w:val="00BA1F6A"/>
    <w:rsid w:val="00BA5BC4"/>
    <w:rsid w:val="00BB63B2"/>
    <w:rsid w:val="00BC6BB4"/>
    <w:rsid w:val="00BC7E31"/>
    <w:rsid w:val="00BD515B"/>
    <w:rsid w:val="00C03514"/>
    <w:rsid w:val="00C133EA"/>
    <w:rsid w:val="00C56A2C"/>
    <w:rsid w:val="00C67AA0"/>
    <w:rsid w:val="00C81A5C"/>
    <w:rsid w:val="00C94D0C"/>
    <w:rsid w:val="00CA16A5"/>
    <w:rsid w:val="00CA7F90"/>
    <w:rsid w:val="00CC4FE7"/>
    <w:rsid w:val="00CD19F0"/>
    <w:rsid w:val="00CE07E6"/>
    <w:rsid w:val="00D009D8"/>
    <w:rsid w:val="00D012AB"/>
    <w:rsid w:val="00D13695"/>
    <w:rsid w:val="00D13B24"/>
    <w:rsid w:val="00D14282"/>
    <w:rsid w:val="00D26CC6"/>
    <w:rsid w:val="00D427EE"/>
    <w:rsid w:val="00D4447F"/>
    <w:rsid w:val="00D46C55"/>
    <w:rsid w:val="00D534E3"/>
    <w:rsid w:val="00D55EC0"/>
    <w:rsid w:val="00D5769A"/>
    <w:rsid w:val="00D71F35"/>
    <w:rsid w:val="00D725BD"/>
    <w:rsid w:val="00D83EBC"/>
    <w:rsid w:val="00DA23E5"/>
    <w:rsid w:val="00DA2D5B"/>
    <w:rsid w:val="00DA78AE"/>
    <w:rsid w:val="00DB4F43"/>
    <w:rsid w:val="00DB69D2"/>
    <w:rsid w:val="00DC2113"/>
    <w:rsid w:val="00DC2220"/>
    <w:rsid w:val="00DC6811"/>
    <w:rsid w:val="00DD1625"/>
    <w:rsid w:val="00DD41CA"/>
    <w:rsid w:val="00DE1248"/>
    <w:rsid w:val="00DE34D4"/>
    <w:rsid w:val="00E046F6"/>
    <w:rsid w:val="00E10DAE"/>
    <w:rsid w:val="00E13EAB"/>
    <w:rsid w:val="00E14057"/>
    <w:rsid w:val="00E177C5"/>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25C0A"/>
    <w:rsid w:val="00F27CC5"/>
    <w:rsid w:val="00F34774"/>
    <w:rsid w:val="00F3742F"/>
    <w:rsid w:val="00F47DDA"/>
    <w:rsid w:val="00F5094B"/>
    <w:rsid w:val="00F52B45"/>
    <w:rsid w:val="00F54C57"/>
    <w:rsid w:val="00F76C82"/>
    <w:rsid w:val="00F83561"/>
    <w:rsid w:val="00FA090E"/>
    <w:rsid w:val="00FA380C"/>
    <w:rsid w:val="00FB534B"/>
    <w:rsid w:val="00FB7933"/>
    <w:rsid w:val="00FD3F6F"/>
    <w:rsid w:val="00FD5602"/>
    <w:rsid w:val="00FE1B49"/>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21</Pages>
  <Words>11821</Words>
  <Characters>67384</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190</cp:revision>
  <cp:lastPrinted>2020-11-12T19:44:00Z</cp:lastPrinted>
  <dcterms:created xsi:type="dcterms:W3CDTF">2020-10-20T15:30:00Z</dcterms:created>
  <dcterms:modified xsi:type="dcterms:W3CDTF">2021-02-19T21:44:00Z</dcterms:modified>
</cp:coreProperties>
</file>