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64567DAD" w14:textId="1C5CFF5C" w:rsidR="00DB69D2" w:rsidRDefault="00213A7E" w:rsidP="000F2E47">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7C9BA479" w14:textId="77777777" w:rsidR="00303328" w:rsidRDefault="00303328" w:rsidP="00CA7F90">
      <w:pPr>
        <w:ind w:firstLine="720"/>
        <w:contextualSpacing/>
        <w:jc w:val="both"/>
        <w:rPr>
          <w:bCs/>
          <w:sz w:val="22"/>
          <w:szCs w:val="22"/>
        </w:rPr>
      </w:pPr>
    </w:p>
    <w:p w14:paraId="3911828E" w14:textId="6FCA5E9B" w:rsidR="00DB69D2" w:rsidRDefault="00DB69D2" w:rsidP="00CA7F90">
      <w:pPr>
        <w:ind w:firstLine="720"/>
        <w:contextualSpacing/>
        <w:jc w:val="both"/>
        <w:rPr>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sz w:val="22"/>
                <w:szCs w:val="22"/>
              </w:rPr>
            </w:pPr>
            <w:r w:rsidRPr="00E568D8">
              <w:rPr>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b/>
                <w:bCs/>
                <w:sz w:val="22"/>
                <w:szCs w:val="22"/>
              </w:rPr>
            </w:pPr>
            <w:r>
              <w:rPr>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b/>
                <w:bCs/>
                <w:sz w:val="22"/>
                <w:szCs w:val="22"/>
              </w:rPr>
            </w:pPr>
          </w:p>
        </w:tc>
        <w:tc>
          <w:tcPr>
            <w:tcW w:w="1756" w:type="dxa"/>
            <w:gridSpan w:val="2"/>
            <w:tcBorders>
              <w:top w:val="nil"/>
              <w:left w:val="nil"/>
              <w:bottom w:val="single" w:sz="4" w:space="0" w:color="auto"/>
              <w:right w:val="nil"/>
            </w:tcBorders>
            <w:vAlign w:val="center"/>
          </w:tcPr>
          <w:p w14:paraId="347FF9BE" w14:textId="1984B891" w:rsidR="00E568D8" w:rsidRPr="007112B3" w:rsidRDefault="00E568D8" w:rsidP="00563AA6">
            <w:pPr>
              <w:contextualSpacing/>
              <w:jc w:val="center"/>
              <w:rPr>
                <w:sz w:val="22"/>
                <w:szCs w:val="22"/>
              </w:rPr>
            </w:pPr>
            <w:r w:rsidRPr="007112B3">
              <w:rPr>
                <w:sz w:val="22"/>
                <w:szCs w:val="22"/>
              </w:rPr>
              <w:t>ARIMA</w:t>
            </w:r>
            <w:r w:rsidR="00225CC3">
              <w:rPr>
                <w:sz w:val="22"/>
                <w:szCs w:val="22"/>
              </w:rPr>
              <w:t>(AIC)</w:t>
            </w:r>
          </w:p>
        </w:tc>
        <w:tc>
          <w:tcPr>
            <w:tcW w:w="1756" w:type="dxa"/>
            <w:gridSpan w:val="2"/>
            <w:tcBorders>
              <w:top w:val="nil"/>
              <w:left w:val="nil"/>
              <w:bottom w:val="single" w:sz="4" w:space="0" w:color="auto"/>
              <w:right w:val="nil"/>
            </w:tcBorders>
            <w:vAlign w:val="center"/>
          </w:tcPr>
          <w:p w14:paraId="2C9CAB51" w14:textId="46E985FD" w:rsidR="00E568D8" w:rsidRPr="007112B3" w:rsidRDefault="00E568D8" w:rsidP="00563AA6">
            <w:pPr>
              <w:contextualSpacing/>
              <w:jc w:val="center"/>
              <w:rPr>
                <w:sz w:val="22"/>
                <w:szCs w:val="22"/>
              </w:rPr>
            </w:pPr>
            <w:r w:rsidRPr="007112B3">
              <w:rPr>
                <w:sz w:val="22"/>
                <w:szCs w:val="22"/>
              </w:rPr>
              <w:t xml:space="preserve">Base </w:t>
            </w:r>
            <w:r w:rsidR="001F5AAB">
              <w:rPr>
                <w:sz w:val="22"/>
                <w:szCs w:val="22"/>
              </w:rPr>
              <w:t>T</w:t>
            </w:r>
            <w:r w:rsidRPr="007112B3">
              <w:rPr>
                <w:sz w:val="22"/>
                <w:szCs w:val="22"/>
              </w:rPr>
              <w:t>ree</w:t>
            </w:r>
          </w:p>
        </w:tc>
        <w:tc>
          <w:tcPr>
            <w:tcW w:w="1756" w:type="dxa"/>
            <w:gridSpan w:val="2"/>
            <w:tcBorders>
              <w:top w:val="nil"/>
              <w:left w:val="nil"/>
              <w:bottom w:val="single" w:sz="4" w:space="0" w:color="auto"/>
              <w:right w:val="nil"/>
            </w:tcBorders>
            <w:vAlign w:val="center"/>
          </w:tcPr>
          <w:p w14:paraId="11650C3C" w14:textId="5807F98A" w:rsidR="00E568D8" w:rsidRPr="007112B3" w:rsidRDefault="00B2417F" w:rsidP="00563AA6">
            <w:pPr>
              <w:contextualSpacing/>
              <w:jc w:val="center"/>
              <w:rPr>
                <w:sz w:val="22"/>
                <w:szCs w:val="22"/>
              </w:rPr>
            </w:pPr>
            <w:r>
              <w:rPr>
                <w:sz w:val="22"/>
                <w:szCs w:val="22"/>
              </w:rPr>
              <w:t>Hybrid</w:t>
            </w:r>
            <w:r w:rsidR="001440BC">
              <w:rPr>
                <w:sz w:val="22"/>
                <w:szCs w:val="22"/>
              </w:rPr>
              <w:t xml:space="preserve"> </w:t>
            </w:r>
            <w:r w:rsidR="001F5AAB">
              <w:rPr>
                <w:sz w:val="22"/>
                <w:szCs w:val="22"/>
              </w:rPr>
              <w:t>T</w:t>
            </w:r>
            <w:r w:rsidR="001440BC">
              <w:rPr>
                <w:sz w:val="22"/>
                <w:szCs w:val="22"/>
              </w:rPr>
              <w:t>ree</w:t>
            </w:r>
          </w:p>
        </w:tc>
        <w:tc>
          <w:tcPr>
            <w:tcW w:w="1757" w:type="dxa"/>
            <w:gridSpan w:val="2"/>
            <w:tcBorders>
              <w:top w:val="nil"/>
              <w:left w:val="nil"/>
              <w:bottom w:val="single" w:sz="4" w:space="0" w:color="auto"/>
              <w:right w:val="nil"/>
            </w:tcBorders>
            <w:vAlign w:val="center"/>
          </w:tcPr>
          <w:p w14:paraId="6C930A0C" w14:textId="61FEB73E" w:rsidR="00E568D8" w:rsidRPr="007112B3" w:rsidRDefault="00B2417F" w:rsidP="00563AA6">
            <w:pPr>
              <w:contextualSpacing/>
              <w:jc w:val="center"/>
              <w:rPr>
                <w:sz w:val="22"/>
                <w:szCs w:val="22"/>
              </w:rPr>
            </w:pPr>
            <w:r>
              <w:rPr>
                <w:sz w:val="22"/>
                <w:szCs w:val="22"/>
              </w:rPr>
              <w:t>Modified</w:t>
            </w:r>
            <w:r w:rsidR="001440BC">
              <w:rPr>
                <w:sz w:val="22"/>
                <w:szCs w:val="22"/>
              </w:rPr>
              <w:t xml:space="preserve"> </w:t>
            </w:r>
            <w:r w:rsidR="00735678">
              <w:rPr>
                <w:sz w:val="22"/>
                <w:szCs w:val="22"/>
              </w:rPr>
              <w:t>T</w:t>
            </w:r>
            <w:r w:rsidR="001440BC">
              <w:rPr>
                <w:sz w:val="22"/>
                <w:szCs w:val="22"/>
              </w:rPr>
              <w:t>ree</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sz w:val="22"/>
                <w:szCs w:val="22"/>
              </w:rPr>
            </w:pPr>
            <w:r w:rsidRPr="00FE1B49">
              <w:rPr>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sz w:val="22"/>
                <w:szCs w:val="22"/>
              </w:rPr>
            </w:pPr>
            <w:r>
              <w:rPr>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sz w:val="22"/>
                <w:szCs w:val="22"/>
              </w:rPr>
            </w:pPr>
            <w:r>
              <w:rPr>
                <w:sz w:val="22"/>
                <w:szCs w:val="22"/>
              </w:rPr>
              <w:t>1.029163</w:t>
            </w:r>
          </w:p>
        </w:tc>
        <w:tc>
          <w:tcPr>
            <w:tcW w:w="1728" w:type="dxa"/>
            <w:gridSpan w:val="2"/>
            <w:tcBorders>
              <w:top w:val="nil"/>
              <w:left w:val="nil"/>
              <w:bottom w:val="nil"/>
              <w:right w:val="nil"/>
            </w:tcBorders>
            <w:vAlign w:val="center"/>
          </w:tcPr>
          <w:p w14:paraId="1BBB8BDF" w14:textId="5AF6462E" w:rsidR="00E568D8" w:rsidRPr="001440BC" w:rsidRDefault="00E568D8" w:rsidP="00563AA6">
            <w:pPr>
              <w:contextualSpacing/>
              <w:jc w:val="center"/>
              <w:rPr>
                <w:b/>
                <w:bCs/>
                <w:sz w:val="22"/>
                <w:szCs w:val="22"/>
              </w:rPr>
            </w:pPr>
            <w:r w:rsidRPr="001440BC">
              <w:rPr>
                <w:b/>
                <w:bCs/>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sz w:val="22"/>
                <w:szCs w:val="22"/>
              </w:rPr>
            </w:pPr>
            <w:r>
              <w:rPr>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sz w:val="22"/>
                <w:szCs w:val="22"/>
              </w:rPr>
            </w:pPr>
            <w:r w:rsidRPr="00FE1B49">
              <w:rPr>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sz w:val="22"/>
                <w:szCs w:val="22"/>
              </w:rPr>
            </w:pPr>
            <w:r>
              <w:rPr>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sz w:val="22"/>
                <w:szCs w:val="22"/>
              </w:rPr>
            </w:pPr>
            <w:r>
              <w:rPr>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sz w:val="22"/>
                <w:szCs w:val="22"/>
              </w:rPr>
            </w:pPr>
            <w:r>
              <w:rPr>
                <w:sz w:val="22"/>
                <w:szCs w:val="22"/>
              </w:rPr>
              <w:t>1.0922</w:t>
            </w:r>
          </w:p>
        </w:tc>
        <w:tc>
          <w:tcPr>
            <w:tcW w:w="1728" w:type="dxa"/>
            <w:tcBorders>
              <w:top w:val="nil"/>
              <w:left w:val="nil"/>
              <w:bottom w:val="nil"/>
              <w:right w:val="nil"/>
            </w:tcBorders>
            <w:vAlign w:val="center"/>
          </w:tcPr>
          <w:p w14:paraId="5BBC675D" w14:textId="72C34631" w:rsidR="00E568D8" w:rsidRPr="001440BC" w:rsidRDefault="00E568D8" w:rsidP="00563AA6">
            <w:pPr>
              <w:contextualSpacing/>
              <w:jc w:val="center"/>
              <w:rPr>
                <w:b/>
                <w:bCs/>
                <w:sz w:val="22"/>
                <w:szCs w:val="22"/>
              </w:rPr>
            </w:pPr>
            <w:r w:rsidRPr="001440BC">
              <w:rPr>
                <w:b/>
                <w:bCs/>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381C51F6" w:rsidR="00150FEF" w:rsidRPr="00150FEF" w:rsidRDefault="00150FEF" w:rsidP="00150FEF">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sidR="00DA365E">
              <w:rPr>
                <w:sz w:val="16"/>
                <w:szCs w:val="16"/>
              </w:rPr>
              <w:t xml:space="preserve">hybrid </w:t>
            </w:r>
            <w:r w:rsidRPr="00150FEF">
              <w:rPr>
                <w:sz w:val="16"/>
                <w:szCs w:val="16"/>
              </w:rPr>
              <w:t xml:space="preserve">tree which borrows the objective function from the base tree but predicts based on an AR(1) assumption, and the </w:t>
            </w:r>
            <w:r w:rsidR="00DA365E">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sidR="00FE72EF">
              <w:rPr>
                <w:sz w:val="16"/>
                <w:szCs w:val="16"/>
              </w:rPr>
              <w:t>, in a time series of 511 observations</w:t>
            </w:r>
            <w:r w:rsidRPr="00150FEF">
              <w:rPr>
                <w:sz w:val="16"/>
                <w:szCs w:val="16"/>
              </w:rPr>
              <w:t>.</w:t>
            </w:r>
            <w:r w:rsidR="00B2417F">
              <w:rPr>
                <w:sz w:val="16"/>
                <w:szCs w:val="16"/>
              </w:rPr>
              <w:t xml:space="preserve"> The lowest RMSE in each row is bolded.</w:t>
            </w:r>
          </w:p>
        </w:tc>
      </w:tr>
    </w:tbl>
    <w:p w14:paraId="419C60BC" w14:textId="77777777" w:rsidR="00DB69D2" w:rsidRPr="00CA7F90" w:rsidRDefault="00DB69D2" w:rsidP="00CA7F90">
      <w:pPr>
        <w:ind w:firstLine="720"/>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77777777"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64B043DF"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4D92D907" w:rsidR="00C94D0C" w:rsidRPr="007112B3" w:rsidRDefault="00B27186" w:rsidP="00AE233E">
            <w:pPr>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389CE69C" w:rsidR="00803DA3" w:rsidRDefault="00DD1625" w:rsidP="00DD1625">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p>
        </w:tc>
      </w:tr>
    </w:tbl>
    <w:p w14:paraId="3034F92C" w14:textId="10817347" w:rsidR="00D13B24" w:rsidRDefault="00D13B24"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3734DCA0" w:rsidR="00FC0585" w:rsidRDefault="00FC0585" w:rsidP="007E702C">
      <w:pPr>
        <w:ind w:firstLine="720"/>
        <w:jc w:val="both"/>
        <w:rPr>
          <w:sz w:val="22"/>
          <w:szCs w:val="22"/>
        </w:rPr>
      </w:pPr>
      <w:r>
        <w:rPr>
          <w:sz w:val="22"/>
          <w:szCs w:val="22"/>
        </w:rPr>
        <w:t xml:space="preserve">There are two ways to interpret the results shown above: first, the </w:t>
      </w:r>
      <w:r w:rsidR="00B27186">
        <w:rPr>
          <w:sz w:val="22"/>
          <w:szCs w:val="22"/>
        </w:rPr>
        <w:t>modified random forest</w:t>
      </w:r>
      <w:r>
        <w:rPr>
          <w:sz w:val="22"/>
          <w:szCs w:val="22"/>
        </w:rPr>
        <w:t xml:space="preserve"> outperforms the “base” random forest from Section 2; second, the </w:t>
      </w:r>
      <w:r w:rsidR="00B27186">
        <w:rPr>
          <w:sz w:val="22"/>
          <w:szCs w:val="22"/>
        </w:rPr>
        <w:t>modified random forest</w:t>
      </w:r>
      <w:r>
        <w:rPr>
          <w:sz w:val="22"/>
          <w:szCs w:val="22"/>
        </w:rPr>
        <w:t xml:space="preserve"> outperforms </w:t>
      </w:r>
      <w:r w:rsidR="00797595">
        <w:rPr>
          <w:sz w:val="22"/>
          <w:szCs w:val="22"/>
        </w:rPr>
        <w:t>an</w:t>
      </w:r>
      <w:r>
        <w:rPr>
          <w:sz w:val="22"/>
          <w:szCs w:val="22"/>
        </w:rPr>
        <w:t xml:space="preserve"> </w:t>
      </w:r>
      <w:r w:rsidR="00F761D4">
        <w:rPr>
          <w:sz w:val="22"/>
          <w:szCs w:val="22"/>
        </w:rPr>
        <w:t xml:space="preserve">ARIMA(AIC) </w:t>
      </w:r>
      <w:r w:rsidR="00797595">
        <w:rPr>
          <w:sz w:val="22"/>
          <w:szCs w:val="22"/>
        </w:rPr>
        <w:t>model</w:t>
      </w:r>
      <w:r>
        <w:rPr>
          <w:sz w:val="22"/>
          <w:szCs w:val="22"/>
        </w:rPr>
        <w:t>.</w:t>
      </w:r>
    </w:p>
    <w:p w14:paraId="35D4AC67" w14:textId="475B5BA8" w:rsidR="00133298" w:rsidRDefault="00C47D9B" w:rsidP="0085392C">
      <w:pPr>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5F9BBD8"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7E79FF7C"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990E50">
        <w:rPr>
          <w:sz w:val="22"/>
          <w:szCs w:val="22"/>
        </w:rPr>
        <w:t xml:space="preserve">How do the changes made to the modified random forest allow it to outperform the base forest? One answer 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t>
      </w:r>
      <w:r>
        <w:rPr>
          <w:sz w:val="22"/>
          <w:szCs w:val="22"/>
        </w:rPr>
        <w:lastRenderedPageBreak/>
        <w:t xml:space="preserve">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color w:val="000000"/>
                <w:sz w:val="18"/>
                <w:szCs w:val="18"/>
              </w:rPr>
            </w:pP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51DF408F" w:rsidR="00EA1953" w:rsidRDefault="006E1B10" w:rsidP="004D6D7E">
      <w:pPr>
        <w:ind w:firstLine="720"/>
        <w:jc w:val="both"/>
        <w:rPr>
          <w:sz w:val="22"/>
          <w:szCs w:val="22"/>
        </w:rPr>
      </w:pPr>
      <w:r>
        <w:rPr>
          <w:sz w:val="22"/>
          <w:szCs w:val="22"/>
        </w:rPr>
        <w:lastRenderedPageBreak/>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proofErr w:type="gramStart"/>
      <w:r w:rsidR="00C82A47">
        <w:rPr>
          <w:sz w:val="22"/>
          <w:szCs w:val="22"/>
        </w:rPr>
        <w:t>term</w:t>
      </w:r>
      <w:proofErr w:type="gramEnd"/>
      <w:r w:rsidR="00C82A47">
        <w:rPr>
          <w:sz w:val="22"/>
          <w:szCs w:val="22"/>
        </w:rPr>
        <w:t xml:space="preserve"> however, may not be so tightly correlated, and by default it will be the most likely to be selected. </w:t>
      </w:r>
    </w:p>
    <w:p w14:paraId="451235C9" w14:textId="018FE5BD"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performs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6057F664" w14:textId="77777777" w:rsidR="007E5BE4" w:rsidRDefault="0011585F" w:rsidP="0011585F">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sz w:val="22"/>
          <w:szCs w:val="22"/>
        </w:rPr>
      </w:pPr>
      <w:r>
        <w:rPr>
          <w:sz w:val="22"/>
          <w:szCs w:val="22"/>
        </w:rPr>
        <w:t xml:space="preserve">When the random forest both tells a different story than the ARIMA model </w:t>
      </w:r>
      <w:r>
        <w:rPr>
          <w:i/>
          <w:iCs/>
          <w:sz w:val="22"/>
          <w:szCs w:val="22"/>
        </w:rPr>
        <w:t xml:space="preserve">and </w:t>
      </w:r>
      <w:r>
        <w:rPr>
          <w:sz w:val="22"/>
          <w:szCs w:val="22"/>
        </w:rPr>
        <w:t>outperforms that model in actual forecasts, it suggests that the analysis which the forest suggests is worth exploring.</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w:t>
      </w:r>
      <w:r w:rsidR="0011585F">
        <w:rPr>
          <w:sz w:val="22"/>
          <w:szCs w:val="22"/>
        </w:rPr>
        <w:lastRenderedPageBreak/>
        <w:t xml:space="preserve">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 w:name="OLE_LINK2"/>
            <w:bookmarkStart w:id="2"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1"/>
      <w:bookmarkEnd w:id="2"/>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2D5EDF01" w:rsidR="00780449" w:rsidRPr="00780449" w:rsidRDefault="00780449" w:rsidP="00E90264">
      <w:pPr>
        <w:jc w:val="both"/>
        <w:rPr>
          <w:sz w:val="22"/>
          <w:szCs w:val="22"/>
        </w:rPr>
      </w:pPr>
      <w:r>
        <w:rPr>
          <w:sz w:val="22"/>
          <w:szCs w:val="22"/>
        </w:rPr>
        <w:t>All results are summarized in Table 5. Forecast performance is measured by RMSE.</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121510" w14:paraId="542C138A" w14:textId="77777777" w:rsidTr="00121510">
        <w:trPr>
          <w:gridAfter w:val="1"/>
          <w:wAfter w:w="107" w:type="dxa"/>
          <w:trHeight w:val="314"/>
        </w:trPr>
        <w:tc>
          <w:tcPr>
            <w:tcW w:w="90"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9058"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80" w:type="dxa"/>
            <w:gridSpan w:val="3"/>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121510">
        <w:trPr>
          <w:gridAfter w:val="1"/>
          <w:wAfter w:w="107" w:type="dxa"/>
          <w:trHeight w:val="270"/>
        </w:trPr>
        <w:tc>
          <w:tcPr>
            <w:tcW w:w="90"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9058" w:type="dxa"/>
            <w:gridSpan w:val="11"/>
            <w:tcBorders>
              <w:top w:val="nil"/>
              <w:left w:val="nil"/>
              <w:bottom w:val="nil"/>
              <w:right w:val="nil"/>
            </w:tcBorders>
          </w:tcPr>
          <w:p w14:paraId="3C9C28AF" w14:textId="77777777"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121510">
        <w:trPr>
          <w:gridAfter w:val="1"/>
          <w:wAfter w:w="107" w:type="dxa"/>
          <w:trHeight w:val="341"/>
        </w:trPr>
        <w:tc>
          <w:tcPr>
            <w:tcW w:w="90"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90"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8"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5220"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121510">
        <w:trPr>
          <w:gridAfter w:val="1"/>
          <w:wAfter w:w="107" w:type="dxa"/>
        </w:trPr>
        <w:tc>
          <w:tcPr>
            <w:tcW w:w="90"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90"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8"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1530" w:type="dxa"/>
            <w:tcBorders>
              <w:top w:val="nil"/>
              <w:left w:val="nil"/>
              <w:bottom w:val="single" w:sz="4" w:space="0" w:color="auto"/>
              <w:right w:val="single" w:sz="4" w:space="0" w:color="auto"/>
            </w:tcBorders>
            <w:vAlign w:val="center"/>
          </w:tcPr>
          <w:p w14:paraId="4F1578C5" w14:textId="77443888" w:rsidR="009479FD" w:rsidRPr="0065639D" w:rsidRDefault="00B27186" w:rsidP="009479FD">
            <w:pPr>
              <w:contextualSpacing/>
              <w:jc w:val="center"/>
              <w:rPr>
                <w:sz w:val="20"/>
                <w:szCs w:val="20"/>
              </w:rPr>
            </w:pPr>
            <w:r>
              <w:rPr>
                <w:sz w:val="20"/>
                <w:szCs w:val="20"/>
              </w:rPr>
              <w:t>Modified forest</w:t>
            </w:r>
          </w:p>
        </w:tc>
        <w:tc>
          <w:tcPr>
            <w:tcW w:w="922"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923" w:type="dxa"/>
            <w:gridSpan w:val="3"/>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922"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sz w:val="20"/>
                <w:szCs w:val="20"/>
              </w:rPr>
            </w:pPr>
            <w:r w:rsidRPr="0065639D">
              <w:rPr>
                <w:sz w:val="20"/>
                <w:szCs w:val="20"/>
              </w:rPr>
              <w:t>“Base” Forest</w:t>
            </w:r>
          </w:p>
        </w:tc>
        <w:tc>
          <w:tcPr>
            <w:tcW w:w="923" w:type="dxa"/>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0548B8" w14:paraId="39075761" w14:textId="77777777" w:rsidTr="00121510">
        <w:trPr>
          <w:gridAfter w:val="1"/>
          <w:wAfter w:w="107" w:type="dxa"/>
        </w:trPr>
        <w:tc>
          <w:tcPr>
            <w:tcW w:w="90" w:type="dxa"/>
            <w:tcBorders>
              <w:top w:val="nil"/>
              <w:left w:val="nil"/>
              <w:bottom w:val="nil"/>
              <w:right w:val="nil"/>
            </w:tcBorders>
          </w:tcPr>
          <w:p w14:paraId="06E66D0F" w14:textId="77777777" w:rsidR="009479FD" w:rsidRPr="00DB69D2" w:rsidRDefault="009479FD" w:rsidP="009479FD">
            <w:pPr>
              <w:contextualSpacing/>
              <w:jc w:val="both"/>
              <w:rPr>
                <w:b/>
                <w:bCs/>
                <w:sz w:val="22"/>
                <w:szCs w:val="22"/>
              </w:rPr>
            </w:pPr>
          </w:p>
        </w:tc>
        <w:tc>
          <w:tcPr>
            <w:tcW w:w="3690" w:type="dxa"/>
            <w:tcBorders>
              <w:top w:val="single" w:sz="4" w:space="0" w:color="auto"/>
              <w:left w:val="nil"/>
              <w:bottom w:val="nil"/>
              <w:right w:val="nil"/>
            </w:tcBorders>
            <w:vAlign w:val="center"/>
          </w:tcPr>
          <w:p w14:paraId="50F28F5F" w14:textId="77777777" w:rsidR="009479FD" w:rsidRPr="00502991" w:rsidRDefault="009479FD" w:rsidP="009479FD">
            <w:pPr>
              <w:contextualSpacing/>
              <w:jc w:val="right"/>
              <w:rPr>
                <w:i/>
                <w:iCs/>
                <w:sz w:val="18"/>
                <w:szCs w:val="18"/>
              </w:rPr>
            </w:pPr>
            <w:r w:rsidRPr="00502991">
              <w:rPr>
                <w:i/>
                <w:iCs/>
                <w:sz w:val="18"/>
                <w:szCs w:val="18"/>
              </w:rPr>
              <w:t xml:space="preserve">    1 month      </w:t>
            </w:r>
          </w:p>
        </w:tc>
        <w:tc>
          <w:tcPr>
            <w:tcW w:w="148" w:type="dxa"/>
            <w:tcBorders>
              <w:top w:val="nil"/>
              <w:left w:val="nil"/>
              <w:bottom w:val="nil"/>
              <w:right w:val="nil"/>
            </w:tcBorders>
          </w:tcPr>
          <w:p w14:paraId="04730ED3"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4D0C69ED" w14:textId="7F0E0648" w:rsidR="009479FD" w:rsidRPr="00CD4B2C" w:rsidRDefault="009479FD" w:rsidP="009479FD">
            <w:pPr>
              <w:contextualSpacing/>
              <w:jc w:val="center"/>
              <w:rPr>
                <w:b/>
                <w:bCs/>
                <w:sz w:val="18"/>
                <w:szCs w:val="18"/>
              </w:rPr>
            </w:pPr>
            <w:r w:rsidRPr="00CD4B2C">
              <w:rPr>
                <w:b/>
                <w:bCs/>
                <w:sz w:val="18"/>
                <w:szCs w:val="18"/>
              </w:rPr>
              <w:t>0.002673</w:t>
            </w:r>
            <w:r w:rsidR="00861C0B">
              <w:rPr>
                <w:b/>
                <w:bCs/>
                <w:sz w:val="18"/>
                <w:szCs w:val="18"/>
              </w:rPr>
              <w:t>2</w:t>
            </w:r>
          </w:p>
        </w:tc>
        <w:tc>
          <w:tcPr>
            <w:tcW w:w="922" w:type="dxa"/>
            <w:tcBorders>
              <w:top w:val="nil"/>
              <w:left w:val="single" w:sz="4" w:space="0" w:color="auto"/>
              <w:bottom w:val="nil"/>
              <w:right w:val="nil"/>
            </w:tcBorders>
            <w:vAlign w:val="center"/>
          </w:tcPr>
          <w:p w14:paraId="7048888E" w14:textId="6915D1E8" w:rsidR="009479FD" w:rsidRPr="000064A6" w:rsidRDefault="009479FD" w:rsidP="009479FD">
            <w:pPr>
              <w:contextualSpacing/>
              <w:jc w:val="center"/>
              <w:rPr>
                <w:sz w:val="18"/>
                <w:szCs w:val="18"/>
              </w:rPr>
            </w:pPr>
            <w:r w:rsidRPr="000064A6">
              <w:rPr>
                <w:sz w:val="18"/>
                <w:szCs w:val="18"/>
              </w:rPr>
              <w:t>0.002716</w:t>
            </w:r>
            <w:r>
              <w:rPr>
                <w:sz w:val="18"/>
                <w:szCs w:val="18"/>
              </w:rPr>
              <w:t>8</w:t>
            </w:r>
          </w:p>
        </w:tc>
        <w:tc>
          <w:tcPr>
            <w:tcW w:w="923" w:type="dxa"/>
            <w:gridSpan w:val="3"/>
            <w:tcBorders>
              <w:top w:val="nil"/>
              <w:left w:val="nil"/>
              <w:bottom w:val="nil"/>
              <w:right w:val="nil"/>
            </w:tcBorders>
            <w:vAlign w:val="center"/>
          </w:tcPr>
          <w:p w14:paraId="29AB9929" w14:textId="7C4A1CE2" w:rsidR="009479FD" w:rsidRPr="000064A6" w:rsidRDefault="009479FD" w:rsidP="009479FD">
            <w:pPr>
              <w:contextualSpacing/>
              <w:jc w:val="center"/>
              <w:rPr>
                <w:sz w:val="18"/>
                <w:szCs w:val="18"/>
              </w:rPr>
            </w:pPr>
            <w:r w:rsidRPr="000064A6">
              <w:rPr>
                <w:sz w:val="18"/>
                <w:szCs w:val="18"/>
              </w:rPr>
              <w:t>0.0027406</w:t>
            </w:r>
          </w:p>
        </w:tc>
        <w:tc>
          <w:tcPr>
            <w:tcW w:w="922" w:type="dxa"/>
            <w:gridSpan w:val="3"/>
            <w:tcBorders>
              <w:top w:val="nil"/>
              <w:left w:val="nil"/>
              <w:bottom w:val="nil"/>
              <w:right w:val="nil"/>
            </w:tcBorders>
            <w:vAlign w:val="center"/>
          </w:tcPr>
          <w:p w14:paraId="371F9130" w14:textId="4F571907" w:rsidR="009479FD" w:rsidRPr="000064A6" w:rsidRDefault="009479FD" w:rsidP="009479FD">
            <w:pPr>
              <w:contextualSpacing/>
              <w:jc w:val="center"/>
              <w:rPr>
                <w:sz w:val="18"/>
                <w:szCs w:val="18"/>
              </w:rPr>
            </w:pPr>
            <w:r w:rsidRPr="000064A6">
              <w:rPr>
                <w:sz w:val="18"/>
                <w:szCs w:val="18"/>
              </w:rPr>
              <w:t>0.0029361</w:t>
            </w:r>
          </w:p>
        </w:tc>
        <w:tc>
          <w:tcPr>
            <w:tcW w:w="923" w:type="dxa"/>
            <w:tcBorders>
              <w:top w:val="nil"/>
              <w:left w:val="nil"/>
              <w:bottom w:val="nil"/>
              <w:right w:val="nil"/>
            </w:tcBorders>
            <w:vAlign w:val="center"/>
          </w:tcPr>
          <w:p w14:paraId="5111A95D" w14:textId="6F0E4C61" w:rsidR="009479FD" w:rsidRPr="000064A6" w:rsidRDefault="009479FD" w:rsidP="009479FD">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2D9B4734" w14:textId="77777777" w:rsidR="009479FD" w:rsidRPr="007112B3" w:rsidRDefault="009479FD" w:rsidP="009479FD">
            <w:pPr>
              <w:contextualSpacing/>
              <w:jc w:val="center"/>
              <w:rPr>
                <w:sz w:val="22"/>
                <w:szCs w:val="22"/>
              </w:rPr>
            </w:pPr>
          </w:p>
        </w:tc>
      </w:tr>
      <w:tr w:rsidR="000548B8" w14:paraId="2063265B" w14:textId="77777777" w:rsidTr="00121510">
        <w:trPr>
          <w:gridAfter w:val="1"/>
          <w:wAfter w:w="107" w:type="dxa"/>
        </w:trPr>
        <w:tc>
          <w:tcPr>
            <w:tcW w:w="90" w:type="dxa"/>
            <w:tcBorders>
              <w:top w:val="nil"/>
              <w:left w:val="nil"/>
              <w:bottom w:val="nil"/>
              <w:right w:val="nil"/>
            </w:tcBorders>
          </w:tcPr>
          <w:p w14:paraId="69AFF4A2"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1E48E73C" w14:textId="77777777" w:rsidR="009479FD" w:rsidRPr="00502991" w:rsidRDefault="009479FD" w:rsidP="009479FD">
            <w:pPr>
              <w:contextualSpacing/>
              <w:jc w:val="right"/>
              <w:rPr>
                <w:i/>
                <w:iCs/>
                <w:sz w:val="18"/>
                <w:szCs w:val="18"/>
              </w:rPr>
            </w:pPr>
            <w:r w:rsidRPr="00502991">
              <w:rPr>
                <w:i/>
                <w:iCs/>
                <w:sz w:val="18"/>
                <w:szCs w:val="18"/>
              </w:rPr>
              <w:t>3 months</w:t>
            </w:r>
          </w:p>
        </w:tc>
        <w:tc>
          <w:tcPr>
            <w:tcW w:w="148" w:type="dxa"/>
            <w:tcBorders>
              <w:top w:val="nil"/>
              <w:left w:val="nil"/>
              <w:bottom w:val="nil"/>
              <w:right w:val="nil"/>
            </w:tcBorders>
          </w:tcPr>
          <w:p w14:paraId="6DDBB05A"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20095872" w14:textId="3C44532F" w:rsidR="009479FD" w:rsidRPr="000064A6" w:rsidRDefault="009479FD" w:rsidP="009479FD">
            <w:pPr>
              <w:contextualSpacing/>
              <w:jc w:val="center"/>
              <w:rPr>
                <w:sz w:val="18"/>
                <w:szCs w:val="18"/>
              </w:rPr>
            </w:pPr>
            <w:r w:rsidRPr="000064A6">
              <w:rPr>
                <w:sz w:val="18"/>
                <w:szCs w:val="18"/>
              </w:rPr>
              <w:t>0.0029903</w:t>
            </w:r>
          </w:p>
        </w:tc>
        <w:tc>
          <w:tcPr>
            <w:tcW w:w="922" w:type="dxa"/>
            <w:tcBorders>
              <w:top w:val="nil"/>
              <w:left w:val="single" w:sz="4" w:space="0" w:color="auto"/>
              <w:bottom w:val="nil"/>
              <w:right w:val="nil"/>
            </w:tcBorders>
            <w:vAlign w:val="center"/>
          </w:tcPr>
          <w:p w14:paraId="2192C8AF" w14:textId="22A6F039" w:rsidR="009479FD" w:rsidRPr="000064A6" w:rsidRDefault="009479FD" w:rsidP="009479FD">
            <w:pPr>
              <w:contextualSpacing/>
              <w:jc w:val="center"/>
              <w:rPr>
                <w:sz w:val="18"/>
                <w:szCs w:val="18"/>
              </w:rPr>
            </w:pPr>
            <w:r w:rsidRPr="000064A6">
              <w:rPr>
                <w:sz w:val="18"/>
                <w:szCs w:val="18"/>
              </w:rPr>
              <w:t>0.0030819</w:t>
            </w:r>
          </w:p>
        </w:tc>
        <w:tc>
          <w:tcPr>
            <w:tcW w:w="923" w:type="dxa"/>
            <w:gridSpan w:val="3"/>
            <w:tcBorders>
              <w:top w:val="nil"/>
              <w:left w:val="nil"/>
              <w:bottom w:val="nil"/>
              <w:right w:val="nil"/>
            </w:tcBorders>
            <w:vAlign w:val="center"/>
          </w:tcPr>
          <w:p w14:paraId="1729AF0E" w14:textId="77777777" w:rsidR="009479FD" w:rsidRPr="000064A6" w:rsidRDefault="009479FD" w:rsidP="009479FD">
            <w:pPr>
              <w:contextualSpacing/>
              <w:jc w:val="center"/>
              <w:rPr>
                <w:sz w:val="18"/>
                <w:szCs w:val="18"/>
              </w:rPr>
            </w:pPr>
            <w:r w:rsidRPr="000064A6">
              <w:rPr>
                <w:sz w:val="18"/>
                <w:szCs w:val="18"/>
              </w:rPr>
              <w:t>0.003189</w:t>
            </w:r>
            <w:r>
              <w:rPr>
                <w:sz w:val="18"/>
                <w:szCs w:val="18"/>
              </w:rPr>
              <w:t>8</w:t>
            </w:r>
          </w:p>
        </w:tc>
        <w:tc>
          <w:tcPr>
            <w:tcW w:w="922" w:type="dxa"/>
            <w:gridSpan w:val="3"/>
            <w:tcBorders>
              <w:top w:val="nil"/>
              <w:left w:val="nil"/>
              <w:bottom w:val="nil"/>
              <w:right w:val="nil"/>
            </w:tcBorders>
            <w:vAlign w:val="center"/>
          </w:tcPr>
          <w:p w14:paraId="352D5885" w14:textId="3C84D7C9" w:rsidR="009479FD" w:rsidRPr="000064A6" w:rsidRDefault="009479FD" w:rsidP="009479FD">
            <w:pPr>
              <w:contextualSpacing/>
              <w:jc w:val="center"/>
              <w:rPr>
                <w:b/>
                <w:bCs/>
                <w:sz w:val="18"/>
                <w:szCs w:val="18"/>
              </w:rPr>
            </w:pPr>
            <w:r w:rsidRPr="000064A6">
              <w:rPr>
                <w:b/>
                <w:bCs/>
                <w:sz w:val="18"/>
                <w:szCs w:val="18"/>
              </w:rPr>
              <w:t>0.002969</w:t>
            </w:r>
            <w:r>
              <w:rPr>
                <w:b/>
                <w:bCs/>
                <w:sz w:val="18"/>
                <w:szCs w:val="18"/>
              </w:rPr>
              <w:t>9</w:t>
            </w:r>
          </w:p>
        </w:tc>
        <w:tc>
          <w:tcPr>
            <w:tcW w:w="923" w:type="dxa"/>
            <w:tcBorders>
              <w:top w:val="nil"/>
              <w:left w:val="nil"/>
              <w:bottom w:val="nil"/>
              <w:right w:val="nil"/>
            </w:tcBorders>
            <w:vAlign w:val="center"/>
          </w:tcPr>
          <w:p w14:paraId="27A9B525" w14:textId="397C4275" w:rsidR="009479FD" w:rsidRPr="000064A6" w:rsidRDefault="009479FD" w:rsidP="009479FD">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34970337" w14:textId="77777777" w:rsidR="009479FD" w:rsidRDefault="009479FD" w:rsidP="009479FD">
            <w:pPr>
              <w:contextualSpacing/>
              <w:jc w:val="center"/>
              <w:rPr>
                <w:sz w:val="22"/>
                <w:szCs w:val="22"/>
              </w:rPr>
            </w:pPr>
          </w:p>
        </w:tc>
      </w:tr>
      <w:tr w:rsidR="000548B8" w14:paraId="7F35E874" w14:textId="77777777" w:rsidTr="00121510">
        <w:trPr>
          <w:gridAfter w:val="1"/>
          <w:wAfter w:w="107" w:type="dxa"/>
        </w:trPr>
        <w:tc>
          <w:tcPr>
            <w:tcW w:w="90" w:type="dxa"/>
            <w:tcBorders>
              <w:top w:val="nil"/>
              <w:left w:val="nil"/>
              <w:bottom w:val="nil"/>
              <w:right w:val="nil"/>
            </w:tcBorders>
          </w:tcPr>
          <w:p w14:paraId="16C32E94"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58DE9C1C" w14:textId="77777777" w:rsidR="009479FD" w:rsidRPr="00502991" w:rsidRDefault="009479FD" w:rsidP="009479FD">
            <w:pPr>
              <w:contextualSpacing/>
              <w:jc w:val="right"/>
              <w:rPr>
                <w:i/>
                <w:iCs/>
                <w:sz w:val="18"/>
                <w:szCs w:val="18"/>
              </w:rPr>
            </w:pPr>
            <w:r w:rsidRPr="00502991">
              <w:rPr>
                <w:i/>
                <w:iCs/>
                <w:sz w:val="18"/>
                <w:szCs w:val="18"/>
              </w:rPr>
              <w:t>6 months</w:t>
            </w:r>
          </w:p>
        </w:tc>
        <w:tc>
          <w:tcPr>
            <w:tcW w:w="148" w:type="dxa"/>
            <w:tcBorders>
              <w:top w:val="nil"/>
              <w:left w:val="nil"/>
              <w:bottom w:val="nil"/>
              <w:right w:val="nil"/>
            </w:tcBorders>
          </w:tcPr>
          <w:p w14:paraId="6F17CEC9"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7F64F571" w14:textId="4A816222" w:rsidR="009479FD" w:rsidRPr="00A51769" w:rsidRDefault="009479FD" w:rsidP="009479FD">
            <w:pPr>
              <w:contextualSpacing/>
              <w:jc w:val="center"/>
              <w:rPr>
                <w:b/>
                <w:bCs/>
                <w:sz w:val="18"/>
                <w:szCs w:val="18"/>
              </w:rPr>
            </w:pPr>
            <w:r w:rsidRPr="00A51769">
              <w:rPr>
                <w:b/>
                <w:bCs/>
                <w:sz w:val="18"/>
                <w:szCs w:val="18"/>
              </w:rPr>
              <w:t>0.0028885</w:t>
            </w:r>
          </w:p>
        </w:tc>
        <w:tc>
          <w:tcPr>
            <w:tcW w:w="922" w:type="dxa"/>
            <w:tcBorders>
              <w:top w:val="nil"/>
              <w:left w:val="single" w:sz="4" w:space="0" w:color="auto"/>
              <w:bottom w:val="nil"/>
              <w:right w:val="nil"/>
            </w:tcBorders>
            <w:vAlign w:val="center"/>
          </w:tcPr>
          <w:p w14:paraId="5F28FD24" w14:textId="77777777" w:rsidR="009479FD" w:rsidRPr="000064A6" w:rsidRDefault="009479FD" w:rsidP="009479FD">
            <w:pPr>
              <w:contextualSpacing/>
              <w:jc w:val="center"/>
              <w:rPr>
                <w:sz w:val="18"/>
                <w:szCs w:val="18"/>
              </w:rPr>
            </w:pPr>
            <w:r w:rsidRPr="000064A6">
              <w:rPr>
                <w:sz w:val="18"/>
                <w:szCs w:val="18"/>
              </w:rPr>
              <w:t>0.003029</w:t>
            </w:r>
            <w:r>
              <w:rPr>
                <w:sz w:val="18"/>
                <w:szCs w:val="18"/>
              </w:rPr>
              <w:t>6</w:t>
            </w:r>
          </w:p>
        </w:tc>
        <w:tc>
          <w:tcPr>
            <w:tcW w:w="923" w:type="dxa"/>
            <w:gridSpan w:val="3"/>
            <w:tcBorders>
              <w:top w:val="nil"/>
              <w:left w:val="nil"/>
              <w:bottom w:val="nil"/>
              <w:right w:val="nil"/>
            </w:tcBorders>
            <w:vAlign w:val="center"/>
          </w:tcPr>
          <w:p w14:paraId="4284291E" w14:textId="40FB1B10" w:rsidR="009479FD" w:rsidRPr="000064A6" w:rsidRDefault="009479FD" w:rsidP="009479FD">
            <w:pPr>
              <w:contextualSpacing/>
              <w:jc w:val="center"/>
              <w:rPr>
                <w:sz w:val="18"/>
                <w:szCs w:val="18"/>
              </w:rPr>
            </w:pPr>
            <w:r w:rsidRPr="000064A6">
              <w:rPr>
                <w:sz w:val="18"/>
                <w:szCs w:val="18"/>
              </w:rPr>
              <w:t>0.0031755</w:t>
            </w:r>
          </w:p>
        </w:tc>
        <w:tc>
          <w:tcPr>
            <w:tcW w:w="922" w:type="dxa"/>
            <w:gridSpan w:val="3"/>
            <w:tcBorders>
              <w:top w:val="nil"/>
              <w:left w:val="nil"/>
              <w:bottom w:val="nil"/>
              <w:right w:val="nil"/>
            </w:tcBorders>
            <w:vAlign w:val="center"/>
          </w:tcPr>
          <w:p w14:paraId="632A31F9" w14:textId="67568375" w:rsidR="009479FD" w:rsidRPr="000064A6" w:rsidRDefault="009479FD" w:rsidP="009479FD">
            <w:pPr>
              <w:contextualSpacing/>
              <w:jc w:val="center"/>
              <w:rPr>
                <w:sz w:val="18"/>
                <w:szCs w:val="18"/>
              </w:rPr>
            </w:pPr>
            <w:r w:rsidRPr="000064A6">
              <w:rPr>
                <w:sz w:val="18"/>
                <w:szCs w:val="18"/>
              </w:rPr>
              <w:t>0.002896</w:t>
            </w:r>
            <w:r>
              <w:rPr>
                <w:sz w:val="18"/>
                <w:szCs w:val="18"/>
              </w:rPr>
              <w:t>3</w:t>
            </w:r>
          </w:p>
        </w:tc>
        <w:tc>
          <w:tcPr>
            <w:tcW w:w="923" w:type="dxa"/>
            <w:tcBorders>
              <w:top w:val="nil"/>
              <w:left w:val="nil"/>
              <w:bottom w:val="nil"/>
              <w:right w:val="nil"/>
            </w:tcBorders>
            <w:vAlign w:val="center"/>
          </w:tcPr>
          <w:p w14:paraId="64CC01A2" w14:textId="77777777" w:rsidR="009479FD" w:rsidRPr="000064A6" w:rsidRDefault="009479FD" w:rsidP="009479FD">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01679E70" w14:textId="77777777" w:rsidR="009479FD" w:rsidRDefault="009479FD" w:rsidP="009479FD">
            <w:pPr>
              <w:contextualSpacing/>
              <w:jc w:val="center"/>
              <w:rPr>
                <w:sz w:val="22"/>
                <w:szCs w:val="22"/>
              </w:rPr>
            </w:pPr>
          </w:p>
        </w:tc>
      </w:tr>
      <w:tr w:rsidR="000548B8" w14:paraId="03165D73" w14:textId="77777777" w:rsidTr="00121510">
        <w:trPr>
          <w:gridAfter w:val="1"/>
          <w:wAfter w:w="107" w:type="dxa"/>
        </w:trPr>
        <w:tc>
          <w:tcPr>
            <w:tcW w:w="90" w:type="dxa"/>
            <w:tcBorders>
              <w:top w:val="nil"/>
              <w:left w:val="nil"/>
              <w:bottom w:val="nil"/>
              <w:right w:val="nil"/>
            </w:tcBorders>
          </w:tcPr>
          <w:p w14:paraId="5223AC11"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3D8CEC35" w14:textId="77777777" w:rsidR="009479FD" w:rsidRPr="00502991" w:rsidRDefault="009479FD" w:rsidP="009479FD">
            <w:pPr>
              <w:contextualSpacing/>
              <w:jc w:val="right"/>
              <w:rPr>
                <w:i/>
                <w:iCs/>
                <w:sz w:val="18"/>
                <w:szCs w:val="18"/>
              </w:rPr>
            </w:pPr>
            <w:r w:rsidRPr="00502991">
              <w:rPr>
                <w:i/>
                <w:iCs/>
                <w:sz w:val="18"/>
                <w:szCs w:val="18"/>
              </w:rPr>
              <w:t>12 months</w:t>
            </w:r>
          </w:p>
        </w:tc>
        <w:tc>
          <w:tcPr>
            <w:tcW w:w="148" w:type="dxa"/>
            <w:tcBorders>
              <w:top w:val="nil"/>
              <w:left w:val="nil"/>
              <w:bottom w:val="nil"/>
              <w:right w:val="nil"/>
            </w:tcBorders>
          </w:tcPr>
          <w:p w14:paraId="624E7389"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76B33724" w14:textId="1EB82F2A" w:rsidR="009479FD" w:rsidRPr="000064A6" w:rsidRDefault="009479FD" w:rsidP="009479FD">
            <w:pPr>
              <w:contextualSpacing/>
              <w:jc w:val="center"/>
              <w:rPr>
                <w:sz w:val="18"/>
                <w:szCs w:val="18"/>
              </w:rPr>
            </w:pPr>
            <w:r w:rsidRPr="000064A6">
              <w:rPr>
                <w:sz w:val="18"/>
                <w:szCs w:val="18"/>
              </w:rPr>
              <w:t>0.0030190</w:t>
            </w:r>
          </w:p>
        </w:tc>
        <w:tc>
          <w:tcPr>
            <w:tcW w:w="922" w:type="dxa"/>
            <w:tcBorders>
              <w:top w:val="nil"/>
              <w:left w:val="single" w:sz="4" w:space="0" w:color="auto"/>
              <w:bottom w:val="nil"/>
              <w:right w:val="nil"/>
            </w:tcBorders>
            <w:vAlign w:val="center"/>
          </w:tcPr>
          <w:p w14:paraId="54576141" w14:textId="424315C5" w:rsidR="009479FD" w:rsidRPr="000064A6" w:rsidRDefault="009479FD" w:rsidP="009479FD">
            <w:pPr>
              <w:contextualSpacing/>
              <w:jc w:val="center"/>
              <w:rPr>
                <w:sz w:val="18"/>
                <w:szCs w:val="18"/>
              </w:rPr>
            </w:pPr>
            <w:r w:rsidRPr="000064A6">
              <w:rPr>
                <w:sz w:val="18"/>
                <w:szCs w:val="18"/>
              </w:rPr>
              <w:t>0.003033</w:t>
            </w:r>
            <w:r>
              <w:rPr>
                <w:sz w:val="18"/>
                <w:szCs w:val="18"/>
              </w:rPr>
              <w:t>2</w:t>
            </w:r>
          </w:p>
        </w:tc>
        <w:tc>
          <w:tcPr>
            <w:tcW w:w="923" w:type="dxa"/>
            <w:gridSpan w:val="3"/>
            <w:tcBorders>
              <w:top w:val="nil"/>
              <w:left w:val="nil"/>
              <w:bottom w:val="nil"/>
              <w:right w:val="nil"/>
            </w:tcBorders>
            <w:vAlign w:val="center"/>
          </w:tcPr>
          <w:p w14:paraId="373ADA26" w14:textId="5B6807AB" w:rsidR="009479FD" w:rsidRPr="000064A6" w:rsidRDefault="009479FD" w:rsidP="009479FD">
            <w:pPr>
              <w:contextualSpacing/>
              <w:jc w:val="center"/>
              <w:rPr>
                <w:sz w:val="18"/>
                <w:szCs w:val="18"/>
              </w:rPr>
            </w:pPr>
            <w:r w:rsidRPr="000064A6">
              <w:rPr>
                <w:sz w:val="18"/>
                <w:szCs w:val="18"/>
              </w:rPr>
              <w:t>0.0032122</w:t>
            </w:r>
          </w:p>
        </w:tc>
        <w:tc>
          <w:tcPr>
            <w:tcW w:w="922" w:type="dxa"/>
            <w:gridSpan w:val="3"/>
            <w:tcBorders>
              <w:top w:val="nil"/>
              <w:left w:val="nil"/>
              <w:bottom w:val="nil"/>
              <w:right w:val="nil"/>
            </w:tcBorders>
            <w:vAlign w:val="center"/>
          </w:tcPr>
          <w:p w14:paraId="67CFADFB" w14:textId="37A5EE00" w:rsidR="009479FD" w:rsidRPr="000064A6" w:rsidRDefault="009479FD" w:rsidP="009479FD">
            <w:pPr>
              <w:contextualSpacing/>
              <w:jc w:val="center"/>
              <w:rPr>
                <w:b/>
                <w:bCs/>
                <w:sz w:val="18"/>
                <w:szCs w:val="18"/>
              </w:rPr>
            </w:pPr>
            <w:r w:rsidRPr="000064A6">
              <w:rPr>
                <w:b/>
                <w:bCs/>
                <w:sz w:val="18"/>
                <w:szCs w:val="18"/>
              </w:rPr>
              <w:t>0.002932</w:t>
            </w:r>
            <w:r>
              <w:rPr>
                <w:b/>
                <w:bCs/>
                <w:sz w:val="18"/>
                <w:szCs w:val="18"/>
              </w:rPr>
              <w:t>8</w:t>
            </w:r>
          </w:p>
        </w:tc>
        <w:tc>
          <w:tcPr>
            <w:tcW w:w="923" w:type="dxa"/>
            <w:tcBorders>
              <w:top w:val="nil"/>
              <w:left w:val="nil"/>
              <w:bottom w:val="nil"/>
              <w:right w:val="nil"/>
            </w:tcBorders>
            <w:vAlign w:val="center"/>
          </w:tcPr>
          <w:p w14:paraId="25526FA5" w14:textId="2CE1F343" w:rsidR="009479FD" w:rsidRPr="000064A6" w:rsidRDefault="009479FD" w:rsidP="009479FD">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6691D146" w14:textId="77777777" w:rsidR="009479FD" w:rsidRDefault="009479FD" w:rsidP="009479FD">
            <w:pPr>
              <w:contextualSpacing/>
              <w:jc w:val="center"/>
              <w:rPr>
                <w:sz w:val="22"/>
                <w:szCs w:val="22"/>
              </w:rPr>
            </w:pPr>
          </w:p>
        </w:tc>
      </w:tr>
      <w:tr w:rsidR="000548B8" w14:paraId="35D3154A" w14:textId="77777777" w:rsidTr="00121510">
        <w:trPr>
          <w:gridAfter w:val="1"/>
          <w:wAfter w:w="107" w:type="dxa"/>
        </w:trPr>
        <w:tc>
          <w:tcPr>
            <w:tcW w:w="90"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90"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8"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1530" w:type="dxa"/>
            <w:tcBorders>
              <w:top w:val="nil"/>
              <w:left w:val="nil"/>
              <w:bottom w:val="single" w:sz="4" w:space="0" w:color="auto"/>
              <w:right w:val="nil"/>
            </w:tcBorders>
            <w:vAlign w:val="center"/>
          </w:tcPr>
          <w:p w14:paraId="74A6964B" w14:textId="77777777" w:rsidR="009479FD" w:rsidRPr="00B917B8" w:rsidRDefault="009479FD" w:rsidP="009479FD">
            <w:pPr>
              <w:contextualSpacing/>
              <w:jc w:val="center"/>
              <w:rPr>
                <w:sz w:val="18"/>
                <w:szCs w:val="18"/>
              </w:rPr>
            </w:pPr>
          </w:p>
        </w:tc>
        <w:tc>
          <w:tcPr>
            <w:tcW w:w="922" w:type="dxa"/>
            <w:tcBorders>
              <w:top w:val="nil"/>
              <w:left w:val="nil"/>
              <w:bottom w:val="single" w:sz="4" w:space="0" w:color="auto"/>
              <w:right w:val="nil"/>
            </w:tcBorders>
            <w:vAlign w:val="center"/>
          </w:tcPr>
          <w:p w14:paraId="35E0C0B2" w14:textId="77777777" w:rsidR="009479FD" w:rsidRPr="00B917B8" w:rsidRDefault="009479FD" w:rsidP="009479FD">
            <w:pPr>
              <w:contextualSpacing/>
              <w:jc w:val="center"/>
              <w:rPr>
                <w:sz w:val="18"/>
                <w:szCs w:val="18"/>
              </w:rPr>
            </w:pPr>
          </w:p>
        </w:tc>
        <w:tc>
          <w:tcPr>
            <w:tcW w:w="923" w:type="dxa"/>
            <w:gridSpan w:val="3"/>
            <w:tcBorders>
              <w:top w:val="nil"/>
              <w:left w:val="nil"/>
              <w:bottom w:val="single" w:sz="4" w:space="0" w:color="auto"/>
              <w:right w:val="nil"/>
            </w:tcBorders>
            <w:vAlign w:val="center"/>
          </w:tcPr>
          <w:p w14:paraId="0A4D337A" w14:textId="77777777" w:rsidR="009479FD" w:rsidRPr="00B917B8" w:rsidRDefault="009479FD" w:rsidP="009479FD">
            <w:pPr>
              <w:contextualSpacing/>
              <w:jc w:val="center"/>
              <w:rPr>
                <w:sz w:val="18"/>
                <w:szCs w:val="18"/>
              </w:rPr>
            </w:pPr>
          </w:p>
        </w:tc>
        <w:tc>
          <w:tcPr>
            <w:tcW w:w="922" w:type="dxa"/>
            <w:gridSpan w:val="3"/>
            <w:tcBorders>
              <w:top w:val="nil"/>
              <w:left w:val="nil"/>
              <w:bottom w:val="single" w:sz="4" w:space="0" w:color="auto"/>
              <w:right w:val="nil"/>
            </w:tcBorders>
            <w:vAlign w:val="center"/>
          </w:tcPr>
          <w:p w14:paraId="4EBC7562" w14:textId="77777777" w:rsidR="009479FD" w:rsidRPr="00B917B8" w:rsidRDefault="009479FD" w:rsidP="009479FD">
            <w:pPr>
              <w:contextualSpacing/>
              <w:jc w:val="center"/>
              <w:rPr>
                <w:sz w:val="18"/>
                <w:szCs w:val="18"/>
              </w:rPr>
            </w:pPr>
          </w:p>
        </w:tc>
        <w:tc>
          <w:tcPr>
            <w:tcW w:w="923" w:type="dxa"/>
            <w:tcBorders>
              <w:top w:val="nil"/>
              <w:left w:val="nil"/>
              <w:bottom w:val="single" w:sz="4" w:space="0" w:color="auto"/>
              <w:right w:val="nil"/>
            </w:tcBorders>
            <w:vAlign w:val="center"/>
          </w:tcPr>
          <w:p w14:paraId="2EF014EF" w14:textId="77777777" w:rsidR="009479FD" w:rsidRPr="00B917B8" w:rsidRDefault="009479FD" w:rsidP="009479FD">
            <w:pPr>
              <w:contextualSpacing/>
              <w:jc w:val="center"/>
              <w:rPr>
                <w:sz w:val="18"/>
                <w:szCs w:val="18"/>
              </w:rPr>
            </w:pPr>
          </w:p>
        </w:tc>
        <w:tc>
          <w:tcPr>
            <w:tcW w:w="180" w:type="dxa"/>
            <w:gridSpan w:val="3"/>
            <w:tcBorders>
              <w:top w:val="nil"/>
              <w:left w:val="nil"/>
              <w:bottom w:val="nil"/>
              <w:right w:val="nil"/>
            </w:tcBorders>
          </w:tcPr>
          <w:p w14:paraId="4B5FD09E" w14:textId="77777777" w:rsidR="009479FD" w:rsidRDefault="009479FD" w:rsidP="009479FD">
            <w:pPr>
              <w:contextualSpacing/>
              <w:jc w:val="center"/>
              <w:rPr>
                <w:sz w:val="22"/>
                <w:szCs w:val="22"/>
              </w:rPr>
            </w:pPr>
          </w:p>
        </w:tc>
      </w:tr>
      <w:tr w:rsidR="000548B8" w14:paraId="1723E26F" w14:textId="77777777" w:rsidTr="00121510">
        <w:trPr>
          <w:gridAfter w:val="1"/>
          <w:wAfter w:w="107" w:type="dxa"/>
        </w:trPr>
        <w:tc>
          <w:tcPr>
            <w:tcW w:w="90" w:type="dxa"/>
            <w:tcBorders>
              <w:top w:val="nil"/>
              <w:left w:val="nil"/>
              <w:bottom w:val="nil"/>
              <w:right w:val="nil"/>
            </w:tcBorders>
          </w:tcPr>
          <w:p w14:paraId="7DE49431" w14:textId="77777777" w:rsidR="009479FD" w:rsidRPr="00FE1B49" w:rsidRDefault="009479FD" w:rsidP="009479FD">
            <w:pPr>
              <w:contextualSpacing/>
              <w:jc w:val="both"/>
              <w:rPr>
                <w:sz w:val="22"/>
                <w:szCs w:val="22"/>
              </w:rPr>
            </w:pPr>
          </w:p>
        </w:tc>
        <w:tc>
          <w:tcPr>
            <w:tcW w:w="3690" w:type="dxa"/>
            <w:tcBorders>
              <w:top w:val="single" w:sz="4" w:space="0" w:color="auto"/>
              <w:left w:val="nil"/>
              <w:bottom w:val="nil"/>
              <w:right w:val="nil"/>
            </w:tcBorders>
            <w:vAlign w:val="center"/>
          </w:tcPr>
          <w:p w14:paraId="4516139C" w14:textId="77777777" w:rsidR="009479FD" w:rsidRPr="00502991" w:rsidRDefault="009479FD" w:rsidP="009479FD">
            <w:pPr>
              <w:contextualSpacing/>
              <w:jc w:val="right"/>
              <w:rPr>
                <w:i/>
                <w:iCs/>
                <w:sz w:val="18"/>
                <w:szCs w:val="18"/>
              </w:rPr>
            </w:pPr>
            <w:r w:rsidRPr="00502991">
              <w:rPr>
                <w:i/>
                <w:iCs/>
                <w:sz w:val="18"/>
                <w:szCs w:val="18"/>
              </w:rPr>
              <w:t>US unemployment, Jan 1990 – Jan 2000</w:t>
            </w:r>
          </w:p>
        </w:tc>
        <w:tc>
          <w:tcPr>
            <w:tcW w:w="148" w:type="dxa"/>
            <w:tcBorders>
              <w:top w:val="nil"/>
              <w:left w:val="nil"/>
              <w:bottom w:val="nil"/>
              <w:right w:val="nil"/>
            </w:tcBorders>
          </w:tcPr>
          <w:p w14:paraId="7AFB3297" w14:textId="77777777" w:rsidR="009479FD" w:rsidRDefault="009479FD" w:rsidP="009479FD">
            <w:pPr>
              <w:contextualSpacing/>
              <w:jc w:val="center"/>
              <w:rPr>
                <w:sz w:val="22"/>
                <w:szCs w:val="22"/>
              </w:rPr>
            </w:pPr>
          </w:p>
        </w:tc>
        <w:tc>
          <w:tcPr>
            <w:tcW w:w="1530" w:type="dxa"/>
            <w:tcBorders>
              <w:top w:val="single" w:sz="4" w:space="0" w:color="auto"/>
              <w:left w:val="nil"/>
              <w:bottom w:val="nil"/>
              <w:right w:val="single" w:sz="4" w:space="0" w:color="auto"/>
            </w:tcBorders>
            <w:vAlign w:val="center"/>
          </w:tcPr>
          <w:p w14:paraId="11D0D2C7" w14:textId="77777777" w:rsidR="009479FD" w:rsidRPr="00B2081F" w:rsidRDefault="009479FD" w:rsidP="009479FD">
            <w:pPr>
              <w:contextualSpacing/>
              <w:jc w:val="center"/>
              <w:rPr>
                <w:sz w:val="18"/>
                <w:szCs w:val="18"/>
              </w:rPr>
            </w:pPr>
            <w:r w:rsidRPr="00B2081F">
              <w:rPr>
                <w:sz w:val="18"/>
                <w:szCs w:val="18"/>
              </w:rPr>
              <w:t>0.1412112</w:t>
            </w:r>
          </w:p>
        </w:tc>
        <w:tc>
          <w:tcPr>
            <w:tcW w:w="922" w:type="dxa"/>
            <w:tcBorders>
              <w:top w:val="single" w:sz="4" w:space="0" w:color="auto"/>
              <w:left w:val="single" w:sz="4" w:space="0" w:color="auto"/>
              <w:bottom w:val="nil"/>
              <w:right w:val="nil"/>
            </w:tcBorders>
            <w:vAlign w:val="center"/>
          </w:tcPr>
          <w:p w14:paraId="1332E2F4" w14:textId="77777777" w:rsidR="009479FD" w:rsidRPr="00B2081F" w:rsidRDefault="009479FD" w:rsidP="009479FD">
            <w:pPr>
              <w:contextualSpacing/>
              <w:jc w:val="center"/>
              <w:rPr>
                <w:b/>
                <w:bCs/>
                <w:sz w:val="18"/>
                <w:szCs w:val="18"/>
              </w:rPr>
            </w:pPr>
            <w:r w:rsidRPr="00B2081F">
              <w:rPr>
                <w:b/>
                <w:bCs/>
                <w:sz w:val="18"/>
                <w:szCs w:val="18"/>
              </w:rPr>
              <w:t>0.134985</w:t>
            </w:r>
          </w:p>
        </w:tc>
        <w:tc>
          <w:tcPr>
            <w:tcW w:w="923" w:type="dxa"/>
            <w:gridSpan w:val="3"/>
            <w:tcBorders>
              <w:top w:val="single" w:sz="4" w:space="0" w:color="auto"/>
              <w:left w:val="nil"/>
              <w:bottom w:val="nil"/>
              <w:right w:val="nil"/>
            </w:tcBorders>
            <w:vAlign w:val="center"/>
          </w:tcPr>
          <w:p w14:paraId="22396922" w14:textId="77777777" w:rsidR="009479FD" w:rsidRPr="00B2081F" w:rsidRDefault="009479FD" w:rsidP="009479FD">
            <w:pPr>
              <w:contextualSpacing/>
              <w:jc w:val="center"/>
              <w:rPr>
                <w:sz w:val="18"/>
                <w:szCs w:val="18"/>
              </w:rPr>
            </w:pPr>
            <w:r w:rsidRPr="00B2081F">
              <w:rPr>
                <w:sz w:val="18"/>
                <w:szCs w:val="18"/>
              </w:rPr>
              <w:t>0.1426769</w:t>
            </w:r>
          </w:p>
        </w:tc>
        <w:tc>
          <w:tcPr>
            <w:tcW w:w="922" w:type="dxa"/>
            <w:gridSpan w:val="3"/>
            <w:tcBorders>
              <w:top w:val="single" w:sz="4" w:space="0" w:color="auto"/>
              <w:left w:val="nil"/>
              <w:bottom w:val="nil"/>
              <w:right w:val="nil"/>
            </w:tcBorders>
            <w:vAlign w:val="center"/>
          </w:tcPr>
          <w:p w14:paraId="0F830390" w14:textId="77777777" w:rsidR="009479FD" w:rsidRPr="00B2081F" w:rsidRDefault="009479FD" w:rsidP="009479FD">
            <w:pPr>
              <w:contextualSpacing/>
              <w:jc w:val="center"/>
              <w:rPr>
                <w:sz w:val="18"/>
                <w:szCs w:val="18"/>
              </w:rPr>
            </w:pPr>
            <w:r w:rsidRPr="00B2081F">
              <w:rPr>
                <w:sz w:val="18"/>
                <w:szCs w:val="18"/>
              </w:rPr>
              <w:t>0.1404471</w:t>
            </w:r>
          </w:p>
        </w:tc>
        <w:tc>
          <w:tcPr>
            <w:tcW w:w="923" w:type="dxa"/>
            <w:tcBorders>
              <w:top w:val="single" w:sz="4" w:space="0" w:color="auto"/>
              <w:left w:val="nil"/>
              <w:bottom w:val="nil"/>
              <w:right w:val="nil"/>
            </w:tcBorders>
            <w:vAlign w:val="center"/>
          </w:tcPr>
          <w:p w14:paraId="302C665B" w14:textId="77777777" w:rsidR="009479FD" w:rsidRPr="00B2081F" w:rsidRDefault="009479FD" w:rsidP="009479FD">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325F8FFE" w14:textId="77777777" w:rsidR="009479FD" w:rsidRDefault="009479FD" w:rsidP="009479FD">
            <w:pPr>
              <w:contextualSpacing/>
              <w:jc w:val="center"/>
              <w:rPr>
                <w:sz w:val="22"/>
                <w:szCs w:val="22"/>
              </w:rPr>
            </w:pPr>
          </w:p>
        </w:tc>
      </w:tr>
      <w:tr w:rsidR="000548B8" w14:paraId="48B1322B" w14:textId="77777777" w:rsidTr="00121510">
        <w:trPr>
          <w:gridAfter w:val="1"/>
          <w:wAfter w:w="107" w:type="dxa"/>
        </w:trPr>
        <w:tc>
          <w:tcPr>
            <w:tcW w:w="90" w:type="dxa"/>
            <w:tcBorders>
              <w:top w:val="nil"/>
              <w:left w:val="nil"/>
              <w:bottom w:val="nil"/>
              <w:right w:val="nil"/>
            </w:tcBorders>
          </w:tcPr>
          <w:p w14:paraId="56B28A06"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1A65EFE2" w14:textId="77777777" w:rsidR="009479FD" w:rsidRPr="00502991" w:rsidRDefault="009479FD" w:rsidP="009479FD">
            <w:pPr>
              <w:contextualSpacing/>
              <w:jc w:val="right"/>
              <w:rPr>
                <w:i/>
                <w:iCs/>
                <w:sz w:val="18"/>
                <w:szCs w:val="18"/>
              </w:rPr>
            </w:pPr>
            <w:r w:rsidRPr="00502991">
              <w:rPr>
                <w:i/>
                <w:iCs/>
                <w:sz w:val="18"/>
                <w:szCs w:val="18"/>
              </w:rPr>
              <w:t>US 3-month Treasury rate, Jan 1985 – Jan 1995</w:t>
            </w:r>
          </w:p>
        </w:tc>
        <w:tc>
          <w:tcPr>
            <w:tcW w:w="148" w:type="dxa"/>
            <w:tcBorders>
              <w:top w:val="nil"/>
              <w:left w:val="nil"/>
              <w:bottom w:val="nil"/>
              <w:right w:val="nil"/>
            </w:tcBorders>
          </w:tcPr>
          <w:p w14:paraId="53B07390"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334E3993" w14:textId="77777777" w:rsidR="009479FD" w:rsidRPr="00F77E30" w:rsidRDefault="009479FD" w:rsidP="009479FD">
            <w:pPr>
              <w:contextualSpacing/>
              <w:jc w:val="center"/>
              <w:rPr>
                <w:b/>
                <w:bCs/>
                <w:sz w:val="18"/>
                <w:szCs w:val="18"/>
              </w:rPr>
            </w:pPr>
            <w:r w:rsidRPr="00F77E30">
              <w:rPr>
                <w:b/>
                <w:bCs/>
                <w:sz w:val="18"/>
                <w:szCs w:val="18"/>
              </w:rPr>
              <w:t>0.2084125</w:t>
            </w:r>
          </w:p>
        </w:tc>
        <w:tc>
          <w:tcPr>
            <w:tcW w:w="922" w:type="dxa"/>
            <w:tcBorders>
              <w:top w:val="nil"/>
              <w:left w:val="single" w:sz="4" w:space="0" w:color="auto"/>
              <w:bottom w:val="nil"/>
              <w:right w:val="nil"/>
            </w:tcBorders>
            <w:vAlign w:val="center"/>
          </w:tcPr>
          <w:p w14:paraId="5B038335" w14:textId="14E0F65E" w:rsidR="009479FD" w:rsidRPr="00F77E30" w:rsidRDefault="009479FD" w:rsidP="009479FD">
            <w:pPr>
              <w:contextualSpacing/>
              <w:jc w:val="center"/>
              <w:rPr>
                <w:sz w:val="18"/>
                <w:szCs w:val="18"/>
              </w:rPr>
            </w:pPr>
            <w:r w:rsidRPr="00F77E30">
              <w:rPr>
                <w:sz w:val="18"/>
                <w:szCs w:val="18"/>
              </w:rPr>
              <w:t>0.22266</w:t>
            </w:r>
            <w:r>
              <w:rPr>
                <w:sz w:val="18"/>
                <w:szCs w:val="18"/>
              </w:rPr>
              <w:t>9</w:t>
            </w:r>
          </w:p>
        </w:tc>
        <w:tc>
          <w:tcPr>
            <w:tcW w:w="923" w:type="dxa"/>
            <w:gridSpan w:val="3"/>
            <w:tcBorders>
              <w:top w:val="nil"/>
              <w:left w:val="nil"/>
              <w:bottom w:val="nil"/>
              <w:right w:val="nil"/>
            </w:tcBorders>
            <w:vAlign w:val="center"/>
          </w:tcPr>
          <w:p w14:paraId="30CD7B0C" w14:textId="77777777" w:rsidR="009479FD" w:rsidRPr="00F77E30" w:rsidRDefault="009479FD" w:rsidP="009479FD">
            <w:pPr>
              <w:contextualSpacing/>
              <w:jc w:val="center"/>
              <w:rPr>
                <w:sz w:val="18"/>
                <w:szCs w:val="18"/>
              </w:rPr>
            </w:pPr>
            <w:r w:rsidRPr="00F77E30">
              <w:rPr>
                <w:sz w:val="18"/>
                <w:szCs w:val="18"/>
              </w:rPr>
              <w:t>0.2091016</w:t>
            </w:r>
          </w:p>
        </w:tc>
        <w:tc>
          <w:tcPr>
            <w:tcW w:w="922" w:type="dxa"/>
            <w:gridSpan w:val="3"/>
            <w:tcBorders>
              <w:top w:val="nil"/>
              <w:left w:val="nil"/>
              <w:bottom w:val="nil"/>
              <w:right w:val="nil"/>
            </w:tcBorders>
            <w:vAlign w:val="center"/>
          </w:tcPr>
          <w:p w14:paraId="55F63953" w14:textId="77777777" w:rsidR="009479FD" w:rsidRPr="00F77E30" w:rsidRDefault="009479FD" w:rsidP="009479FD">
            <w:pPr>
              <w:contextualSpacing/>
              <w:jc w:val="center"/>
              <w:rPr>
                <w:sz w:val="18"/>
                <w:szCs w:val="18"/>
              </w:rPr>
            </w:pPr>
            <w:r w:rsidRPr="00F77E30">
              <w:rPr>
                <w:sz w:val="18"/>
                <w:szCs w:val="18"/>
              </w:rPr>
              <w:t>0.2344242</w:t>
            </w:r>
          </w:p>
        </w:tc>
        <w:tc>
          <w:tcPr>
            <w:tcW w:w="923" w:type="dxa"/>
            <w:tcBorders>
              <w:top w:val="nil"/>
              <w:left w:val="nil"/>
              <w:bottom w:val="nil"/>
              <w:right w:val="nil"/>
            </w:tcBorders>
            <w:vAlign w:val="center"/>
          </w:tcPr>
          <w:p w14:paraId="6202074F" w14:textId="77777777" w:rsidR="009479FD" w:rsidRPr="00F77E30" w:rsidRDefault="009479FD" w:rsidP="009479FD">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2DF3998" w14:textId="77777777" w:rsidR="009479FD" w:rsidRDefault="009479FD" w:rsidP="009479FD">
            <w:pPr>
              <w:contextualSpacing/>
              <w:jc w:val="center"/>
              <w:rPr>
                <w:sz w:val="22"/>
                <w:szCs w:val="22"/>
              </w:rPr>
            </w:pPr>
          </w:p>
        </w:tc>
      </w:tr>
      <w:tr w:rsidR="000548B8" w14:paraId="2AFF6EF4" w14:textId="77777777" w:rsidTr="00121510">
        <w:trPr>
          <w:gridAfter w:val="1"/>
          <w:wAfter w:w="107" w:type="dxa"/>
        </w:trPr>
        <w:tc>
          <w:tcPr>
            <w:tcW w:w="90" w:type="dxa"/>
            <w:tcBorders>
              <w:top w:val="nil"/>
              <w:left w:val="nil"/>
              <w:bottom w:val="nil"/>
              <w:right w:val="nil"/>
            </w:tcBorders>
          </w:tcPr>
          <w:p w14:paraId="50DE6D12"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000B2708" w14:textId="77777777" w:rsidR="009479FD" w:rsidRPr="00502991" w:rsidRDefault="009479FD" w:rsidP="009479FD">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8" w:type="dxa"/>
            <w:tcBorders>
              <w:top w:val="nil"/>
              <w:left w:val="nil"/>
              <w:bottom w:val="nil"/>
              <w:right w:val="nil"/>
            </w:tcBorders>
          </w:tcPr>
          <w:p w14:paraId="46E50911" w14:textId="77777777" w:rsidR="009479FD" w:rsidRDefault="009479FD" w:rsidP="009479FD">
            <w:pPr>
              <w:contextualSpacing/>
              <w:jc w:val="center"/>
              <w:rPr>
                <w:sz w:val="22"/>
                <w:szCs w:val="22"/>
              </w:rPr>
            </w:pPr>
          </w:p>
        </w:tc>
        <w:tc>
          <w:tcPr>
            <w:tcW w:w="1530" w:type="dxa"/>
            <w:tcBorders>
              <w:top w:val="nil"/>
              <w:left w:val="nil"/>
              <w:bottom w:val="nil"/>
              <w:right w:val="single" w:sz="4" w:space="0" w:color="auto"/>
            </w:tcBorders>
            <w:vAlign w:val="center"/>
          </w:tcPr>
          <w:p w14:paraId="5B999CA1" w14:textId="168DBFC6" w:rsidR="009479FD" w:rsidRPr="0038422E" w:rsidRDefault="009479FD" w:rsidP="009479FD">
            <w:pPr>
              <w:contextualSpacing/>
              <w:jc w:val="center"/>
              <w:rPr>
                <w:sz w:val="18"/>
                <w:szCs w:val="18"/>
              </w:rPr>
            </w:pPr>
            <w:r w:rsidRPr="0038422E">
              <w:rPr>
                <w:sz w:val="18"/>
                <w:szCs w:val="18"/>
              </w:rPr>
              <w:t>0.002480</w:t>
            </w:r>
            <w:r w:rsidR="00A24BAB">
              <w:rPr>
                <w:sz w:val="18"/>
                <w:szCs w:val="18"/>
              </w:rPr>
              <w:t>1</w:t>
            </w:r>
          </w:p>
        </w:tc>
        <w:tc>
          <w:tcPr>
            <w:tcW w:w="922" w:type="dxa"/>
            <w:tcBorders>
              <w:top w:val="nil"/>
              <w:left w:val="single" w:sz="4" w:space="0" w:color="auto"/>
              <w:bottom w:val="nil"/>
              <w:right w:val="nil"/>
            </w:tcBorders>
            <w:vAlign w:val="center"/>
          </w:tcPr>
          <w:p w14:paraId="2F1AB098" w14:textId="1A61D015" w:rsidR="009479FD" w:rsidRPr="0038422E" w:rsidRDefault="009479FD" w:rsidP="009479FD">
            <w:pPr>
              <w:contextualSpacing/>
              <w:jc w:val="center"/>
              <w:rPr>
                <w:b/>
                <w:bCs/>
                <w:sz w:val="18"/>
                <w:szCs w:val="18"/>
              </w:rPr>
            </w:pPr>
            <w:r w:rsidRPr="0038422E">
              <w:rPr>
                <w:b/>
                <w:bCs/>
                <w:sz w:val="18"/>
                <w:szCs w:val="18"/>
              </w:rPr>
              <w:t>0.001302</w:t>
            </w:r>
          </w:p>
        </w:tc>
        <w:tc>
          <w:tcPr>
            <w:tcW w:w="923" w:type="dxa"/>
            <w:gridSpan w:val="3"/>
            <w:tcBorders>
              <w:top w:val="nil"/>
              <w:left w:val="nil"/>
              <w:bottom w:val="nil"/>
              <w:right w:val="nil"/>
            </w:tcBorders>
            <w:vAlign w:val="center"/>
          </w:tcPr>
          <w:p w14:paraId="2DF58479" w14:textId="450D9A1B" w:rsidR="009479FD" w:rsidRPr="0038422E" w:rsidRDefault="009479FD" w:rsidP="009479FD">
            <w:pPr>
              <w:contextualSpacing/>
              <w:jc w:val="center"/>
              <w:rPr>
                <w:sz w:val="18"/>
                <w:szCs w:val="18"/>
              </w:rPr>
            </w:pPr>
            <w:r w:rsidRPr="0038422E">
              <w:rPr>
                <w:sz w:val="18"/>
                <w:szCs w:val="18"/>
              </w:rPr>
              <w:t>0.0028711</w:t>
            </w:r>
          </w:p>
        </w:tc>
        <w:tc>
          <w:tcPr>
            <w:tcW w:w="922" w:type="dxa"/>
            <w:gridSpan w:val="3"/>
            <w:tcBorders>
              <w:top w:val="nil"/>
              <w:left w:val="nil"/>
              <w:bottom w:val="nil"/>
              <w:right w:val="nil"/>
            </w:tcBorders>
            <w:vAlign w:val="center"/>
          </w:tcPr>
          <w:p w14:paraId="3EE7D3D9" w14:textId="4D820552" w:rsidR="009479FD" w:rsidRPr="0038422E" w:rsidRDefault="009479FD" w:rsidP="009479FD">
            <w:pPr>
              <w:contextualSpacing/>
              <w:jc w:val="center"/>
              <w:rPr>
                <w:sz w:val="18"/>
                <w:szCs w:val="18"/>
              </w:rPr>
            </w:pPr>
            <w:r w:rsidRPr="0038422E">
              <w:rPr>
                <w:sz w:val="18"/>
                <w:szCs w:val="18"/>
              </w:rPr>
              <w:t>0.002490</w:t>
            </w:r>
            <w:r>
              <w:rPr>
                <w:sz w:val="18"/>
                <w:szCs w:val="18"/>
              </w:rPr>
              <w:t>9</w:t>
            </w:r>
          </w:p>
        </w:tc>
        <w:tc>
          <w:tcPr>
            <w:tcW w:w="923" w:type="dxa"/>
            <w:tcBorders>
              <w:top w:val="nil"/>
              <w:left w:val="nil"/>
              <w:bottom w:val="nil"/>
              <w:right w:val="nil"/>
            </w:tcBorders>
            <w:vAlign w:val="center"/>
          </w:tcPr>
          <w:p w14:paraId="5EB70705" w14:textId="1012F7C7" w:rsidR="009479FD" w:rsidRPr="0038422E" w:rsidRDefault="009479FD" w:rsidP="009479FD">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2E9526D4" w14:textId="77777777" w:rsidR="009479FD" w:rsidRDefault="009479FD" w:rsidP="009479FD">
            <w:pPr>
              <w:contextualSpacing/>
              <w:jc w:val="center"/>
              <w:rPr>
                <w:sz w:val="22"/>
                <w:szCs w:val="22"/>
              </w:rPr>
            </w:pPr>
          </w:p>
        </w:tc>
      </w:tr>
      <w:tr w:rsidR="00121510" w14:paraId="6C608DD5" w14:textId="77777777" w:rsidTr="00121510">
        <w:tc>
          <w:tcPr>
            <w:tcW w:w="90"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90"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8"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1530"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281" w:type="dxa"/>
            <w:gridSpan w:val="3"/>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12"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1212" w:type="dxa"/>
            <w:gridSpan w:val="3"/>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36" w:type="dxa"/>
            <w:gridSpan w:val="2"/>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121510">
        <w:trPr>
          <w:gridAfter w:val="1"/>
          <w:wAfter w:w="107" w:type="dxa"/>
        </w:trPr>
        <w:tc>
          <w:tcPr>
            <w:tcW w:w="90"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90"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8"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1530" w:type="dxa"/>
            <w:tcBorders>
              <w:top w:val="nil"/>
              <w:left w:val="nil"/>
              <w:bottom w:val="single" w:sz="4" w:space="0" w:color="auto"/>
              <w:right w:val="single" w:sz="4" w:space="0" w:color="auto"/>
            </w:tcBorders>
            <w:vAlign w:val="center"/>
          </w:tcPr>
          <w:p w14:paraId="1E5ED4BE" w14:textId="308D55B8" w:rsidR="009479FD" w:rsidRPr="00CD4B2C" w:rsidRDefault="00B27186" w:rsidP="009479FD">
            <w:pPr>
              <w:contextualSpacing/>
              <w:jc w:val="center"/>
              <w:rPr>
                <w:sz w:val="20"/>
                <w:szCs w:val="20"/>
              </w:rPr>
            </w:pPr>
            <w:r>
              <w:rPr>
                <w:sz w:val="20"/>
                <w:szCs w:val="20"/>
              </w:rPr>
              <w:t>Modified forest</w:t>
            </w:r>
          </w:p>
        </w:tc>
        <w:tc>
          <w:tcPr>
            <w:tcW w:w="123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23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sz w:val="20"/>
                <w:szCs w:val="20"/>
              </w:rPr>
            </w:pPr>
            <w:r w:rsidRPr="00CD4B2C">
              <w:rPr>
                <w:sz w:val="20"/>
                <w:szCs w:val="20"/>
              </w:rPr>
              <w:t>“Base” forest</w:t>
            </w:r>
          </w:p>
        </w:tc>
        <w:tc>
          <w:tcPr>
            <w:tcW w:w="123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369C6E28" w14:textId="77777777" w:rsidR="009479FD" w:rsidRDefault="009479FD" w:rsidP="009479FD">
            <w:pPr>
              <w:contextualSpacing/>
              <w:jc w:val="center"/>
              <w:rPr>
                <w:sz w:val="22"/>
                <w:szCs w:val="22"/>
              </w:rPr>
            </w:pPr>
          </w:p>
        </w:tc>
      </w:tr>
      <w:tr w:rsidR="001920E8" w14:paraId="309B2F1D" w14:textId="77777777" w:rsidTr="00121510">
        <w:trPr>
          <w:gridAfter w:val="1"/>
          <w:wAfter w:w="107" w:type="dxa"/>
        </w:trPr>
        <w:tc>
          <w:tcPr>
            <w:tcW w:w="90" w:type="dxa"/>
            <w:tcBorders>
              <w:top w:val="nil"/>
              <w:left w:val="nil"/>
              <w:bottom w:val="nil"/>
              <w:right w:val="nil"/>
            </w:tcBorders>
          </w:tcPr>
          <w:p w14:paraId="2C56CC55" w14:textId="77777777" w:rsidR="009479FD" w:rsidRPr="00FE1B49" w:rsidRDefault="009479FD" w:rsidP="009479FD">
            <w:pPr>
              <w:contextualSpacing/>
              <w:jc w:val="both"/>
              <w:rPr>
                <w:sz w:val="22"/>
                <w:szCs w:val="22"/>
              </w:rPr>
            </w:pPr>
          </w:p>
        </w:tc>
        <w:tc>
          <w:tcPr>
            <w:tcW w:w="3690" w:type="dxa"/>
            <w:tcBorders>
              <w:top w:val="single" w:sz="4" w:space="0" w:color="auto"/>
              <w:left w:val="nil"/>
              <w:bottom w:val="nil"/>
              <w:right w:val="nil"/>
            </w:tcBorders>
            <w:vAlign w:val="center"/>
          </w:tcPr>
          <w:p w14:paraId="18E9A95B" w14:textId="77777777" w:rsidR="009479FD" w:rsidRPr="00502991" w:rsidRDefault="009479FD" w:rsidP="009479FD">
            <w:pPr>
              <w:contextualSpacing/>
              <w:jc w:val="right"/>
              <w:rPr>
                <w:i/>
                <w:iCs/>
                <w:sz w:val="18"/>
                <w:szCs w:val="18"/>
              </w:rPr>
            </w:pPr>
            <w:r>
              <w:rPr>
                <w:i/>
                <w:iCs/>
                <w:sz w:val="18"/>
                <w:szCs w:val="18"/>
              </w:rPr>
              <w:t>Predicted from Jan 1999 – Jan 2020</w:t>
            </w:r>
          </w:p>
        </w:tc>
        <w:tc>
          <w:tcPr>
            <w:tcW w:w="148" w:type="dxa"/>
            <w:tcBorders>
              <w:top w:val="nil"/>
              <w:left w:val="nil"/>
              <w:bottom w:val="nil"/>
              <w:right w:val="nil"/>
            </w:tcBorders>
          </w:tcPr>
          <w:p w14:paraId="5712BEAE" w14:textId="77777777" w:rsidR="009479FD" w:rsidRDefault="009479FD" w:rsidP="009479FD">
            <w:pPr>
              <w:contextualSpacing/>
              <w:jc w:val="center"/>
              <w:rPr>
                <w:sz w:val="22"/>
                <w:szCs w:val="22"/>
              </w:rPr>
            </w:pPr>
          </w:p>
        </w:tc>
        <w:tc>
          <w:tcPr>
            <w:tcW w:w="1530" w:type="dxa"/>
            <w:tcBorders>
              <w:top w:val="single" w:sz="4" w:space="0" w:color="auto"/>
              <w:left w:val="nil"/>
              <w:bottom w:val="nil"/>
              <w:right w:val="single" w:sz="4" w:space="0" w:color="auto"/>
            </w:tcBorders>
            <w:vAlign w:val="center"/>
          </w:tcPr>
          <w:p w14:paraId="052A0303" w14:textId="27E4A01A" w:rsidR="009479FD" w:rsidRPr="00514EB4" w:rsidRDefault="009479FD" w:rsidP="009479FD">
            <w:pPr>
              <w:contextualSpacing/>
              <w:jc w:val="center"/>
              <w:rPr>
                <w:sz w:val="18"/>
                <w:szCs w:val="18"/>
              </w:rPr>
            </w:pPr>
            <w:r w:rsidRPr="00514EB4">
              <w:rPr>
                <w:sz w:val="18"/>
                <w:szCs w:val="18"/>
              </w:rPr>
              <w:t>0.002690</w:t>
            </w:r>
            <w:r w:rsidR="00861C0B">
              <w:rPr>
                <w:sz w:val="18"/>
                <w:szCs w:val="18"/>
              </w:rPr>
              <w:t>5</w:t>
            </w:r>
          </w:p>
        </w:tc>
        <w:tc>
          <w:tcPr>
            <w:tcW w:w="1230" w:type="dxa"/>
            <w:gridSpan w:val="2"/>
            <w:tcBorders>
              <w:top w:val="single" w:sz="4" w:space="0" w:color="auto"/>
              <w:left w:val="single" w:sz="4" w:space="0" w:color="auto"/>
              <w:bottom w:val="nil"/>
              <w:right w:val="nil"/>
            </w:tcBorders>
            <w:vAlign w:val="center"/>
          </w:tcPr>
          <w:p w14:paraId="37C24FD9" w14:textId="4E8B64CD" w:rsidR="009479FD" w:rsidRPr="00514EB4" w:rsidRDefault="009479FD" w:rsidP="009479FD">
            <w:pPr>
              <w:contextualSpacing/>
              <w:jc w:val="center"/>
              <w:rPr>
                <w:b/>
                <w:bCs/>
                <w:sz w:val="18"/>
                <w:szCs w:val="18"/>
              </w:rPr>
            </w:pPr>
            <w:r w:rsidRPr="00514EB4">
              <w:rPr>
                <w:b/>
                <w:bCs/>
                <w:sz w:val="18"/>
                <w:szCs w:val="18"/>
              </w:rPr>
              <w:t>0.002097</w:t>
            </w:r>
            <w:r w:rsidR="00861C0B">
              <w:rPr>
                <w:b/>
                <w:bCs/>
                <w:sz w:val="18"/>
                <w:szCs w:val="18"/>
              </w:rPr>
              <w:t>9</w:t>
            </w:r>
          </w:p>
        </w:tc>
        <w:tc>
          <w:tcPr>
            <w:tcW w:w="1230" w:type="dxa"/>
            <w:gridSpan w:val="3"/>
            <w:tcBorders>
              <w:top w:val="single" w:sz="4" w:space="0" w:color="auto"/>
              <w:left w:val="nil"/>
              <w:bottom w:val="nil"/>
              <w:right w:val="nil"/>
            </w:tcBorders>
            <w:vAlign w:val="center"/>
          </w:tcPr>
          <w:p w14:paraId="347E15CB" w14:textId="68E86AEC" w:rsidR="009479FD" w:rsidRPr="00514EB4" w:rsidRDefault="009479FD" w:rsidP="009479FD">
            <w:pPr>
              <w:contextualSpacing/>
              <w:jc w:val="center"/>
              <w:rPr>
                <w:sz w:val="18"/>
                <w:szCs w:val="18"/>
              </w:rPr>
            </w:pPr>
            <w:r w:rsidRPr="00514EB4">
              <w:rPr>
                <w:sz w:val="18"/>
                <w:szCs w:val="18"/>
              </w:rPr>
              <w:t>0.002863</w:t>
            </w:r>
            <w:r w:rsidR="00861C0B">
              <w:rPr>
                <w:sz w:val="18"/>
                <w:szCs w:val="18"/>
              </w:rPr>
              <w:t>3</w:t>
            </w:r>
          </w:p>
        </w:tc>
        <w:tc>
          <w:tcPr>
            <w:tcW w:w="1230" w:type="dxa"/>
            <w:gridSpan w:val="3"/>
            <w:tcBorders>
              <w:top w:val="single" w:sz="4" w:space="0" w:color="auto"/>
              <w:left w:val="nil"/>
              <w:bottom w:val="nil"/>
              <w:right w:val="nil"/>
            </w:tcBorders>
            <w:vAlign w:val="center"/>
          </w:tcPr>
          <w:p w14:paraId="6416DE0B" w14:textId="2FE13ED1" w:rsidR="009479FD" w:rsidRPr="00514EB4" w:rsidRDefault="009479FD" w:rsidP="009479FD">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5C5128E8" w14:textId="77777777" w:rsidR="009479FD" w:rsidRDefault="009479FD" w:rsidP="009479FD">
            <w:pPr>
              <w:contextualSpacing/>
              <w:jc w:val="center"/>
              <w:rPr>
                <w:sz w:val="22"/>
                <w:szCs w:val="22"/>
              </w:rPr>
            </w:pPr>
          </w:p>
        </w:tc>
      </w:tr>
      <w:tr w:rsidR="009479FD" w14:paraId="47ED0118" w14:textId="77777777" w:rsidTr="00121510">
        <w:trPr>
          <w:gridAfter w:val="1"/>
          <w:wAfter w:w="107" w:type="dxa"/>
          <w:trHeight w:val="252"/>
        </w:trPr>
        <w:tc>
          <w:tcPr>
            <w:tcW w:w="9328" w:type="dxa"/>
            <w:gridSpan w:val="15"/>
            <w:tcBorders>
              <w:top w:val="single" w:sz="18" w:space="0" w:color="auto"/>
              <w:left w:val="nil"/>
              <w:bottom w:val="nil"/>
              <w:right w:val="nil"/>
            </w:tcBorders>
          </w:tcPr>
          <w:p w14:paraId="4C6B356A" w14:textId="161453C7" w:rsidR="009479FD" w:rsidRDefault="009479FD" w:rsidP="009479FD">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p>
        </w:tc>
      </w:tr>
    </w:tbl>
    <w:p w14:paraId="7652B888" w14:textId="647F1800"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751C73C7"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different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7530C73B" w:rsidR="00B64C5E" w:rsidRPr="00FD3F6F" w:rsidRDefault="00BC6098" w:rsidP="00204E06">
      <w:pPr>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w:t>
      </w:r>
      <w:r w:rsidR="004654E0">
        <w:rPr>
          <w:sz w:val="22"/>
          <w:szCs w:val="22"/>
        </w:rPr>
        <w:lastRenderedPageBreak/>
        <w:t xml:space="preserve">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4D87959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The good news is that the 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 in the context of the 3-month Treasury rate. The bad news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F44B613"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and open the door to a new world of time-series forecasting.</w:t>
      </w:r>
      <w:r w:rsidR="00916A2A">
        <w:rPr>
          <w:sz w:val="22"/>
          <w:szCs w:val="22"/>
        </w:rPr>
        <w:t xml:space="preserve"> </w:t>
      </w:r>
    </w:p>
    <w:p w14:paraId="37748478" w14:textId="0C0AC0E5" w:rsidR="00DD41CA" w:rsidRPr="00BC7E31" w:rsidRDefault="00DD41CA" w:rsidP="007B4FE5">
      <w:pPr>
        <w:spacing w:after="160"/>
      </w:pPr>
    </w:p>
    <w:p w14:paraId="1396C7BE" w14:textId="07C49D0E" w:rsidR="00DD41CA" w:rsidRDefault="00DD41CA" w:rsidP="007B4FE5">
      <w:pPr>
        <w:spacing w:after="160"/>
      </w:pPr>
    </w:p>
    <w:p w14:paraId="1CC9D50A" w14:textId="05FEA7E5" w:rsidR="0055468E" w:rsidRDefault="0055468E" w:rsidP="007B4FE5">
      <w:pPr>
        <w:spacing w:after="160"/>
      </w:pPr>
    </w:p>
    <w:p w14:paraId="157BA5B4" w14:textId="4390B5FE" w:rsidR="0055468E" w:rsidRDefault="0055468E" w:rsidP="007B4FE5">
      <w:pPr>
        <w:spacing w:after="160"/>
      </w:pPr>
    </w:p>
    <w:p w14:paraId="21A2B5AE" w14:textId="7A2096F8" w:rsidR="0055468E" w:rsidRDefault="0055468E" w:rsidP="007B4FE5">
      <w:pPr>
        <w:spacing w:after="160"/>
      </w:pPr>
    </w:p>
    <w:p w14:paraId="4F4CA23A" w14:textId="49F867E8" w:rsidR="0055468E" w:rsidRDefault="0055468E" w:rsidP="007B4FE5">
      <w:pPr>
        <w:spacing w:after="160"/>
      </w:pPr>
    </w:p>
    <w:p w14:paraId="59B70B24" w14:textId="5E335871" w:rsidR="0055468E" w:rsidRDefault="0055468E" w:rsidP="007B4FE5">
      <w:pPr>
        <w:spacing w:after="160"/>
      </w:pPr>
    </w:p>
    <w:p w14:paraId="72D4C442" w14:textId="677A16AE" w:rsidR="0055468E" w:rsidRDefault="0055468E" w:rsidP="007B4FE5">
      <w:pPr>
        <w:spacing w:after="160"/>
      </w:pPr>
    </w:p>
    <w:p w14:paraId="51C4F10B" w14:textId="0B60190D" w:rsidR="0055468E" w:rsidRDefault="0055468E" w:rsidP="007B4FE5">
      <w:pPr>
        <w:spacing w:after="160"/>
      </w:pPr>
    </w:p>
    <w:p w14:paraId="00ADCA57" w14:textId="26380B14" w:rsidR="0055468E" w:rsidRDefault="0055468E" w:rsidP="007B4FE5">
      <w:pPr>
        <w:spacing w:after="160"/>
      </w:pPr>
    </w:p>
    <w:p w14:paraId="4F0DBCD5" w14:textId="5D12100E" w:rsidR="0055468E" w:rsidRDefault="0055468E" w:rsidP="007B4FE5">
      <w:pPr>
        <w:spacing w:after="160"/>
      </w:pPr>
    </w:p>
    <w:p w14:paraId="18FED4FC" w14:textId="033D909B" w:rsidR="0055468E" w:rsidRDefault="0055468E" w:rsidP="007B4FE5">
      <w:pPr>
        <w:spacing w:after="160"/>
      </w:pPr>
    </w:p>
    <w:p w14:paraId="6BE1419A" w14:textId="3B9EB319" w:rsidR="0055468E" w:rsidRDefault="0055468E" w:rsidP="007B4FE5">
      <w:pPr>
        <w:spacing w:after="160"/>
      </w:pPr>
    </w:p>
    <w:p w14:paraId="5249A41E" w14:textId="6E29EB29" w:rsidR="0055468E" w:rsidRDefault="0055468E" w:rsidP="007B4FE5">
      <w:pPr>
        <w:spacing w:after="160"/>
      </w:pPr>
    </w:p>
    <w:p w14:paraId="592F830C" w14:textId="0EC346A5" w:rsidR="0055468E" w:rsidRDefault="0055468E" w:rsidP="007B4FE5">
      <w:pPr>
        <w:spacing w:after="160"/>
      </w:pPr>
    </w:p>
    <w:p w14:paraId="7479CEE7" w14:textId="00035F25" w:rsidR="0055468E" w:rsidRDefault="0055468E" w:rsidP="007B4FE5">
      <w:pPr>
        <w:spacing w:after="160"/>
      </w:pPr>
    </w:p>
    <w:p w14:paraId="1C65BF39" w14:textId="0665AAB4" w:rsidR="0055468E" w:rsidRDefault="0055468E" w:rsidP="007B4FE5">
      <w:pPr>
        <w:spacing w:after="160"/>
      </w:pPr>
    </w:p>
    <w:p w14:paraId="05527726" w14:textId="47B1AE08" w:rsidR="0055468E" w:rsidRDefault="0055468E" w:rsidP="007B4FE5">
      <w:pPr>
        <w:spacing w:after="160"/>
      </w:pPr>
    </w:p>
    <w:p w14:paraId="066E341A" w14:textId="7BBDC3EA" w:rsidR="0055468E" w:rsidRDefault="0055468E" w:rsidP="007B4FE5">
      <w:pPr>
        <w:spacing w:after="160"/>
      </w:pPr>
    </w:p>
    <w:p w14:paraId="3A11DCF9" w14:textId="5A5704C3" w:rsidR="0008593F" w:rsidRDefault="0008593F" w:rsidP="007B4FE5">
      <w:pPr>
        <w:spacing w:after="160"/>
      </w:pPr>
    </w:p>
    <w:p w14:paraId="575E918B" w14:textId="62026021" w:rsidR="0008593F" w:rsidRDefault="0008593F" w:rsidP="007B4FE5">
      <w:pPr>
        <w:spacing w:after="160"/>
      </w:pPr>
    </w:p>
    <w:p w14:paraId="102EBBA4" w14:textId="6BE13A66" w:rsidR="0008593F" w:rsidRDefault="0008593F" w:rsidP="007B4FE5">
      <w:pPr>
        <w:spacing w:after="160"/>
      </w:pPr>
    </w:p>
    <w:p w14:paraId="3A8A4142" w14:textId="77777777" w:rsidR="0008593F" w:rsidRDefault="0008593F" w:rsidP="007B4FE5">
      <w:pPr>
        <w:spacing w:after="160"/>
      </w:pPr>
    </w:p>
    <w:p w14:paraId="1A67AA48" w14:textId="15FC4CBF" w:rsidR="0055468E" w:rsidRDefault="0055468E" w:rsidP="007B4FE5">
      <w:pPr>
        <w:spacing w:after="160"/>
      </w:pPr>
    </w:p>
    <w:p w14:paraId="0B1904E5" w14:textId="59DD7FEF" w:rsidR="0055468E" w:rsidRDefault="0055468E" w:rsidP="007B4FE5">
      <w:pPr>
        <w:spacing w:after="160"/>
      </w:pPr>
    </w:p>
    <w:p w14:paraId="2181DD40" w14:textId="0E11A989" w:rsidR="0055468E" w:rsidRDefault="0055468E" w:rsidP="007B4FE5">
      <w:pPr>
        <w:spacing w:after="160"/>
      </w:pPr>
    </w:p>
    <w:p w14:paraId="56A1929B" w14:textId="77777777" w:rsidR="0055468E" w:rsidRPr="00BC7E31" w:rsidRDefault="0055468E"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lastRenderedPageBreak/>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“Package ‘</w:t>
      </w:r>
      <w:proofErr w:type="spellStart"/>
      <w:r w:rsidRPr="00712F2D">
        <w:rPr>
          <w:sz w:val="22"/>
          <w:szCs w:val="22"/>
        </w:rPr>
        <w:t>randomForest</w:t>
      </w:r>
      <w:proofErr w:type="spellEnd"/>
      <w:r w:rsidRPr="00712F2D">
        <w:rPr>
          <w:sz w:val="22"/>
          <w:szCs w:val="22"/>
        </w:rPr>
        <w:t xml:space="preserve">’.”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 xml:space="preserve">Tin Kam Ho, "Random decision forests," Proceedings of 3rd International Conference on Document Analysis and Recognition, Montreal, Quebec, Canada, 1995, pp. 278-282 vol.1, </w:t>
      </w:r>
      <w:proofErr w:type="spellStart"/>
      <w:r w:rsidRPr="00D13695">
        <w:rPr>
          <w:sz w:val="22"/>
          <w:szCs w:val="22"/>
        </w:rPr>
        <w:t>doi</w:t>
      </w:r>
      <w:proofErr w:type="spellEnd"/>
      <w:r w:rsidRPr="00D13695">
        <w:rPr>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1"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2"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3" w:history="1">
        <w:r w:rsidR="00716298">
          <w:rPr>
            <w:rStyle w:val="Hyperlink"/>
          </w:rPr>
          <w:t>CPIH INDEX 00: ALL ITEMS 2015=100 - Office for National Statistics (ons.gov.uk)</w:t>
        </w:r>
      </w:hyperlink>
    </w:p>
    <w:p w14:paraId="4DD390D5" w14:textId="5F05B187" w:rsidR="008443D9" w:rsidRDefault="00716298" w:rsidP="007B4FE5">
      <w:pPr>
        <w:spacing w:after="160"/>
      </w:pPr>
      <w:r>
        <w:lastRenderedPageBreak/>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1A737721" w14:textId="5AADF644" w:rsidR="00646E9B" w:rsidRDefault="00646E9B" w:rsidP="007B4FE5">
      <w:pPr>
        <w:spacing w:after="160"/>
      </w:pPr>
    </w:p>
    <w:p w14:paraId="5ECD8144" w14:textId="0CE5037E" w:rsidR="00646E9B" w:rsidRDefault="00646E9B" w:rsidP="007B4FE5">
      <w:pPr>
        <w:spacing w:after="160"/>
      </w:pPr>
    </w:p>
    <w:p w14:paraId="48C3C0EE" w14:textId="35500861" w:rsidR="00646E9B" w:rsidRDefault="00646E9B" w:rsidP="007B4FE5">
      <w:pPr>
        <w:spacing w:after="160"/>
      </w:pPr>
    </w:p>
    <w:p w14:paraId="5A5E3725" w14:textId="6B767256" w:rsidR="00E81942" w:rsidRDefault="00E81942" w:rsidP="007B4FE5">
      <w:pPr>
        <w:spacing w:after="160"/>
      </w:pPr>
    </w:p>
    <w:p w14:paraId="3A0D3CA9" w14:textId="77777777" w:rsidR="00E81942" w:rsidRDefault="00E81942" w:rsidP="007B4FE5">
      <w:pPr>
        <w:spacing w:after="160"/>
      </w:pPr>
    </w:p>
    <w:p w14:paraId="04EA93D9" w14:textId="363693C5" w:rsidR="00DB7CE5" w:rsidRDefault="00DB7CE5" w:rsidP="007B4FE5">
      <w:pPr>
        <w:spacing w:after="160"/>
      </w:pPr>
    </w:p>
    <w:p w14:paraId="66CFBF49" w14:textId="14256492" w:rsidR="00DB7CE5" w:rsidRDefault="00465522" w:rsidP="007B4FE5">
      <w:pPr>
        <w:spacing w:after="160"/>
      </w:pPr>
      <w:r>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lastRenderedPageBreak/>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7F63A7FF"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34461F41" w:rsidR="007946F3" w:rsidRDefault="007946F3" w:rsidP="007946F3">
      <w:pPr>
        <w:ind w:firstLine="720"/>
        <w:contextualSpacing/>
        <w:jc w:val="both"/>
        <w:rPr>
          <w:sz w:val="22"/>
          <w:szCs w:val="22"/>
        </w:rPr>
      </w:pPr>
      <w:r>
        <w:rPr>
          <w:sz w:val="22"/>
          <w:szCs w:val="22"/>
        </w:rPr>
        <w:t>R has a package to compute the sum of squared residuals (SSR) on any regression, but this is unnecessarily cumbersome for our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variable. Say for example that this variable is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w:r w:rsidR="00F65B22">
        <w:rPr>
          <w:sz w:val="22"/>
          <w:szCs w:val="22"/>
        </w:rPr>
        <w:t xml:space="preserve">. Imagine the dataset sorted according to this variable. Now the data must be split at each value of that variable,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09AE41EF"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vectors and means, one each for above and below the previous splitting point. </w:t>
      </w:r>
      <w:r>
        <w:rPr>
          <w:sz w:val="22"/>
          <w:szCs w:val="22"/>
        </w:rPr>
        <w:t xml:space="preserve">I </w:t>
      </w:r>
      <w:r w:rsidRPr="00BC7E31">
        <w:rPr>
          <w:sz w:val="22"/>
          <w:szCs w:val="22"/>
        </w:rPr>
        <w:t xml:space="preserve">identify the one observation pair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0089C638" w14:textId="15484AF4" w:rsidR="00DB7CE5" w:rsidRDefault="00942F5D" w:rsidP="001E0DB5">
      <w:pPr>
        <w:ind w:firstLine="720"/>
        <w:contextualSpacing/>
        <w:jc w:val="both"/>
        <w:rPr>
          <w:sz w:val="22"/>
          <w:szCs w:val="22"/>
        </w:rPr>
      </w:pPr>
      <w:r>
        <w:rPr>
          <w:sz w:val="22"/>
          <w:szCs w:val="22"/>
        </w:rPr>
        <w:t>In practice, t</w:t>
      </w:r>
      <w:r w:rsidR="00DB7CE5">
        <w:rPr>
          <w:sz w:val="22"/>
          <w:szCs w:val="22"/>
        </w:rPr>
        <w:t>he relevant equation is this one:</w:t>
      </w:r>
    </w:p>
    <w:p w14:paraId="5A0FDB6A" w14:textId="1200FDC1" w:rsidR="00DB7CE5" w:rsidRPr="001E0DB5" w:rsidRDefault="001E0DB5" w:rsidP="001E0DB5">
      <w:pPr>
        <w:jc w:val="both"/>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65297A4" w14:textId="5B171F3E" w:rsidR="00DB7CE5" w:rsidRDefault="00DB7CE5" w:rsidP="00DB7CE5">
      <w:pPr>
        <w:jc w:val="both"/>
        <w:rPr>
          <w:bCs/>
          <w:sz w:val="22"/>
          <w:szCs w:val="22"/>
        </w:rPr>
      </w:pPr>
      <w:r>
        <w:rPr>
          <w:bCs/>
          <w:sz w:val="22"/>
          <w:szCs w:val="22"/>
        </w:rPr>
        <w:t>Where</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Pr>
          <w:bCs/>
          <w:sz w:val="22"/>
          <w:szCs w:val="22"/>
        </w:rPr>
        <w:t xml:space="preserve"> is</w:t>
      </w:r>
    </w:p>
    <w:p w14:paraId="7752A84F" w14:textId="390FD563" w:rsidR="00DB7CE5" w:rsidRDefault="00DB7CE5" w:rsidP="00DB7CE5">
      <w:pPr>
        <w:jc w:val="both"/>
        <w:rPr>
          <w:bCs/>
          <w:sz w:val="22"/>
          <w:szCs w:val="22"/>
        </w:rPr>
      </w:pPr>
    </w:p>
    <w:p w14:paraId="2F7A0604" w14:textId="7E94553E" w:rsidR="00DB7CE5" w:rsidRPr="00120A78" w:rsidRDefault="00C35AB5" w:rsidP="00DB7CE5">
      <w:pPr>
        <w:jc w:val="both"/>
        <w:rPr>
          <w:bCs/>
          <w:sz w:val="22"/>
          <w:szCs w:val="22"/>
        </w:rPr>
      </w:pPr>
      <m:oMathPara>
        <m:oMath>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567804FA" w14:textId="77777777" w:rsidR="00120A78" w:rsidRDefault="00120A78" w:rsidP="00DB7CE5">
      <w:pPr>
        <w:jc w:val="both"/>
        <w:rPr>
          <w:bCs/>
          <w:sz w:val="22"/>
          <w:szCs w:val="22"/>
        </w:rPr>
      </w:pPr>
    </w:p>
    <w:p w14:paraId="08D1E5D5" w14:textId="061AE439" w:rsidR="00DB7CE5" w:rsidRDefault="00DB7CE5" w:rsidP="00DB7CE5">
      <w:pPr>
        <w:contextualSpacing/>
        <w:jc w:val="both"/>
        <w:rPr>
          <w:sz w:val="22"/>
          <w:szCs w:val="22"/>
        </w:rPr>
      </w:pPr>
      <w:r>
        <w:rPr>
          <w:sz w:val="22"/>
          <w:szCs w:val="22"/>
        </w:rPr>
        <w:t xml:space="preserve">When the formula is expressed in this way, it is easier to see how it may be updated. The SSR is, as the name implies, 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lastRenderedPageBreak/>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652A4E59" w:rsidR="00415215" w:rsidRPr="00F2663C"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sectPr w:rsidR="00415215" w:rsidRPr="00F2663C" w:rsidSect="00E8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C3C36" w14:textId="77777777" w:rsidR="00991827" w:rsidRDefault="00991827" w:rsidP="003268A0">
      <w:r>
        <w:separator/>
      </w:r>
    </w:p>
  </w:endnote>
  <w:endnote w:type="continuationSeparator" w:id="0">
    <w:p w14:paraId="4F6A383E" w14:textId="77777777" w:rsidR="00991827" w:rsidRDefault="00991827"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D06D" w14:textId="77777777" w:rsidR="00991827" w:rsidRDefault="00991827" w:rsidP="003268A0">
      <w:r>
        <w:separator/>
      </w:r>
    </w:p>
  </w:footnote>
  <w:footnote w:type="continuationSeparator" w:id="0">
    <w:p w14:paraId="66044E1D" w14:textId="77777777" w:rsidR="00991827" w:rsidRDefault="00991827"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425A"/>
    <w:rsid w:val="000847E0"/>
    <w:rsid w:val="0008593F"/>
    <w:rsid w:val="000868E5"/>
    <w:rsid w:val="00087937"/>
    <w:rsid w:val="00090187"/>
    <w:rsid w:val="0009193C"/>
    <w:rsid w:val="000A1CE9"/>
    <w:rsid w:val="000B08B3"/>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5A0F"/>
    <w:rsid w:val="00175AD3"/>
    <w:rsid w:val="001761F3"/>
    <w:rsid w:val="00177108"/>
    <w:rsid w:val="00183F3F"/>
    <w:rsid w:val="00185084"/>
    <w:rsid w:val="0019110B"/>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692"/>
    <w:rsid w:val="00264EB6"/>
    <w:rsid w:val="00264F1E"/>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1463"/>
    <w:rsid w:val="00343625"/>
    <w:rsid w:val="003473E7"/>
    <w:rsid w:val="00347430"/>
    <w:rsid w:val="003475BE"/>
    <w:rsid w:val="00347869"/>
    <w:rsid w:val="0035293F"/>
    <w:rsid w:val="00353EFF"/>
    <w:rsid w:val="003577D4"/>
    <w:rsid w:val="00366AE3"/>
    <w:rsid w:val="0037151A"/>
    <w:rsid w:val="003756E8"/>
    <w:rsid w:val="00375FB6"/>
    <w:rsid w:val="00376881"/>
    <w:rsid w:val="0038422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4F68"/>
    <w:rsid w:val="004B3ACA"/>
    <w:rsid w:val="004B76B5"/>
    <w:rsid w:val="004C06F5"/>
    <w:rsid w:val="004C087C"/>
    <w:rsid w:val="004C6D17"/>
    <w:rsid w:val="004D03EC"/>
    <w:rsid w:val="004D2583"/>
    <w:rsid w:val="004D2B04"/>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A05D9"/>
    <w:rsid w:val="005A2253"/>
    <w:rsid w:val="005A2459"/>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079DA"/>
    <w:rsid w:val="00611E47"/>
    <w:rsid w:val="0061266B"/>
    <w:rsid w:val="00620DDE"/>
    <w:rsid w:val="006225F0"/>
    <w:rsid w:val="0062384F"/>
    <w:rsid w:val="00630D92"/>
    <w:rsid w:val="006357A3"/>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099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6AC1"/>
    <w:rsid w:val="00890DF5"/>
    <w:rsid w:val="0089114D"/>
    <w:rsid w:val="00891D81"/>
    <w:rsid w:val="00891E67"/>
    <w:rsid w:val="0089282E"/>
    <w:rsid w:val="008A32CD"/>
    <w:rsid w:val="008B0304"/>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1827"/>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6122"/>
    <w:rsid w:val="00A60794"/>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28B2"/>
    <w:rsid w:val="00B37199"/>
    <w:rsid w:val="00B40FB4"/>
    <w:rsid w:val="00B466D0"/>
    <w:rsid w:val="00B523A9"/>
    <w:rsid w:val="00B53BF7"/>
    <w:rsid w:val="00B54F4F"/>
    <w:rsid w:val="00B568DB"/>
    <w:rsid w:val="00B642ED"/>
    <w:rsid w:val="00B64C5E"/>
    <w:rsid w:val="00B719B3"/>
    <w:rsid w:val="00B73266"/>
    <w:rsid w:val="00B75928"/>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3779"/>
    <w:rsid w:val="00BC46F2"/>
    <w:rsid w:val="00BC4D42"/>
    <w:rsid w:val="00BC587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77B71"/>
    <w:rsid w:val="00C81A5C"/>
    <w:rsid w:val="00C82A47"/>
    <w:rsid w:val="00C85295"/>
    <w:rsid w:val="00C93BCD"/>
    <w:rsid w:val="00C9425C"/>
    <w:rsid w:val="00C94D0C"/>
    <w:rsid w:val="00CA16A5"/>
    <w:rsid w:val="00CA2645"/>
    <w:rsid w:val="00CA7F90"/>
    <w:rsid w:val="00CB0481"/>
    <w:rsid w:val="00CB6A28"/>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71769"/>
    <w:rsid w:val="00E81942"/>
    <w:rsid w:val="00E8245F"/>
    <w:rsid w:val="00E85459"/>
    <w:rsid w:val="00E90264"/>
    <w:rsid w:val="00E94D73"/>
    <w:rsid w:val="00EA1953"/>
    <w:rsid w:val="00EA5EB0"/>
    <w:rsid w:val="00EB019D"/>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A090E"/>
    <w:rsid w:val="00FA380C"/>
    <w:rsid w:val="00FA3DF8"/>
    <w:rsid w:val="00FB19B9"/>
    <w:rsid w:val="00FB1CB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0B"/>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23</Pages>
  <Words>11531</Words>
  <Characters>65732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430</cp:revision>
  <cp:lastPrinted>2020-11-12T19:44:00Z</cp:lastPrinted>
  <dcterms:created xsi:type="dcterms:W3CDTF">2021-03-09T18:34:00Z</dcterms:created>
  <dcterms:modified xsi:type="dcterms:W3CDTF">2021-03-20T17:38:00Z</dcterms:modified>
</cp:coreProperties>
</file>