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C1CD5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54558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rejects the null hypothesis of no time trend, and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i.i.d.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process is a Bayesian one, and I implement a Tree-structured Parzen Estimator (TPE) as described by Bergstra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w:t>
      </w:r>
      <w:r w:rsidR="001E52AD">
        <w:rPr>
          <w:rFonts w:ascii="Times New Roman" w:hAnsi="Times New Roman" w:cs="Times New Roman"/>
          <w:bCs/>
          <w:sz w:val="22"/>
          <w:szCs w:val="22"/>
        </w:rPr>
        <w:t xml:space="preserve"> sometimes only</w:t>
      </w:r>
      <w:r w:rsidR="001E52AD">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at any point, according to a supF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74314C34" w14:textId="77777777" w:rsidR="00CE07E6" w:rsidRDefault="00366AE3" w:rsidP="00682007">
      <w:pPr>
        <w:jc w:val="both"/>
        <w:rPr>
          <w:rFonts w:ascii="Times New Roman" w:hAnsi="Times New Roman" w:cs="Times New Roman"/>
          <w:sz w:val="22"/>
          <w:szCs w:val="22"/>
        </w:rPr>
      </w:pPr>
      <w:r>
        <w:rPr>
          <w:rStyle w:val="CommentReference"/>
        </w:rPr>
        <w:commentReference w:id="2"/>
      </w:r>
    </w:p>
    <w:p w14:paraId="1ABD9FDF" w14:textId="77777777" w:rsidR="00CE07E6" w:rsidRPr="00682007" w:rsidRDefault="00CE07E6" w:rsidP="00682007">
      <w:pPr>
        <w:jc w:val="both"/>
        <w:rPr>
          <w:rFonts w:ascii="Times New Roman" w:hAnsi="Times New Roman" w:cs="Times New Roman"/>
          <w:sz w:val="22"/>
          <w:szCs w:val="22"/>
        </w:rPr>
      </w:pPr>
    </w:p>
    <w:p w14:paraId="0310B980" w14:textId="33A90631" w:rsidR="00682007" w:rsidRDefault="00682007" w:rsidP="00682007">
      <w:pPr>
        <w:jc w:val="both"/>
        <w:rPr>
          <w:rFonts w:ascii="Times New Roman" w:hAnsi="Times New Roman" w:cs="Times New Roman"/>
          <w:sz w:val="22"/>
          <w:szCs w:val="22"/>
        </w:rPr>
      </w:pPr>
    </w:p>
    <w:p w14:paraId="3A587437" w14:textId="5F56BC0C"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lastRenderedPageBreak/>
        <w:t>Implications: Which variables are used? How often are trees split? What does it say about the economy that this model is successful?</w:t>
      </w:r>
    </w:p>
    <w:p w14:paraId="7F0B7DB4" w14:textId="76E25434" w:rsidR="00682007" w:rsidRDefault="00682007"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Regression Trees in 150 Lines of Code.” Statworx.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‘randomForest’.”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545583" w:rsidP="00D725BD">
      <w:pPr>
        <w:rPr>
          <w:rFonts w:ascii="Times New Roman" w:hAnsi="Times New Roman" w:cs="Times New Roman"/>
          <w:sz w:val="22"/>
          <w:szCs w:val="22"/>
        </w:rPr>
      </w:pPr>
      <w:hyperlink r:id="rId10"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545583" w:rsidP="00E4500A">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w:t>
      </w:r>
      <w:r w:rsidRPr="00BC7E31">
        <w:rPr>
          <w:rFonts w:ascii="Times New Roman" w:hAnsi="Times New Roman" w:cs="Times New Roman"/>
          <w:sz w:val="22"/>
          <w:szCs w:val="22"/>
        </w:rPr>
        <w:lastRenderedPageBreak/>
        <w:t>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C4FAF" w:rsidRDefault="007C4FAF">
      <w:pPr>
        <w:pStyle w:val="CommentText"/>
      </w:pPr>
      <w:r>
        <w:rPr>
          <w:rStyle w:val="CommentReference"/>
        </w:rPr>
        <w:annotationRef/>
      </w:r>
      <w:r>
        <w:t>Find a paper for this.</w:t>
      </w:r>
    </w:p>
  </w:comment>
  <w:comment w:id="1" w:author="Alex Moran" w:date="2021-01-15T18:05:00Z" w:initials="AM">
    <w:p w14:paraId="6073BA6B" w14:textId="65417A1F" w:rsidR="00366AE3" w:rsidRDefault="00366AE3">
      <w:pPr>
        <w:pStyle w:val="CommentText"/>
      </w:pPr>
      <w:r>
        <w:rPr>
          <w:rStyle w:val="CommentReference"/>
        </w:rPr>
        <w:annotationRef/>
      </w:r>
      <w:r>
        <w:t>Check with Creal on all this.</w:t>
      </w:r>
    </w:p>
  </w:comment>
  <w:comment w:id="2" w:author="Alex Moran" w:date="2021-01-15T18:05:00Z" w:initials="AM">
    <w:p w14:paraId="69ABEBD2" w14:textId="7089F370" w:rsidR="00366AE3" w:rsidRDefault="00366AE3">
      <w:pPr>
        <w:pStyle w:val="CommentText"/>
      </w:pPr>
      <w:r>
        <w:rPr>
          <w:rStyle w:val="CommentReference"/>
        </w:rPr>
        <w:annotationRef/>
      </w:r>
      <w:r>
        <w:t>Check back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D15AC"/>
    <w:rsid w:val="000E44A7"/>
    <w:rsid w:val="000E6990"/>
    <w:rsid w:val="000E7E1C"/>
    <w:rsid w:val="00115ED0"/>
    <w:rsid w:val="00123221"/>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415215"/>
    <w:rsid w:val="0042596F"/>
    <w:rsid w:val="004326C0"/>
    <w:rsid w:val="00447911"/>
    <w:rsid w:val="00486F3B"/>
    <w:rsid w:val="00493440"/>
    <w:rsid w:val="0049474A"/>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F5135"/>
    <w:rsid w:val="00A053A2"/>
    <w:rsid w:val="00A1636E"/>
    <w:rsid w:val="00A2703F"/>
    <w:rsid w:val="00A30DF6"/>
    <w:rsid w:val="00A40D4C"/>
    <w:rsid w:val="00A51A3B"/>
    <w:rsid w:val="00A658E8"/>
    <w:rsid w:val="00A8013B"/>
    <w:rsid w:val="00A9637F"/>
    <w:rsid w:val="00B26B28"/>
    <w:rsid w:val="00B30D06"/>
    <w:rsid w:val="00B466D0"/>
    <w:rsid w:val="00B568DB"/>
    <w:rsid w:val="00B8342C"/>
    <w:rsid w:val="00B92935"/>
    <w:rsid w:val="00B9577C"/>
    <w:rsid w:val="00BA1F6A"/>
    <w:rsid w:val="00BC7E31"/>
    <w:rsid w:val="00BD515B"/>
    <w:rsid w:val="00C56A2C"/>
    <w:rsid w:val="00C67AA0"/>
    <w:rsid w:val="00C81A5C"/>
    <w:rsid w:val="00CA7F90"/>
    <w:rsid w:val="00CD19F0"/>
    <w:rsid w:val="00CE07E6"/>
    <w:rsid w:val="00D009D8"/>
    <w:rsid w:val="00D012AB"/>
    <w:rsid w:val="00D13695"/>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11/tuning-random-forest-on-time-series-data/" TargetMode="External"/><Relationship Id="rId5" Type="http://schemas.openxmlformats.org/officeDocument/2006/relationships/webSettings" Target="webSettings.xml"/><Relationship Id="rId10" Type="http://schemas.openxmlformats.org/officeDocument/2006/relationships/hyperlink" Target="https://www.r-bloggers.com/2019/09/time-series-forecasting-with-random-fores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0AF4E-C396-5F45-BD32-797EFB2D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15</Pages>
  <Words>8447</Words>
  <Characters>48151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104</cp:revision>
  <cp:lastPrinted>2020-11-12T19:44:00Z</cp:lastPrinted>
  <dcterms:created xsi:type="dcterms:W3CDTF">2020-10-20T15:30:00Z</dcterms:created>
  <dcterms:modified xsi:type="dcterms:W3CDTF">2021-01-15T23:05:00Z</dcterms:modified>
</cp:coreProperties>
</file>