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754C67DA"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 xml:space="preserve">I explore the process of creating and tuning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narrowly construed</w:t>
      </w:r>
      <w:r w:rsidRPr="00BC7E31">
        <w:rPr>
          <w:rFonts w:ascii="Times New Roman" w:hAnsi="Times New Roman" w:cs="Times New Roman"/>
          <w:sz w:val="20"/>
          <w:szCs w:val="20"/>
        </w:rPr>
        <w:t xml:space="preserve"> goal is to generate a univariate model that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783DA45B"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14D0A54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65F1C8FD"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In this case,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 it does not answer the questions “why?” or “how?”; its success is limited strictly to the </w:t>
      </w:r>
      <w:r w:rsidRPr="00BC7E31">
        <w:rPr>
          <w:rFonts w:ascii="Times New Roman" w:hAnsi="Times New Roman" w:cs="Times New Roman"/>
          <w:bCs/>
          <w:sz w:val="22"/>
          <w:szCs w:val="22"/>
        </w:rPr>
        <w:lastRenderedPageBreak/>
        <w:t xml:space="preserve">accuracy of its output. </w:t>
      </w:r>
      <w:r w:rsidR="00530F9E">
        <w:rPr>
          <w:rFonts w:ascii="Times New Roman" w:hAnsi="Times New Roman" w:cs="Times New Roman"/>
          <w:bCs/>
          <w:sz w:val="22"/>
          <w:szCs w:val="22"/>
        </w:rPr>
        <w:t xml:space="preserve">This paper challenges that convention by proposing a way to interpret the internal mechanism of the random forest in terms which speak to the changing state of the dataset over time. </w:t>
      </w:r>
      <w:commentRangeStart w:id="2"/>
      <w:r w:rsidR="00530F9E">
        <w:rPr>
          <w:rFonts w:ascii="Times New Roman" w:hAnsi="Times New Roman" w:cs="Times New Roman"/>
          <w:bCs/>
          <w:sz w:val="22"/>
          <w:szCs w:val="22"/>
        </w:rPr>
        <w:t>Furthermore</w:t>
      </w:r>
      <w:r w:rsidR="00FF2D81"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 xml:space="preserve">the reasons for </w:t>
      </w:r>
      <w:r w:rsidR="00530F9E">
        <w:rPr>
          <w:rFonts w:ascii="Times New Roman" w:hAnsi="Times New Roman" w:cs="Times New Roman"/>
          <w:bCs/>
          <w:sz w:val="22"/>
          <w:szCs w:val="22"/>
        </w:rPr>
        <w:t xml:space="preserve">the </w:t>
      </w:r>
      <w:r w:rsidR="00BD515B" w:rsidRPr="00BC7E31">
        <w:rPr>
          <w:rFonts w:ascii="Times New Roman" w:hAnsi="Times New Roman" w:cs="Times New Roman"/>
          <w:bCs/>
          <w:sz w:val="22"/>
          <w:szCs w:val="22"/>
        </w:rPr>
        <w:t>success</w:t>
      </w:r>
      <w:r w:rsidR="00530F9E">
        <w:rPr>
          <w:rFonts w:ascii="Times New Roman" w:hAnsi="Times New Roman" w:cs="Times New Roman"/>
          <w:bCs/>
          <w:sz w:val="22"/>
          <w:szCs w:val="22"/>
        </w:rPr>
        <w:t xml:space="preserve"> of the random forest</w:t>
      </w:r>
      <w:r w:rsidR="00BD515B" w:rsidRPr="00BC7E31">
        <w:rPr>
          <w:rFonts w:ascii="Times New Roman" w:hAnsi="Times New Roman" w:cs="Times New Roman"/>
          <w:bCs/>
          <w:sz w:val="22"/>
          <w:szCs w:val="22"/>
        </w:rPr>
        <w:t xml:space="preserve"> as a non-theoretical model. </w:t>
      </w:r>
      <w:commentRangeEnd w:id="2"/>
      <w:r w:rsidR="00E47B06">
        <w:rPr>
          <w:rStyle w:val="CommentReference"/>
        </w:rPr>
        <w:commentReference w:id="2"/>
      </w:r>
      <w:r w:rsidR="00BD515B" w:rsidRPr="00BC7E31">
        <w:rPr>
          <w:rFonts w:ascii="Times New Roman" w:hAnsi="Times New Roman" w:cs="Times New Roman"/>
          <w:bCs/>
          <w:sz w:val="22"/>
          <w:szCs w:val="22"/>
        </w:rPr>
        <w:t>Why is it possible for a non-theoretical model to successfully forecast inflation?</w:t>
      </w:r>
    </w:p>
    <w:p w14:paraId="59EB0468" w14:textId="716397D8"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w:t>
      </w:r>
      <w:r w:rsidR="00E47B06">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as a univariate model for</w:t>
      </w:r>
      <w:r w:rsidR="00E47B06">
        <w:rPr>
          <w:rFonts w:ascii="Times New Roman" w:hAnsi="Times New Roman" w:cs="Times New Roman"/>
          <w:bCs/>
          <w:sz w:val="22"/>
          <w:szCs w:val="22"/>
        </w:rPr>
        <w:t xml:space="preserve"> US</w:t>
      </w:r>
      <w:r w:rsidRPr="00BC7E31">
        <w:rPr>
          <w:rFonts w:ascii="Times New Roman" w:hAnsi="Times New Roman" w:cs="Times New Roman"/>
          <w:bCs/>
          <w:sz w:val="22"/>
          <w:szCs w:val="22"/>
        </w:rPr>
        <w:t xml:space="preserve"> monthly inflation across different prediction horizons</w:t>
      </w:r>
      <w:r w:rsidR="00E47B06">
        <w:rPr>
          <w:rFonts w:ascii="Times New Roman" w:hAnsi="Times New Roman" w:cs="Times New Roman"/>
          <w:bCs/>
          <w:sz w:val="22"/>
          <w:szCs w:val="22"/>
        </w:rPr>
        <w:t>,</w:t>
      </w:r>
      <w:r w:rsidRPr="00BC7E31">
        <w:rPr>
          <w:rFonts w:ascii="Times New Roman" w:hAnsi="Times New Roman" w:cs="Times New Roman"/>
          <w:bCs/>
          <w:sz w:val="22"/>
          <w:szCs w:val="22"/>
        </w:rPr>
        <w:t xml:space="preserve"> and</w:t>
      </w:r>
      <w:r w:rsidR="00E47B06">
        <w:rPr>
          <w:rFonts w:ascii="Times New Roman" w:hAnsi="Times New Roman" w:cs="Times New Roman"/>
          <w:bCs/>
          <w:sz w:val="22"/>
          <w:szCs w:val="22"/>
        </w:rPr>
        <w:t xml:space="preserve"> as </w:t>
      </w:r>
      <w:proofErr w:type="spellStart"/>
      <w:r w:rsidR="00E47B06">
        <w:rPr>
          <w:rFonts w:ascii="Times New Roman" w:hAnsi="Times New Roman" w:cs="Times New Roman"/>
          <w:bCs/>
          <w:sz w:val="22"/>
          <w:szCs w:val="22"/>
        </w:rPr>
        <w:t>a</w:t>
      </w:r>
      <w:proofErr w:type="spellEnd"/>
      <w:r w:rsidR="00E47B06">
        <w:rPr>
          <w:rFonts w:ascii="Times New Roman" w:hAnsi="Times New Roman" w:cs="Times New Roman"/>
          <w:bCs/>
          <w:sz w:val="22"/>
          <w:szCs w:val="22"/>
        </w:rPr>
        <w:t xml:space="preserve"> univariate model</w:t>
      </w:r>
      <w:r w:rsidRPr="00BC7E31">
        <w:rPr>
          <w:rFonts w:ascii="Times New Roman" w:hAnsi="Times New Roman" w:cs="Times New Roman"/>
          <w:bCs/>
          <w:sz w:val="22"/>
          <w:szCs w:val="22"/>
        </w:rPr>
        <w:t xml:space="preserve"> for other types of time series: foreign inflation data and </w:t>
      </w:r>
      <w:r w:rsidR="00E47B06">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domestic unemployment rate,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4715A09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23BE61C0" w14:textId="082E9BAB" w:rsidR="00F20796" w:rsidRPr="00F20796" w:rsidRDefault="00F20796" w:rsidP="00F20796">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is limited evidence of a structural break in the series.</w:t>
      </w:r>
      <w:r>
        <w:rPr>
          <w:rFonts w:ascii="Times New Roman" w:hAnsi="Times New Roman" w:cs="Times New Roman"/>
          <w:sz w:val="22"/>
          <w:szCs w:val="22"/>
        </w:rPr>
        <w:t xml:space="preserve">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w:t>
      </w:r>
      <w:r>
        <w:rPr>
          <w:rFonts w:ascii="Times New Roman" w:hAnsi="Times New Roman" w:cs="Times New Roman"/>
          <w:sz w:val="22"/>
          <w:szCs w:val="22"/>
        </w:rPr>
        <w:t xml:space="preserve">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w:t>
      </w:r>
      <w:r>
        <w:rPr>
          <w:rFonts w:ascii="Times New Roman" w:hAnsi="Times New Roman" w:cs="Times New Roman"/>
          <w:sz w:val="22"/>
          <w:szCs w:val="22"/>
        </w:rPr>
        <w:t xml:space="preserve">as </w:t>
      </w:r>
      <w:r>
        <w:rPr>
          <w:rFonts w:ascii="Times New Roman" w:hAnsi="Times New Roman" w:cs="Times New Roman"/>
          <w:sz w:val="22"/>
          <w:szCs w:val="22"/>
        </w:rPr>
        <w:t>described by Hansen</w:t>
      </w:r>
      <w:r>
        <w:rPr>
          <w:rFonts w:ascii="Times New Roman" w:hAnsi="Times New Roman" w:cs="Times New Roman"/>
          <w:sz w:val="22"/>
          <w:szCs w:val="22"/>
        </w:rPr>
        <w:t xml:space="preserve"> in</w:t>
      </w:r>
      <w:r>
        <w:rPr>
          <w:rFonts w:ascii="Times New Roman" w:hAnsi="Times New Roman" w:cs="Times New Roman"/>
          <w:sz w:val="22"/>
          <w:szCs w:val="22"/>
        </w:rPr>
        <w:t xml:space="preserve">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w:t>
      </w:r>
      <w:r w:rsidR="00652032">
        <w:rPr>
          <w:rFonts w:ascii="Times New Roman" w:hAnsi="Times New Roman" w:cs="Times New Roman"/>
          <w:sz w:val="22"/>
          <w:szCs w:val="22"/>
        </w:rPr>
        <w:t xml:space="preserve"> </w:t>
      </w:r>
      <w:r w:rsidR="00652032">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w:t>
      </w:r>
      <w:r w:rsidRPr="00BC7E31">
        <w:rPr>
          <w:rFonts w:ascii="Times New Roman" w:hAnsi="Times New Roman" w:cs="Times New Roman"/>
          <w:bCs/>
          <w:sz w:val="22"/>
          <w:szCs w:val="22"/>
        </w:rPr>
        <w:lastRenderedPageBreak/>
        <w:t xml:space="preserve">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proofErr w:type="spellStart"/>
      <w:r w:rsidR="003B3C39">
        <w:rPr>
          <w:rFonts w:ascii="Times New Roman" w:hAnsi="Times New Roman" w:cs="Times New Roman"/>
          <w:bCs/>
          <w:sz w:val="22"/>
          <w:szCs w:val="22"/>
        </w:rPr>
        <w:t>ies</w:t>
      </w:r>
      <w:proofErr w:type="spellEnd"/>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w:t>
      </w:r>
      <w:r w:rsidRPr="00BC7E31">
        <w:rPr>
          <w:rFonts w:ascii="Times New Roman" w:hAnsi="Times New Roman" w:cs="Times New Roman"/>
          <w:sz w:val="22"/>
          <w:szCs w:val="22"/>
        </w:rPr>
        <w:lastRenderedPageBreak/>
        <w:t xml:space="preserve">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w:t>
      </w:r>
      <w:r>
        <w:rPr>
          <w:rFonts w:ascii="Times New Roman" w:hAnsi="Times New Roman" w:cs="Times New Roman"/>
          <w:bCs/>
          <w:sz w:val="22"/>
          <w:szCs w:val="22"/>
        </w:rPr>
        <w:lastRenderedPageBreak/>
        <w:t xml:space="preserve">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w:t>
      </w:r>
      <w:r>
        <w:rPr>
          <w:rFonts w:ascii="Times New Roman" w:hAnsi="Times New Roman" w:cs="Times New Roman"/>
          <w:bCs/>
          <w:sz w:val="22"/>
          <w:szCs w:val="22"/>
        </w:rPr>
        <w:lastRenderedPageBreak/>
        <w:t xml:space="preserve">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Then, at each observation, it splits the data into two subsets: one which contains all observations with below the split point, and the other which contains all observations at the split point and above. Within ea</w:t>
      </w:r>
      <w:proofErr w:type="spellStart"/>
      <w:r w:rsidR="002C779B">
        <w:rPr>
          <w:rFonts w:ascii="Times New Roman" w:hAnsi="Times New Roman" w:cs="Times New Roman"/>
          <w:bCs/>
          <w:sz w:val="22"/>
          <w:szCs w:val="22"/>
        </w:rPr>
        <w:t>ch</w:t>
      </w:r>
      <w:proofErr w:type="spellEnd"/>
      <w:r w:rsidR="002C779B">
        <w:rPr>
          <w:rFonts w:ascii="Times New Roman" w:hAnsi="Times New Roman" w:cs="Times New Roman"/>
          <w:bCs/>
          <w:sz w:val="22"/>
          <w:szCs w:val="22"/>
        </w:rPr>
        <w:t xml:space="preserve">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w:t>
      </w:r>
      <w:proofErr w:type="spellStart"/>
      <w:r w:rsidR="002C779B">
        <w:rPr>
          <w:rFonts w:ascii="Times New Roman" w:hAnsi="Times New Roman" w:cs="Times New Roman"/>
          <w:bCs/>
          <w:sz w:val="22"/>
          <w:szCs w:val="22"/>
        </w:rPr>
        <w:t>plit</w:t>
      </w:r>
      <w:proofErr w:type="spellEnd"/>
      <w:r w:rsidR="002C779B">
        <w:rPr>
          <w:rFonts w:ascii="Times New Roman" w:hAnsi="Times New Roman" w:cs="Times New Roman"/>
          <w:bCs/>
          <w:sz w:val="22"/>
          <w:szCs w:val="22"/>
        </w:rPr>
        <w: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so that every unique value of that variable is associated with a sum of squared residuals value. The function then outputs the minimum sum of squared r</w:t>
      </w:r>
      <w:proofErr w:type="spellStart"/>
      <w:r>
        <w:rPr>
          <w:rFonts w:ascii="Times New Roman" w:hAnsi="Times New Roman" w:cs="Times New Roman"/>
          <w:bCs/>
          <w:sz w:val="22"/>
          <w:szCs w:val="22"/>
        </w:rPr>
        <w:t>esiduals</w:t>
      </w:r>
      <w:proofErr w:type="spellEnd"/>
      <w:r>
        <w:rPr>
          <w:rFonts w:ascii="Times New Roman" w:hAnsi="Times New Roman" w:cs="Times New Roman"/>
          <w:bCs/>
          <w:sz w:val="22"/>
          <w:szCs w:val="22"/>
        </w:rPr>
        <w:t xml:space="preserve">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 xml:space="preserve">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w:t>
      </w:r>
      <w:r w:rsidR="00DC6811">
        <w:rPr>
          <w:rFonts w:ascii="Times New Roman" w:hAnsi="Times New Roman" w:cs="Times New Roman"/>
          <w:sz w:val="22"/>
          <w:szCs w:val="22"/>
        </w:rPr>
        <w:lastRenderedPageBreak/>
        <w:t>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3"/>
      <w:r w:rsidR="006411E7">
        <w:rPr>
          <w:rFonts w:ascii="Times New Roman" w:hAnsi="Times New Roman" w:cs="Times New Roman"/>
          <w:sz w:val="22"/>
          <w:szCs w:val="22"/>
        </w:rPr>
        <w:t>This makes the tuning more reliable than it would be in the case of just one training/test set configuration.</w:t>
      </w:r>
      <w:commentRangeEnd w:id="3"/>
      <w:r w:rsidR="006411E7">
        <w:rPr>
          <w:rStyle w:val="CommentReference"/>
        </w:rPr>
        <w:commentReference w:id="3"/>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iven that a time series is serially correlated, this method 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4"/>
      <w:r>
        <w:rPr>
          <w:rFonts w:ascii="Times New Roman" w:hAnsi="Times New Roman" w:cs="Times New Roman"/>
          <w:sz w:val="22"/>
          <w:szCs w:val="22"/>
        </w:rPr>
        <w:t xml:space="preserve">The data which each tree receives is randomly chosen, as I’ve just described, </w:t>
      </w:r>
      <w:commentRangeEnd w:id="4"/>
      <w:r w:rsidR="00263692">
        <w:rPr>
          <w:rStyle w:val="CommentReference"/>
        </w:rPr>
        <w:commentReference w:id="4"/>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w:t>
      </w:r>
      <w:proofErr w:type="spellStart"/>
      <w:r w:rsidR="001E52AD">
        <w:rPr>
          <w:rFonts w:ascii="Times New Roman" w:hAnsi="Times New Roman" w:cs="Times New Roman"/>
          <w:bCs/>
          <w:sz w:val="22"/>
          <w:szCs w:val="22"/>
        </w:rPr>
        <w:t>ders</w:t>
      </w:r>
      <w:proofErr w:type="spellEnd"/>
      <w:r w:rsidR="001E52AD">
        <w:rPr>
          <w:rFonts w:ascii="Times New Roman" w:hAnsi="Times New Roman" w:cs="Times New Roman"/>
          <w:bCs/>
          <w:sz w:val="22"/>
          <w:szCs w:val="22"/>
        </w:rPr>
        <w:t xml:space="preserve">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 xml:space="preserve">the “base” random forest </w:t>
      </w:r>
      <w:r w:rsidR="00665951">
        <w:rPr>
          <w:rFonts w:ascii="Times New Roman" w:hAnsi="Times New Roman" w:cs="Times New Roman"/>
          <w:sz w:val="22"/>
          <w:szCs w:val="22"/>
        </w:rPr>
        <w:lastRenderedPageBreak/>
        <w:t>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24575DD6" w14:textId="0A9A7579"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29CA14A6" w:rsidR="00682007" w:rsidRDefault="00682007" w:rsidP="00682007">
      <w:pPr>
        <w:jc w:val="both"/>
        <w:rPr>
          <w:rFonts w:ascii="Times New Roman" w:hAnsi="Times New Roman" w:cs="Times New Roman"/>
          <w:i/>
          <w:iCs/>
          <w:sz w:val="22"/>
          <w:szCs w:val="22"/>
        </w:rPr>
      </w:pPr>
      <w:commentRangeStart w:id="5"/>
      <w:r>
        <w:rPr>
          <w:rFonts w:ascii="Times New Roman" w:hAnsi="Times New Roman" w:cs="Times New Roman"/>
          <w:i/>
          <w:iCs/>
          <w:sz w:val="22"/>
          <w:szCs w:val="22"/>
        </w:rPr>
        <w:t>4.2 Possibility of Structural Break</w:t>
      </w:r>
    </w:p>
    <w:p w14:paraId="4886E7F7" w14:textId="77777777" w:rsidR="00F35F03" w:rsidRDefault="00F35F03" w:rsidP="00682007">
      <w:pPr>
        <w:jc w:val="both"/>
        <w:rPr>
          <w:rFonts w:ascii="Times New Roman" w:hAnsi="Times New Roman" w:cs="Times New Roman"/>
          <w:i/>
          <w:iCs/>
          <w:sz w:val="22"/>
          <w:szCs w:val="22"/>
        </w:rPr>
      </w:pPr>
    </w:p>
    <w:p w14:paraId="243237B9" w14:textId="30E78DB1"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 xml:space="preserve">is </w:t>
      </w:r>
      <w:r w:rsidR="00F35F03">
        <w:rPr>
          <w:rFonts w:ascii="Times New Roman" w:hAnsi="Times New Roman" w:cs="Times New Roman"/>
          <w:sz w:val="22"/>
          <w:szCs w:val="22"/>
        </w:rPr>
        <w:t>un</w:t>
      </w:r>
      <w:r w:rsidR="00B328B2">
        <w:rPr>
          <w:rFonts w:ascii="Times New Roman" w:hAnsi="Times New Roman" w:cs="Times New Roman"/>
          <w:sz w:val="22"/>
          <w:szCs w:val="22"/>
        </w:rPr>
        <w:t>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25BD513F" w14:textId="7A4E2BD9" w:rsidR="00CE07E6" w:rsidRDefault="00CE07E6" w:rsidP="00206CE1">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r w:rsidR="00206CE1">
        <w:rPr>
          <w:rFonts w:ascii="Times New Roman" w:hAnsi="Times New Roman" w:cs="Times New Roman"/>
          <w:sz w:val="22"/>
          <w:szCs w:val="22"/>
        </w:rPr>
        <w:t xml:space="preserve"> </w:t>
      </w: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If these structural breaks really exist, the model should be able to handle them better than the ARIMA does</w:t>
      </w:r>
      <w:commentRangeStart w:id="6"/>
      <w:r w:rsidR="00366AE3">
        <w:rPr>
          <w:rFonts w:ascii="Times New Roman" w:hAnsi="Times New Roman" w:cs="Times New Roman"/>
          <w:sz w:val="22"/>
          <w:szCs w:val="22"/>
        </w:rPr>
        <w:t>.</w:t>
      </w:r>
      <w:commentRangeEnd w:id="5"/>
      <w:r w:rsidR="00366AE3">
        <w:rPr>
          <w:rStyle w:val="CommentReference"/>
        </w:rPr>
        <w:commentReference w:id="5"/>
      </w:r>
    </w:p>
    <w:commentRangeEnd w:id="6"/>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6"/>
      </w:r>
    </w:p>
    <w:p w14:paraId="3A587437" w14:textId="28070C58"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w:t>
      </w:r>
      <w:r w:rsidR="00AE593B">
        <w:rPr>
          <w:rFonts w:ascii="Times New Roman" w:hAnsi="Times New Roman" w:cs="Times New Roman"/>
          <w:sz w:val="22"/>
          <w:szCs w:val="22"/>
        </w:rPr>
        <w:lastRenderedPageBreak/>
        <w:t xml:space="preserve">run.) </w:t>
      </w:r>
      <w:commentRangeStart w:id="7"/>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7"/>
      <w:r w:rsidR="00AE593B">
        <w:rPr>
          <w:rStyle w:val="CommentReference"/>
        </w:rPr>
        <w:commentReference w:id="7"/>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4A95DDF7" w:rsid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 xml:space="preserve">e, I discussed my expectations of how the model would perform and how the changes I made from the base forest would </w:t>
      </w:r>
      <w:r>
        <w:rPr>
          <w:rFonts w:ascii="Times New Roman" w:hAnsi="Times New Roman" w:cs="Times New Roman"/>
          <w:sz w:val="22"/>
          <w:szCs w:val="22"/>
        </w:rPr>
        <w:lastRenderedPageBreak/>
        <w:t>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8"/>
      <w:r w:rsidR="001307A0">
        <w:rPr>
          <w:rFonts w:ascii="Times New Roman" w:hAnsi="Times New Roman" w:cs="Times New Roman"/>
          <w:sz w:val="22"/>
          <w:szCs w:val="22"/>
        </w:rPr>
        <w:t>By “real”</w:t>
      </w:r>
      <w:commentRangeEnd w:id="8"/>
      <w:r w:rsidR="00CC5A50">
        <w:rPr>
          <w:rStyle w:val="CommentReference"/>
        </w:rPr>
        <w:commentReference w:id="8"/>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xml:space="preserve">. In this paper, “absolute importance” will refer to the number of times a feature is mentioned within the leaves of a tree. “Relative importance” </w:t>
      </w:r>
      <w:r>
        <w:rPr>
          <w:rFonts w:ascii="Times New Roman" w:hAnsi="Times New Roman" w:cs="Times New Roman"/>
          <w:sz w:val="22"/>
          <w:szCs w:val="22"/>
        </w:rPr>
        <w:lastRenderedPageBreak/>
        <w:t>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9"/>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9"/>
      <w:r w:rsidR="00CC5A50">
        <w:rPr>
          <w:rStyle w:val="CommentReference"/>
        </w:rPr>
        <w:commentReference w:id="9"/>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10"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10"/>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w:t>
      </w:r>
      <w:proofErr w:type="spellStart"/>
      <w:r>
        <w:rPr>
          <w:rFonts w:ascii="Times New Roman" w:hAnsi="Times New Roman" w:cs="Times New Roman"/>
          <w:sz w:val="22"/>
          <w:szCs w:val="22"/>
        </w:rPr>
        <w:t>ilar</w:t>
      </w:r>
      <w:proofErr w:type="spellEnd"/>
      <w:r>
        <w:rPr>
          <w:rFonts w:ascii="Times New Roman" w:hAnsi="Times New Roman" w:cs="Times New Roman"/>
          <w:sz w:val="22"/>
          <w:szCs w:val="22"/>
        </w:rPr>
        <w:t xml:space="preserve">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w:t>
      </w:r>
      <w:proofErr w:type="spellStart"/>
      <w:r>
        <w:rPr>
          <w:rFonts w:ascii="Times New Roman" w:hAnsi="Times New Roman" w:cs="Times New Roman"/>
          <w:sz w:val="22"/>
          <w:szCs w:val="22"/>
        </w:rPr>
        <w:t>unted</w:t>
      </w:r>
      <w:proofErr w:type="spellEnd"/>
      <w:r>
        <w:rPr>
          <w:rFonts w:ascii="Times New Roman" w:hAnsi="Times New Roman" w:cs="Times New Roman"/>
          <w:sz w:val="22"/>
          <w:szCs w:val="22"/>
        </w:rPr>
        <w:t xml:space="preserve">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11"/>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11"/>
      <w:r w:rsidR="006A0F89">
        <w:rPr>
          <w:rStyle w:val="CommentReference"/>
        </w:rPr>
        <w:commentReference w:id="11"/>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2" w:name="OLE_LINK2"/>
            <w:bookmarkStart w:id="13"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2"/>
      <w:bookmarkEnd w:id="13"/>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lastRenderedPageBreak/>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4AEA41BD" w:rsidR="00DB7CE5" w:rsidRDefault="00DB7CE5" w:rsidP="007B4FE5">
      <w:pPr>
        <w:spacing w:after="160"/>
        <w:rPr>
          <w:rFonts w:ascii="Times New Roman" w:hAnsi="Times New Roman" w:cs="Times New Roman"/>
        </w:rPr>
      </w:pPr>
    </w:p>
    <w:p w14:paraId="17E8D0EB" w14:textId="59A3985E" w:rsidR="00DB7CE5" w:rsidRDefault="00DB7CE5" w:rsidP="007B4FE5">
      <w:pPr>
        <w:spacing w:after="160"/>
        <w:rPr>
          <w:rFonts w:ascii="Times New Roman" w:hAnsi="Times New Roman" w:cs="Times New Roman"/>
        </w:rPr>
      </w:pPr>
    </w:p>
    <w:p w14:paraId="7419358C" w14:textId="06282F2E" w:rsidR="00DB7CE5" w:rsidRDefault="00DB7CE5" w:rsidP="007B4FE5">
      <w:pPr>
        <w:spacing w:after="160"/>
        <w:rPr>
          <w:rFonts w:ascii="Times New Roman" w:hAnsi="Times New Roman" w:cs="Times New Roman"/>
        </w:rPr>
      </w:pPr>
    </w:p>
    <w:p w14:paraId="4EA699CE" w14:textId="6867401C" w:rsidR="00DB7CE5" w:rsidRDefault="00DB7CE5" w:rsidP="007B4FE5">
      <w:pPr>
        <w:spacing w:after="160"/>
        <w:rPr>
          <w:rFonts w:ascii="Times New Roman" w:hAnsi="Times New Roman" w:cs="Times New Roman"/>
        </w:rPr>
      </w:pPr>
    </w:p>
    <w:p w14:paraId="5C136EED" w14:textId="7093647E" w:rsidR="00DB7CE5" w:rsidRDefault="00DB7CE5" w:rsidP="007B4FE5">
      <w:pPr>
        <w:spacing w:after="160"/>
        <w:rPr>
          <w:rFonts w:ascii="Times New Roman" w:hAnsi="Times New Roman" w:cs="Times New Roman"/>
        </w:rPr>
      </w:pPr>
    </w:p>
    <w:p w14:paraId="58710A96" w14:textId="03AFF85C" w:rsidR="00DB7CE5" w:rsidRDefault="00DB7CE5" w:rsidP="007B4FE5">
      <w:pPr>
        <w:spacing w:after="160"/>
        <w:rPr>
          <w:rFonts w:ascii="Times New Roman" w:hAnsi="Times New Roman" w:cs="Times New Roman"/>
        </w:rPr>
      </w:pP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lastRenderedPageBreak/>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 xml:space="preserve">To search, the model </w:t>
      </w:r>
      <w:r w:rsidR="00DF2442">
        <w:rPr>
          <w:rFonts w:ascii="Times New Roman" w:hAnsi="Times New Roman" w:cs="Times New Roman"/>
          <w:sz w:val="22"/>
          <w:szCs w:val="22"/>
        </w:rPr>
        <w:lastRenderedPageBreak/>
        <w:t>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w:t>
      </w:r>
      <w:r>
        <w:rPr>
          <w:rFonts w:ascii="Times New Roman" w:hAnsi="Times New Roman" w:cs="Times New Roman"/>
          <w:sz w:val="22"/>
          <w:szCs w:val="22"/>
        </w:rPr>
        <w:lastRenderedPageBreak/>
        <w:t xml:space="preserve">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w:t>
      </w:r>
      <w:r w:rsidRPr="00BC7E31">
        <w:rPr>
          <w:rFonts w:ascii="Times New Roman" w:hAnsi="Times New Roman" w:cs="Times New Roman"/>
          <w:sz w:val="22"/>
          <w:szCs w:val="22"/>
        </w:rPr>
        <w:lastRenderedPageBreak/>
        <w:t xml:space="preserve">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42696" w:rsidRDefault="00142696">
      <w:pPr>
        <w:pStyle w:val="CommentText"/>
      </w:pPr>
      <w:r>
        <w:rPr>
          <w:rStyle w:val="CommentReference"/>
        </w:rPr>
        <w:annotationRef/>
      </w:r>
      <w:r>
        <w:t>Source</w:t>
      </w:r>
    </w:p>
  </w:comment>
  <w:comment w:id="2" w:author="Alex Moran" w:date="2021-03-12T18:12:00Z" w:initials="AM">
    <w:p w14:paraId="52A65160" w14:textId="24E5440A" w:rsidR="00E47B06" w:rsidRDefault="00E47B06">
      <w:pPr>
        <w:pStyle w:val="CommentText"/>
      </w:pPr>
      <w:r>
        <w:rPr>
          <w:rStyle w:val="CommentReference"/>
        </w:rPr>
        <w:annotationRef/>
      </w:r>
      <w:r>
        <w:t>Not sure if I actually do this. Check on this.</w:t>
      </w:r>
    </w:p>
  </w:comment>
  <w:comment w:id="3" w:author="Alex Moran" w:date="2021-01-15T11:59:00Z" w:initials="AM">
    <w:p w14:paraId="6D4E558A" w14:textId="11B77B1A" w:rsidR="00C93BCD" w:rsidRDefault="00C93BCD">
      <w:pPr>
        <w:pStyle w:val="CommentText"/>
      </w:pPr>
      <w:r>
        <w:rPr>
          <w:rStyle w:val="CommentReference"/>
        </w:rPr>
        <w:annotationRef/>
      </w:r>
      <w:r>
        <w:t>Find a paper for this.</w:t>
      </w:r>
    </w:p>
  </w:comment>
  <w:comment w:id="4" w:author="Alex Moran" w:date="2021-03-08T16:18:00Z" w:initials="AM">
    <w:p w14:paraId="47100EE4" w14:textId="5CA9F2FF" w:rsidR="00C93BCD" w:rsidRDefault="00C93BCD">
      <w:pPr>
        <w:pStyle w:val="CommentText"/>
      </w:pPr>
      <w:r>
        <w:rPr>
          <w:rStyle w:val="CommentReference"/>
        </w:rPr>
        <w:annotationRef/>
      </w:r>
      <w:r>
        <w:t>“Bagging predictors”</w:t>
      </w:r>
    </w:p>
  </w:comment>
  <w:comment w:id="5" w:author="Alex Moran" w:date="2021-01-15T18:05:00Z" w:initials="AM">
    <w:p w14:paraId="6073BA6B" w14:textId="4D205912" w:rsidR="00C93BCD" w:rsidRDefault="00C93BCD">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6" w:author="Alex Moran" w:date="2021-01-15T18:05:00Z" w:initials="AM">
    <w:p w14:paraId="69ABEBD2" w14:textId="7089F370" w:rsidR="00C93BCD" w:rsidRDefault="00C93BCD">
      <w:pPr>
        <w:pStyle w:val="CommentText"/>
      </w:pPr>
      <w:r>
        <w:rPr>
          <w:rStyle w:val="CommentReference"/>
        </w:rPr>
        <w:annotationRef/>
      </w:r>
      <w:r>
        <w:t>Check back on this.</w:t>
      </w:r>
    </w:p>
  </w:comment>
  <w:comment w:id="7" w:author="Alex Moran" w:date="2021-01-26T16:26:00Z" w:initials="AM">
    <w:p w14:paraId="51AB19BE" w14:textId="2F3A8361" w:rsidR="00C93BCD" w:rsidRDefault="00C93BCD">
      <w:pPr>
        <w:pStyle w:val="CommentText"/>
      </w:pPr>
      <w:r>
        <w:rPr>
          <w:rStyle w:val="CommentReference"/>
        </w:rPr>
        <w:annotationRef/>
      </w:r>
      <w:r>
        <w:t>Delve into this some more. What is the expected distribution of RMSEs from the model?</w:t>
      </w:r>
    </w:p>
  </w:comment>
  <w:comment w:id="8" w:author="Alex Moran" w:date="2021-03-08T18:31:00Z" w:initials="AM">
    <w:p w14:paraId="7F7771E9" w14:textId="50FD2593" w:rsidR="00C93BCD" w:rsidRDefault="00C93BCD">
      <w:pPr>
        <w:pStyle w:val="CommentText"/>
      </w:pPr>
      <w:r>
        <w:rPr>
          <w:rStyle w:val="CommentReference"/>
        </w:rPr>
        <w:annotationRef/>
      </w:r>
      <w:r>
        <w:t xml:space="preserve">Instead of “real,” try “branched” or “split” </w:t>
      </w:r>
    </w:p>
  </w:comment>
  <w:comment w:id="9" w:author="Alex Moran" w:date="2021-03-08T18:28:00Z" w:initials="AM">
    <w:p w14:paraId="465C8F0C" w14:textId="3FA386CE" w:rsidR="00C93BCD" w:rsidRDefault="00C93BCD">
      <w:pPr>
        <w:pStyle w:val="CommentText"/>
      </w:pPr>
      <w:r>
        <w:rPr>
          <w:rStyle w:val="CommentReference"/>
        </w:rPr>
        <w:annotationRef/>
      </w:r>
      <w:r>
        <w:t>Add a sentence or two about what this means—you don’t have to give a full explanation, just say that you’ll handle it below and tease why it’s important.</w:t>
      </w:r>
    </w:p>
  </w:comment>
  <w:comment w:id="11" w:author="Alex Moran" w:date="2021-03-08T18:48:00Z" w:initials="AM">
    <w:p w14:paraId="6276CCE5" w14:textId="1DF2B1AA" w:rsidR="00C93BCD" w:rsidRDefault="00C93BCD">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52A65160" w15:done="0"/>
  <w15:commentEx w15:paraId="6D4E558A" w15:done="0"/>
  <w15:commentEx w15:paraId="47100EE4" w15:done="0"/>
  <w15:commentEx w15:paraId="6073BA6B" w15:done="0"/>
  <w15:commentEx w15:paraId="69ABEBD2" w15:done="1"/>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62DA8" w16cex:dateUtc="2021-03-12T23:12:00Z"/>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52A65160" w16cid:durableId="23F62DA8"/>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3D98"/>
    <w:rsid w:val="000351AD"/>
    <w:rsid w:val="000352D6"/>
    <w:rsid w:val="000465B3"/>
    <w:rsid w:val="00051535"/>
    <w:rsid w:val="00054548"/>
    <w:rsid w:val="0007151D"/>
    <w:rsid w:val="000847E0"/>
    <w:rsid w:val="00087937"/>
    <w:rsid w:val="000B08B3"/>
    <w:rsid w:val="000B57D8"/>
    <w:rsid w:val="000C2384"/>
    <w:rsid w:val="000C76A6"/>
    <w:rsid w:val="000D15AC"/>
    <w:rsid w:val="000E2CBD"/>
    <w:rsid w:val="000E44A7"/>
    <w:rsid w:val="000E6990"/>
    <w:rsid w:val="000E73DE"/>
    <w:rsid w:val="000E7E1C"/>
    <w:rsid w:val="000F0E33"/>
    <w:rsid w:val="00101111"/>
    <w:rsid w:val="00107AE9"/>
    <w:rsid w:val="0011585F"/>
    <w:rsid w:val="00115ED0"/>
    <w:rsid w:val="00120A78"/>
    <w:rsid w:val="00122F51"/>
    <w:rsid w:val="00123123"/>
    <w:rsid w:val="001231A0"/>
    <w:rsid w:val="00123221"/>
    <w:rsid w:val="00123BFB"/>
    <w:rsid w:val="00124792"/>
    <w:rsid w:val="0012612A"/>
    <w:rsid w:val="0013062E"/>
    <w:rsid w:val="001307A0"/>
    <w:rsid w:val="00133298"/>
    <w:rsid w:val="00142696"/>
    <w:rsid w:val="0014300F"/>
    <w:rsid w:val="001446EC"/>
    <w:rsid w:val="00145A6A"/>
    <w:rsid w:val="001477F3"/>
    <w:rsid w:val="00150FEF"/>
    <w:rsid w:val="001668B0"/>
    <w:rsid w:val="00167A62"/>
    <w:rsid w:val="00167B86"/>
    <w:rsid w:val="001761F3"/>
    <w:rsid w:val="00183F3F"/>
    <w:rsid w:val="00185084"/>
    <w:rsid w:val="0019114A"/>
    <w:rsid w:val="001927ED"/>
    <w:rsid w:val="0019446C"/>
    <w:rsid w:val="00196AE8"/>
    <w:rsid w:val="001A1000"/>
    <w:rsid w:val="001B61D8"/>
    <w:rsid w:val="001C37B1"/>
    <w:rsid w:val="001D00E0"/>
    <w:rsid w:val="001D04CB"/>
    <w:rsid w:val="001D21B3"/>
    <w:rsid w:val="001D228E"/>
    <w:rsid w:val="001E0233"/>
    <w:rsid w:val="001E0C90"/>
    <w:rsid w:val="001E0DB5"/>
    <w:rsid w:val="001E52AD"/>
    <w:rsid w:val="001F6884"/>
    <w:rsid w:val="0020041C"/>
    <w:rsid w:val="00206CE1"/>
    <w:rsid w:val="002149F3"/>
    <w:rsid w:val="00227891"/>
    <w:rsid w:val="00235024"/>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577D4"/>
    <w:rsid w:val="00366AE3"/>
    <w:rsid w:val="0037151A"/>
    <w:rsid w:val="00375FB6"/>
    <w:rsid w:val="00376881"/>
    <w:rsid w:val="0038422E"/>
    <w:rsid w:val="0038787C"/>
    <w:rsid w:val="00392324"/>
    <w:rsid w:val="003929F8"/>
    <w:rsid w:val="00394106"/>
    <w:rsid w:val="00394798"/>
    <w:rsid w:val="003A4A7F"/>
    <w:rsid w:val="003B3C39"/>
    <w:rsid w:val="003C0332"/>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676AB"/>
    <w:rsid w:val="00473355"/>
    <w:rsid w:val="00486F3B"/>
    <w:rsid w:val="00493440"/>
    <w:rsid w:val="0049474A"/>
    <w:rsid w:val="004A4F68"/>
    <w:rsid w:val="004C06F5"/>
    <w:rsid w:val="004C087C"/>
    <w:rsid w:val="004D03EC"/>
    <w:rsid w:val="004D2B04"/>
    <w:rsid w:val="004D6F2A"/>
    <w:rsid w:val="004E45AC"/>
    <w:rsid w:val="004E53E0"/>
    <w:rsid w:val="004F4203"/>
    <w:rsid w:val="00501F1A"/>
    <w:rsid w:val="00502991"/>
    <w:rsid w:val="00514EB4"/>
    <w:rsid w:val="0051602B"/>
    <w:rsid w:val="0051628D"/>
    <w:rsid w:val="00530F9E"/>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D247A"/>
    <w:rsid w:val="005E07EF"/>
    <w:rsid w:val="005E2765"/>
    <w:rsid w:val="0060152E"/>
    <w:rsid w:val="0060209B"/>
    <w:rsid w:val="00603B67"/>
    <w:rsid w:val="00611E47"/>
    <w:rsid w:val="0061266B"/>
    <w:rsid w:val="006225F0"/>
    <w:rsid w:val="006357A3"/>
    <w:rsid w:val="00636E0B"/>
    <w:rsid w:val="006411E7"/>
    <w:rsid w:val="006446B0"/>
    <w:rsid w:val="0064693E"/>
    <w:rsid w:val="0065136E"/>
    <w:rsid w:val="00652032"/>
    <w:rsid w:val="0065639D"/>
    <w:rsid w:val="0066325F"/>
    <w:rsid w:val="00665951"/>
    <w:rsid w:val="00666765"/>
    <w:rsid w:val="006673D4"/>
    <w:rsid w:val="00670AD1"/>
    <w:rsid w:val="00671CAC"/>
    <w:rsid w:val="00673C91"/>
    <w:rsid w:val="00677742"/>
    <w:rsid w:val="00682007"/>
    <w:rsid w:val="00684AF2"/>
    <w:rsid w:val="006905E5"/>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46F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1E67"/>
    <w:rsid w:val="0089282E"/>
    <w:rsid w:val="008A32CD"/>
    <w:rsid w:val="008B0304"/>
    <w:rsid w:val="008C11E0"/>
    <w:rsid w:val="008C462A"/>
    <w:rsid w:val="008C5907"/>
    <w:rsid w:val="00901AFE"/>
    <w:rsid w:val="0090446A"/>
    <w:rsid w:val="009053FC"/>
    <w:rsid w:val="00907CBC"/>
    <w:rsid w:val="00910903"/>
    <w:rsid w:val="00916EC2"/>
    <w:rsid w:val="00924676"/>
    <w:rsid w:val="00940D8A"/>
    <w:rsid w:val="009418F0"/>
    <w:rsid w:val="00942F5D"/>
    <w:rsid w:val="0094412C"/>
    <w:rsid w:val="00956988"/>
    <w:rsid w:val="00962D70"/>
    <w:rsid w:val="009827CD"/>
    <w:rsid w:val="00996C28"/>
    <w:rsid w:val="009A0415"/>
    <w:rsid w:val="009A418D"/>
    <w:rsid w:val="009C24D6"/>
    <w:rsid w:val="009E265A"/>
    <w:rsid w:val="009E7126"/>
    <w:rsid w:val="009F1494"/>
    <w:rsid w:val="009F2429"/>
    <w:rsid w:val="009F2617"/>
    <w:rsid w:val="009F5135"/>
    <w:rsid w:val="00A0087A"/>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4033"/>
    <w:rsid w:val="00A9637F"/>
    <w:rsid w:val="00AA18FF"/>
    <w:rsid w:val="00AB6EFB"/>
    <w:rsid w:val="00AB73C6"/>
    <w:rsid w:val="00AD51A3"/>
    <w:rsid w:val="00AE233E"/>
    <w:rsid w:val="00AE593B"/>
    <w:rsid w:val="00AF16E1"/>
    <w:rsid w:val="00B04588"/>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5CBA"/>
    <w:rsid w:val="00B86874"/>
    <w:rsid w:val="00B87E23"/>
    <w:rsid w:val="00B917B8"/>
    <w:rsid w:val="00B92935"/>
    <w:rsid w:val="00B9420B"/>
    <w:rsid w:val="00B9577C"/>
    <w:rsid w:val="00B95EE4"/>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3BCD"/>
    <w:rsid w:val="00C94D0C"/>
    <w:rsid w:val="00CA16A5"/>
    <w:rsid w:val="00CA7F90"/>
    <w:rsid w:val="00CC36A2"/>
    <w:rsid w:val="00CC4FE7"/>
    <w:rsid w:val="00CC5A50"/>
    <w:rsid w:val="00CD19F0"/>
    <w:rsid w:val="00CD4B2C"/>
    <w:rsid w:val="00CD7D73"/>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B7CE5"/>
    <w:rsid w:val="00DC2113"/>
    <w:rsid w:val="00DC2220"/>
    <w:rsid w:val="00DC6811"/>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552C"/>
    <w:rsid w:val="00E3776F"/>
    <w:rsid w:val="00E4500A"/>
    <w:rsid w:val="00E468B3"/>
    <w:rsid w:val="00E478C0"/>
    <w:rsid w:val="00E47B06"/>
    <w:rsid w:val="00E530E2"/>
    <w:rsid w:val="00E535E1"/>
    <w:rsid w:val="00E568D8"/>
    <w:rsid w:val="00E65551"/>
    <w:rsid w:val="00E8245F"/>
    <w:rsid w:val="00E85459"/>
    <w:rsid w:val="00E90264"/>
    <w:rsid w:val="00EA1953"/>
    <w:rsid w:val="00EB5266"/>
    <w:rsid w:val="00ED1685"/>
    <w:rsid w:val="00ED7D24"/>
    <w:rsid w:val="00EE2F9C"/>
    <w:rsid w:val="00EE5B4C"/>
    <w:rsid w:val="00EE68C0"/>
    <w:rsid w:val="00EE69DC"/>
    <w:rsid w:val="00EE7C0E"/>
    <w:rsid w:val="00F01093"/>
    <w:rsid w:val="00F142BA"/>
    <w:rsid w:val="00F14A6F"/>
    <w:rsid w:val="00F20796"/>
    <w:rsid w:val="00F25C0A"/>
    <w:rsid w:val="00F27CC5"/>
    <w:rsid w:val="00F34774"/>
    <w:rsid w:val="00F35F03"/>
    <w:rsid w:val="00F3742F"/>
    <w:rsid w:val="00F47DDA"/>
    <w:rsid w:val="00F5094B"/>
    <w:rsid w:val="00F52B45"/>
    <w:rsid w:val="00F54C57"/>
    <w:rsid w:val="00F65B22"/>
    <w:rsid w:val="00F76C82"/>
    <w:rsid w:val="00F77E30"/>
    <w:rsid w:val="00F83561"/>
    <w:rsid w:val="00F8727C"/>
    <w:rsid w:val="00F92FAA"/>
    <w:rsid w:val="00FA090E"/>
    <w:rsid w:val="00FA380C"/>
    <w:rsid w:val="00FB534B"/>
    <w:rsid w:val="00FB6AC6"/>
    <w:rsid w:val="00FB7933"/>
    <w:rsid w:val="00FC25EB"/>
    <w:rsid w:val="00FC410B"/>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27</Pages>
  <Words>14715</Words>
  <Characters>83876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41</cp:revision>
  <cp:lastPrinted>2020-11-12T19:44:00Z</cp:lastPrinted>
  <dcterms:created xsi:type="dcterms:W3CDTF">2021-03-09T18:34:00Z</dcterms:created>
  <dcterms:modified xsi:type="dcterms:W3CDTF">2021-03-12T23:20:00Z</dcterms:modified>
</cp:coreProperties>
</file>