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xml:space="preserve">.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72E87524" w:rsidR="00682007" w:rsidRDefault="007350D2" w:rsidP="007350D2">
      <w:pPr>
        <w:ind w:firstLine="720"/>
        <w:jc w:val="both"/>
        <w:rPr>
          <w:rFonts w:ascii="Times New Roman" w:hAnsi="Times New Roman" w:cs="Times New Roman"/>
          <w:sz w:val="22"/>
          <w:szCs w:val="22"/>
        </w:rPr>
      </w:pPr>
      <w:r>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1FE1D87C"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1180E8AE" w:rsidR="00E90264"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2010 to January 2020. </w:t>
      </w:r>
      <w:r>
        <w:rPr>
          <w:rFonts w:ascii="Times New Roman" w:hAnsi="Times New Roman" w:cs="Times New Roman"/>
          <w:sz w:val="22"/>
          <w:szCs w:val="22"/>
        </w:rPr>
        <w:t>The results are summarized in Table 5.</w:t>
      </w:r>
    </w:p>
    <w:p w14:paraId="04E98576" w14:textId="341B51E3" w:rsidR="000847E0"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does not compare so favorably with the ARIMA or other models. This is likely due to the very different nature of these other time series. For example, the US monthly unemployment rate from January 1990 to January 2000 is not a stationary time series. </w:t>
      </w:r>
      <w:commentRangeStart w:id="4"/>
      <w:r>
        <w:rPr>
          <w:rFonts w:ascii="Times New Roman" w:hAnsi="Times New Roman" w:cs="Times New Roman"/>
          <w:sz w:val="22"/>
          <w:szCs w:val="22"/>
        </w:rPr>
        <w:t>Differencing the time series would likely allow the model to produce a much more encouraging result</w:t>
      </w:r>
      <w:commentRangeEnd w:id="4"/>
      <w:r w:rsidR="00825112">
        <w:rPr>
          <w:rStyle w:val="CommentReference"/>
        </w:rPr>
        <w:commentReference w:id="4"/>
      </w:r>
      <w:r>
        <w:rPr>
          <w:rFonts w:ascii="Times New Roman" w:hAnsi="Times New Roman" w:cs="Times New Roman"/>
          <w:sz w:val="22"/>
          <w:szCs w:val="22"/>
        </w:rPr>
        <w:t>.</w:t>
      </w:r>
      <w:r w:rsidR="00825112">
        <w:rPr>
          <w:rFonts w:ascii="Times New Roman" w:hAnsi="Times New Roman" w:cs="Times New Roman"/>
          <w:sz w:val="22"/>
          <w:szCs w:val="22"/>
        </w:rPr>
        <w:t xml:space="preserve"> The US 3-month Treasury rate</w:t>
      </w:r>
      <w:r w:rsidR="00716298">
        <w:rPr>
          <w:rFonts w:ascii="Times New Roman" w:hAnsi="Times New Roman" w:cs="Times New Roman"/>
          <w:sz w:val="22"/>
          <w:szCs w:val="22"/>
        </w:rPr>
        <w:t xml:space="preserve"> is likewise non-stationary during the time period considered</w:t>
      </w:r>
      <w:r w:rsidR="007B48B9">
        <w:rPr>
          <w:rFonts w:ascii="Times New Roman" w:hAnsi="Times New Roman" w:cs="Times New Roman"/>
          <w:sz w:val="22"/>
          <w:szCs w:val="22"/>
        </w:rPr>
        <w:t xml:space="preserve">. Not only are these series stationary, </w:t>
      </w:r>
      <w:proofErr w:type="gramStart"/>
      <w:r w:rsidR="007B48B9">
        <w:rPr>
          <w:rFonts w:ascii="Times New Roman" w:hAnsi="Times New Roman" w:cs="Times New Roman"/>
          <w:sz w:val="22"/>
          <w:szCs w:val="22"/>
        </w:rPr>
        <w:t>they</w:t>
      </w:r>
      <w:proofErr w:type="gramEnd"/>
      <w:r w:rsidR="007B48B9">
        <w:rPr>
          <w:rFonts w:ascii="Times New Roman" w:hAnsi="Times New Roman" w:cs="Times New Roman"/>
          <w:sz w:val="22"/>
          <w:szCs w:val="22"/>
        </w:rPr>
        <w:t xml:space="preserve"> also tend to be rather sticky, unlike inflation. The unemployment rate is not going to change very much from one month to the next, nor is the Treasury rate going to move as quickly and seemingly randomly as inflation is.</w:t>
      </w:r>
    </w:p>
    <w:p w14:paraId="20588761" w14:textId="78EECAD5" w:rsidR="007B48B9" w:rsidRDefault="007B48B9"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On the other hand, the UK monthly inflation rate is data of a very similar type to the US monthly inflation rate. It is </w:t>
      </w:r>
      <w:proofErr w:type="gramStart"/>
      <w:r>
        <w:rPr>
          <w:rFonts w:ascii="Times New Roman" w:hAnsi="Times New Roman" w:cs="Times New Roman"/>
          <w:sz w:val="22"/>
          <w:szCs w:val="22"/>
        </w:rPr>
        <w:t>stationary, and</w:t>
      </w:r>
      <w:proofErr w:type="gramEnd"/>
      <w:r>
        <w:rPr>
          <w:rFonts w:ascii="Times New Roman" w:hAnsi="Times New Roman" w:cs="Times New Roman"/>
          <w:sz w:val="22"/>
          <w:szCs w:val="22"/>
        </w:rPr>
        <w:t xml:space="preserve"> fluctuates wildly—it is not sticky like the unemployment rate or the Treasury rate. As a result, the model predicts well on this data, outperforming the ARIMA model.</w:t>
      </w:r>
    </w:p>
    <w:p w14:paraId="68C80F03" w14:textId="77777777" w:rsidR="007B48B9" w:rsidRDefault="007B48B9" w:rsidP="00E90264">
      <w:pPr>
        <w:jc w:val="both"/>
        <w:rPr>
          <w:rFonts w:ascii="Times New Roman" w:hAnsi="Times New Roman" w:cs="Times New Roman"/>
          <w:sz w:val="22"/>
          <w:szCs w:val="22"/>
        </w:rPr>
      </w:pP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29A9E774" w:rsidR="00E90264" w:rsidRDefault="006357A3" w:rsidP="006357A3">
      <w:pPr>
        <w:ind w:firstLine="720"/>
        <w:jc w:val="both"/>
        <w:rPr>
          <w:rFonts w:ascii="Times New Roman" w:hAnsi="Times New Roman" w:cs="Times New Roman"/>
          <w:sz w:val="22"/>
          <w:szCs w:val="22"/>
        </w:rPr>
      </w:pPr>
      <w:r>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Pr>
          <w:rFonts w:ascii="Times New Roman" w:hAnsi="Times New Roman" w:cs="Times New Roman"/>
          <w:sz w:val="22"/>
          <w:szCs w:val="22"/>
        </w:rPr>
        <w:t xml:space="preserve"> </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9E7126">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1186F1D5"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0.1435056</w:t>
            </w:r>
          </w:p>
        </w:tc>
        <w:tc>
          <w:tcPr>
            <w:tcW w:w="1102" w:type="dxa"/>
            <w:gridSpan w:val="2"/>
            <w:tcBorders>
              <w:top w:val="single" w:sz="4" w:space="0" w:color="auto"/>
              <w:left w:val="single" w:sz="4" w:space="0" w:color="auto"/>
              <w:bottom w:val="nil"/>
              <w:right w:val="nil"/>
            </w:tcBorders>
            <w:vAlign w:val="center"/>
          </w:tcPr>
          <w:p w14:paraId="0E219F88" w14:textId="3A235CC0" w:rsidR="00502991" w:rsidRPr="00C4156C" w:rsidRDefault="0061266B" w:rsidP="00502991">
            <w:pPr>
              <w:contextualSpacing/>
              <w:jc w:val="center"/>
              <w:rPr>
                <w:rFonts w:ascii="Times New Roman" w:hAnsi="Times New Roman" w:cs="Times New Roman"/>
                <w:b/>
                <w:bCs/>
                <w:sz w:val="18"/>
                <w:szCs w:val="18"/>
              </w:rPr>
            </w:pPr>
            <w:r w:rsidRPr="00C4156C">
              <w:rPr>
                <w:rFonts w:ascii="Times New Roman" w:hAnsi="Times New Roman" w:cs="Times New Roman"/>
                <w:b/>
                <w:bCs/>
                <w:sz w:val="18"/>
                <w:szCs w:val="18"/>
              </w:rPr>
              <w:t>0.1346939</w:t>
            </w:r>
          </w:p>
        </w:tc>
        <w:tc>
          <w:tcPr>
            <w:tcW w:w="1103" w:type="dxa"/>
            <w:gridSpan w:val="3"/>
            <w:tcBorders>
              <w:top w:val="single" w:sz="4" w:space="0" w:color="auto"/>
              <w:left w:val="nil"/>
              <w:bottom w:val="nil"/>
              <w:right w:val="nil"/>
            </w:tcBorders>
            <w:vAlign w:val="center"/>
          </w:tcPr>
          <w:p w14:paraId="3AF1D962" w14:textId="0EE5A743"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5.840837</w:t>
            </w:r>
          </w:p>
        </w:tc>
        <w:tc>
          <w:tcPr>
            <w:tcW w:w="1102" w:type="dxa"/>
            <w:gridSpan w:val="3"/>
            <w:tcBorders>
              <w:top w:val="single" w:sz="4" w:space="0" w:color="auto"/>
              <w:left w:val="nil"/>
              <w:bottom w:val="nil"/>
              <w:right w:val="nil"/>
            </w:tcBorders>
            <w:vAlign w:val="center"/>
          </w:tcPr>
          <w:p w14:paraId="6B2D482F" w14:textId="27E2E84D"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0.1761441</w:t>
            </w:r>
          </w:p>
        </w:tc>
        <w:tc>
          <w:tcPr>
            <w:tcW w:w="1103" w:type="dxa"/>
            <w:tcBorders>
              <w:top w:val="single" w:sz="4" w:space="0" w:color="auto"/>
              <w:left w:val="nil"/>
              <w:bottom w:val="nil"/>
              <w:right w:val="nil"/>
            </w:tcBorders>
            <w:vAlign w:val="center"/>
          </w:tcPr>
          <w:p w14:paraId="43372D22" w14:textId="2FC7B1C6"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9E7126">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4CFA66A2"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2.610139</w:t>
            </w:r>
          </w:p>
        </w:tc>
        <w:tc>
          <w:tcPr>
            <w:tcW w:w="1102" w:type="dxa"/>
            <w:gridSpan w:val="2"/>
            <w:tcBorders>
              <w:top w:val="nil"/>
              <w:left w:val="single" w:sz="4" w:space="0" w:color="auto"/>
              <w:bottom w:val="nil"/>
              <w:right w:val="nil"/>
            </w:tcBorders>
            <w:vAlign w:val="center"/>
          </w:tcPr>
          <w:p w14:paraId="04139D4E" w14:textId="71221331"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1.743591</w:t>
            </w:r>
          </w:p>
        </w:tc>
        <w:tc>
          <w:tcPr>
            <w:tcW w:w="1103" w:type="dxa"/>
            <w:gridSpan w:val="3"/>
            <w:tcBorders>
              <w:top w:val="nil"/>
              <w:left w:val="nil"/>
              <w:bottom w:val="nil"/>
              <w:right w:val="nil"/>
            </w:tcBorders>
            <w:vAlign w:val="center"/>
          </w:tcPr>
          <w:p w14:paraId="7F866743" w14:textId="14518804"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5.622212</w:t>
            </w:r>
          </w:p>
        </w:tc>
        <w:tc>
          <w:tcPr>
            <w:tcW w:w="1102" w:type="dxa"/>
            <w:gridSpan w:val="3"/>
            <w:tcBorders>
              <w:top w:val="nil"/>
              <w:left w:val="nil"/>
              <w:bottom w:val="nil"/>
              <w:right w:val="nil"/>
            </w:tcBorders>
            <w:vAlign w:val="center"/>
          </w:tcPr>
          <w:p w14:paraId="623482CD" w14:textId="2204DE7D"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2.652813</w:t>
            </w:r>
          </w:p>
        </w:tc>
        <w:tc>
          <w:tcPr>
            <w:tcW w:w="1103" w:type="dxa"/>
            <w:tcBorders>
              <w:top w:val="nil"/>
              <w:left w:val="nil"/>
              <w:bottom w:val="nil"/>
              <w:right w:val="nil"/>
            </w:tcBorders>
            <w:vAlign w:val="center"/>
          </w:tcPr>
          <w:p w14:paraId="138AF048" w14:textId="1BAB9CBB" w:rsidR="00502991" w:rsidRPr="00C4156C" w:rsidRDefault="0061266B" w:rsidP="00502991">
            <w:pPr>
              <w:contextualSpacing/>
              <w:jc w:val="center"/>
              <w:rPr>
                <w:rFonts w:ascii="Times New Roman" w:hAnsi="Times New Roman" w:cs="Times New Roman"/>
                <w:b/>
                <w:bCs/>
                <w:sz w:val="18"/>
                <w:szCs w:val="18"/>
              </w:rPr>
            </w:pPr>
            <w:r w:rsidRPr="00C4156C">
              <w:rPr>
                <w:rFonts w:ascii="Times New Roman" w:hAnsi="Times New Roman" w:cs="Times New Roman"/>
                <w:b/>
                <w:bCs/>
                <w:sz w:val="18"/>
                <w:szCs w:val="18"/>
              </w:rPr>
              <w:t>0.188695</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9E7126">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6C483266"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2010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17E27BD5" w:rsidR="00502991" w:rsidRPr="00C4156C" w:rsidRDefault="00C4156C"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6.179295</w:t>
            </w:r>
          </w:p>
        </w:tc>
        <w:tc>
          <w:tcPr>
            <w:tcW w:w="1102" w:type="dxa"/>
            <w:gridSpan w:val="2"/>
            <w:tcBorders>
              <w:top w:val="nil"/>
              <w:left w:val="single" w:sz="4" w:space="0" w:color="auto"/>
              <w:bottom w:val="nil"/>
              <w:right w:val="nil"/>
            </w:tcBorders>
            <w:vAlign w:val="center"/>
          </w:tcPr>
          <w:p w14:paraId="17001D91" w14:textId="5FA35859" w:rsidR="00502991" w:rsidRPr="00C4156C" w:rsidRDefault="00C4156C"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0.695533</w:t>
            </w:r>
          </w:p>
        </w:tc>
        <w:tc>
          <w:tcPr>
            <w:tcW w:w="1103" w:type="dxa"/>
            <w:gridSpan w:val="3"/>
            <w:tcBorders>
              <w:top w:val="nil"/>
              <w:left w:val="nil"/>
              <w:bottom w:val="nil"/>
              <w:right w:val="nil"/>
            </w:tcBorders>
            <w:vAlign w:val="center"/>
          </w:tcPr>
          <w:p w14:paraId="7A7AFF8A" w14:textId="188146BF" w:rsidR="00502991" w:rsidRPr="00C4156C" w:rsidRDefault="00C4156C"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0.132327</w:t>
            </w:r>
          </w:p>
        </w:tc>
        <w:tc>
          <w:tcPr>
            <w:tcW w:w="1102" w:type="dxa"/>
            <w:gridSpan w:val="3"/>
            <w:tcBorders>
              <w:top w:val="nil"/>
              <w:left w:val="nil"/>
              <w:bottom w:val="nil"/>
              <w:right w:val="nil"/>
            </w:tcBorders>
            <w:vAlign w:val="center"/>
          </w:tcPr>
          <w:p w14:paraId="5BAA565B" w14:textId="3283BCE4" w:rsidR="00502991" w:rsidRPr="00C4156C" w:rsidRDefault="00C4156C"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0.0117248</w:t>
            </w:r>
          </w:p>
        </w:tc>
        <w:tc>
          <w:tcPr>
            <w:tcW w:w="1103" w:type="dxa"/>
            <w:tcBorders>
              <w:top w:val="nil"/>
              <w:left w:val="nil"/>
              <w:bottom w:val="nil"/>
              <w:right w:val="nil"/>
            </w:tcBorders>
            <w:vAlign w:val="center"/>
          </w:tcPr>
          <w:p w14:paraId="30BFB966" w14:textId="02F256D1" w:rsidR="00502991" w:rsidRPr="00C4156C" w:rsidRDefault="00C4156C" w:rsidP="00502991">
            <w:pPr>
              <w:contextualSpacing/>
              <w:jc w:val="center"/>
              <w:rPr>
                <w:rFonts w:ascii="Times New Roman" w:hAnsi="Times New Roman" w:cs="Times New Roman"/>
                <w:b/>
                <w:bCs/>
                <w:sz w:val="18"/>
                <w:szCs w:val="18"/>
              </w:rPr>
            </w:pPr>
            <w:r w:rsidRPr="00C4156C">
              <w:rPr>
                <w:rFonts w:ascii="Times New Roman" w:hAnsi="Times New Roman" w:cs="Times New Roman"/>
                <w:b/>
                <w:bCs/>
                <w:sz w:val="18"/>
                <w:szCs w:val="18"/>
              </w:rPr>
              <w:t>0.00402873</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29F79570" w:rsidR="00CD4B2C" w:rsidRPr="001E0C90" w:rsidRDefault="001E0C90" w:rsidP="00502991">
            <w:pPr>
              <w:contextualSpacing/>
              <w:jc w:val="center"/>
              <w:rPr>
                <w:rFonts w:ascii="Times New Roman" w:hAnsi="Times New Roman" w:cs="Times New Roman"/>
                <w:sz w:val="18"/>
                <w:szCs w:val="18"/>
              </w:rPr>
            </w:pPr>
            <w:r w:rsidRPr="001E0C90">
              <w:rPr>
                <w:rFonts w:ascii="Times New Roman" w:hAnsi="Times New Roman" w:cs="Times New Roman"/>
                <w:sz w:val="18"/>
                <w:szCs w:val="18"/>
              </w:rPr>
              <w:t>0.00269439</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1E0C90" w:rsidRDefault="001E0C90" w:rsidP="00502991">
            <w:pPr>
              <w:contextualSpacing/>
              <w:jc w:val="center"/>
              <w:rPr>
                <w:rFonts w:ascii="Times New Roman" w:hAnsi="Times New Roman" w:cs="Times New Roman"/>
                <w:b/>
                <w:bCs/>
                <w:sz w:val="18"/>
                <w:szCs w:val="18"/>
              </w:rPr>
            </w:pPr>
            <w:r w:rsidRPr="001E0C90">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77777777" w:rsidR="00CD4B2C" w:rsidRPr="001E0C90" w:rsidRDefault="00CD4B2C" w:rsidP="00502991">
            <w:pPr>
              <w:contextualSpacing/>
              <w:jc w:val="center"/>
              <w:rPr>
                <w:rFonts w:ascii="Times New Roman" w:hAnsi="Times New Roman" w:cs="Times New Roman"/>
                <w:sz w:val="18"/>
                <w:szCs w:val="18"/>
              </w:rPr>
            </w:pPr>
          </w:p>
        </w:tc>
        <w:tc>
          <w:tcPr>
            <w:tcW w:w="1608" w:type="dxa"/>
            <w:gridSpan w:val="3"/>
            <w:tcBorders>
              <w:top w:val="single" w:sz="4" w:space="0" w:color="auto"/>
              <w:left w:val="nil"/>
              <w:bottom w:val="nil"/>
              <w:right w:val="nil"/>
            </w:tcBorders>
            <w:vAlign w:val="center"/>
          </w:tcPr>
          <w:p w14:paraId="6D4C6005" w14:textId="71BB7917" w:rsidR="00CD4B2C" w:rsidRPr="001E0C90" w:rsidRDefault="001E0C90"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117A5F85" w:rsidR="00473355" w:rsidRPr="00473355" w:rsidRDefault="00473355" w:rsidP="00473355">
      <w:pPr>
        <w:pStyle w:val="ListParagraph"/>
        <w:numPr>
          <w:ilvl w:val="1"/>
          <w:numId w:val="3"/>
        </w:numPr>
        <w:jc w:val="both"/>
        <w:rPr>
          <w:rFonts w:ascii="Times New Roman" w:hAnsi="Times New Roman" w:cs="Times New Roman"/>
          <w:i/>
          <w:iCs/>
          <w:sz w:val="22"/>
          <w:szCs w:val="22"/>
        </w:rPr>
      </w:pPr>
      <w:r w:rsidRPr="00473355">
        <w:rPr>
          <w:rFonts w:ascii="Times New Roman" w:hAnsi="Times New Roman" w:cs="Times New Roman"/>
          <w:i/>
          <w:iCs/>
          <w:sz w:val="22"/>
          <w:szCs w:val="22"/>
        </w:rPr>
        <w:t>Implications</w:t>
      </w:r>
    </w:p>
    <w:p w14:paraId="120629B2" w14:textId="67FEB42B" w:rsidR="00473355" w:rsidRDefault="00473355" w:rsidP="0047335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It seems like the base forest doesn’t really get any worse with a changing horizon, while the optimized forest (like the other models) does. I’m not sure why this is.</w:t>
      </w:r>
    </w:p>
    <w:p w14:paraId="3152BED2" w14:textId="7CEFBF8E" w:rsidR="00473355" w:rsidRDefault="00473355" w:rsidP="00473355">
      <w:pPr>
        <w:pStyle w:val="ListParagraph"/>
        <w:ind w:left="0" w:firstLine="720"/>
        <w:jc w:val="both"/>
        <w:rPr>
          <w:rFonts w:ascii="Times New Roman" w:hAnsi="Times New Roman" w:cs="Times New Roman"/>
          <w:sz w:val="22"/>
          <w:szCs w:val="22"/>
        </w:rPr>
      </w:pPr>
    </w:p>
    <w:p w14:paraId="3504E18C" w14:textId="337A9F7C" w:rsidR="00C4156C" w:rsidRPr="001E0C90" w:rsidRDefault="00B77605" w:rsidP="001E0C90">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NOTE: RUN THE UK INFLATION FORECAST AGAIN, IT STINKS</w:t>
      </w: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3"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lastRenderedPageBreak/>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w:t>
      </w:r>
      <w:r w:rsidRPr="00BC7E31">
        <w:rPr>
          <w:rFonts w:ascii="Times New Roman" w:hAnsi="Times New Roman" w:cs="Times New Roman"/>
          <w:bCs/>
          <w:sz w:val="22"/>
          <w:szCs w:val="22"/>
        </w:rPr>
        <w:lastRenderedPageBreak/>
        <w:t>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 w:id="4" w:author="Alex Moran" w:date="2021-02-20T17:49:00Z" w:initials="AM">
    <w:p w14:paraId="3E1DD417" w14:textId="2C556C79" w:rsidR="00825112" w:rsidRDefault="00825112">
      <w:pPr>
        <w:pStyle w:val="CommentText"/>
      </w:pPr>
      <w:r>
        <w:rPr>
          <w:rStyle w:val="CommentReference"/>
        </w:rPr>
        <w:annotationRef/>
      </w:r>
      <w:r>
        <w:t>In fact,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Ex w15:paraId="3E1DD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Extensible w16cex:durableId="23DBCA24" w16cex:dateUtc="2021-02-20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Id w16cid:paraId="3E1DD417" w16cid:durableId="23DBCA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E1C"/>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0E0"/>
    <w:rsid w:val="001D04CB"/>
    <w:rsid w:val="001D228E"/>
    <w:rsid w:val="001E0233"/>
    <w:rsid w:val="001E0C90"/>
    <w:rsid w:val="001E52AD"/>
    <w:rsid w:val="001F6884"/>
    <w:rsid w:val="00227891"/>
    <w:rsid w:val="00235125"/>
    <w:rsid w:val="002365BC"/>
    <w:rsid w:val="00246008"/>
    <w:rsid w:val="00255124"/>
    <w:rsid w:val="00257C19"/>
    <w:rsid w:val="00260FA2"/>
    <w:rsid w:val="00264F1E"/>
    <w:rsid w:val="00270641"/>
    <w:rsid w:val="002753D7"/>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92324"/>
    <w:rsid w:val="003929F8"/>
    <w:rsid w:val="00394106"/>
    <w:rsid w:val="00394798"/>
    <w:rsid w:val="003A4A7F"/>
    <w:rsid w:val="003C1854"/>
    <w:rsid w:val="003C5D66"/>
    <w:rsid w:val="003E0D13"/>
    <w:rsid w:val="004018FC"/>
    <w:rsid w:val="00405882"/>
    <w:rsid w:val="00415215"/>
    <w:rsid w:val="0042198F"/>
    <w:rsid w:val="0042596F"/>
    <w:rsid w:val="004326C0"/>
    <w:rsid w:val="00447911"/>
    <w:rsid w:val="00473355"/>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07EF"/>
    <w:rsid w:val="005E2765"/>
    <w:rsid w:val="0060152E"/>
    <w:rsid w:val="0060209B"/>
    <w:rsid w:val="00603B67"/>
    <w:rsid w:val="00611E47"/>
    <w:rsid w:val="0061266B"/>
    <w:rsid w:val="006225F0"/>
    <w:rsid w:val="006357A3"/>
    <w:rsid w:val="006411E7"/>
    <w:rsid w:val="006446B0"/>
    <w:rsid w:val="0064693E"/>
    <w:rsid w:val="0065639D"/>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16298"/>
    <w:rsid w:val="00720171"/>
    <w:rsid w:val="0072172B"/>
    <w:rsid w:val="0072247F"/>
    <w:rsid w:val="007350D2"/>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E0063"/>
    <w:rsid w:val="007E415E"/>
    <w:rsid w:val="007F37B1"/>
    <w:rsid w:val="007F4C8E"/>
    <w:rsid w:val="00802FB3"/>
    <w:rsid w:val="00803DA3"/>
    <w:rsid w:val="00812EE6"/>
    <w:rsid w:val="00825112"/>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527D"/>
    <w:rsid w:val="00A2703F"/>
    <w:rsid w:val="00A30DF6"/>
    <w:rsid w:val="00A40D4C"/>
    <w:rsid w:val="00A51769"/>
    <w:rsid w:val="00A51A3B"/>
    <w:rsid w:val="00A658E8"/>
    <w:rsid w:val="00A70911"/>
    <w:rsid w:val="00A8013B"/>
    <w:rsid w:val="00A84A7B"/>
    <w:rsid w:val="00A9637F"/>
    <w:rsid w:val="00AB6EFB"/>
    <w:rsid w:val="00AB73C6"/>
    <w:rsid w:val="00AD51A3"/>
    <w:rsid w:val="00AE233E"/>
    <w:rsid w:val="00AE593B"/>
    <w:rsid w:val="00AF16E1"/>
    <w:rsid w:val="00B26B28"/>
    <w:rsid w:val="00B30D06"/>
    <w:rsid w:val="00B37199"/>
    <w:rsid w:val="00B466D0"/>
    <w:rsid w:val="00B523A9"/>
    <w:rsid w:val="00B568DB"/>
    <w:rsid w:val="00B64C5E"/>
    <w:rsid w:val="00B77605"/>
    <w:rsid w:val="00B8342C"/>
    <w:rsid w:val="00B86874"/>
    <w:rsid w:val="00B87E23"/>
    <w:rsid w:val="00B917B8"/>
    <w:rsid w:val="00B92935"/>
    <w:rsid w:val="00B9577C"/>
    <w:rsid w:val="00BA1F6A"/>
    <w:rsid w:val="00BA5BC4"/>
    <w:rsid w:val="00BB63B2"/>
    <w:rsid w:val="00BC6BB4"/>
    <w:rsid w:val="00BC7E31"/>
    <w:rsid w:val="00BD515B"/>
    <w:rsid w:val="00C03514"/>
    <w:rsid w:val="00C133EA"/>
    <w:rsid w:val="00C4156C"/>
    <w:rsid w:val="00C56A2C"/>
    <w:rsid w:val="00C67AA0"/>
    <w:rsid w:val="00C81A5C"/>
    <w:rsid w:val="00C94D0C"/>
    <w:rsid w:val="00CA16A5"/>
    <w:rsid w:val="00CA7F90"/>
    <w:rsid w:val="00CC4FE7"/>
    <w:rsid w:val="00CD19F0"/>
    <w:rsid w:val="00CD4B2C"/>
    <w:rsid w:val="00CE07E6"/>
    <w:rsid w:val="00D009D8"/>
    <w:rsid w:val="00D012AB"/>
    <w:rsid w:val="00D0577F"/>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83561"/>
    <w:rsid w:val="00FA090E"/>
    <w:rsid w:val="00FA380C"/>
    <w:rsid w:val="00FB534B"/>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22</Pages>
  <Words>12497</Words>
  <Characters>71239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223</cp:revision>
  <cp:lastPrinted>2020-11-12T19:44:00Z</cp:lastPrinted>
  <dcterms:created xsi:type="dcterms:W3CDTF">2020-10-20T15:30:00Z</dcterms:created>
  <dcterms:modified xsi:type="dcterms:W3CDTF">2021-02-21T01:44:00Z</dcterms:modified>
</cp:coreProperties>
</file>