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Final Exam — UG54</w:t>
      </w:r>
    </w:p>
    <w:p>
      <w:pPr>
        <w:spacing w:after="80"/>
        <w:jc w:val="center"/>
      </w:pPr>
      <w:r>
        <w:rPr>
          <w:sz w:val="26"/>
          <w:szCs w:val="26"/>
        </w:rPr>
        <w:t xml:space="preserve">Quantitative Finance with Python</w:t>
      </w:r>
    </w:p>
    <w:p>
      <w:pPr>
        <w:spacing w:after="280"/>
        <w:jc w:val="center"/>
      </w:pPr>
      <w:r>
        <w:rPr>
          <w:color w:val="555555"/>
          <w:sz w:val="22"/>
          <w:szCs w:val="22"/>
        </w:rPr>
        <w:t xml:space="preserve">Prof. Alan Moreira  ·  Spring 2026</w:t>
      </w:r>
    </w:p>
    <w:p>
      <w:pPr>
        <w:pBdr>
          <w:bottom w:val="single" w:color="888888" w:sz="6" w:space="1"/>
        </w:pBdr>
        <w:spacing w:after="120"/>
      </w:pPr>
      <w:r>
        <w:t xml:space="preserve"> </w:t>
      </w:r>
    </w:p>
    <w:p>
      <w:pPr>
        <w:spacing w:after="120" w:line="280"/>
      </w:pPr>
      <w:r>
        <w:t xml:space="preserve">Instructions</w:t>
      </w:r>
    </w:p>
    <w:p>
      <w:pPr>
        <w:pStyle w:val="ListParagraph"/>
        <w:numPr>
          <w:ilvl w:val="0"/>
          <w:numId w:val="2"/>
        </w:numPr>
        <w:spacing w:after="80"/>
      </w:pPr>
      <w:r>
        <w:t xml:space="preserve">DON'T FORGET TO WRITE YOUR NAME.</w:t>
      </w:r>
    </w:p>
    <w:p>
      <w:pPr>
        <w:pStyle w:val="ListParagraph"/>
        <w:numPr>
          <w:ilvl w:val="0"/>
          <w:numId w:val="2"/>
        </w:numPr>
        <w:spacing w:after="80"/>
      </w:pPr>
      <w:r>
        <w:t xml:space="preserve">If you use a pencil, you automatically give up your re-grading rights.</w:t>
      </w:r>
    </w:p>
    <w:p>
      <w:pPr>
        <w:pStyle w:val="ListParagraph"/>
        <w:numPr>
          <w:ilvl w:val="0"/>
          <w:numId w:val="2"/>
        </w:numPr>
        <w:spacing w:after="80"/>
      </w:pPr>
      <w:r>
        <w:t xml:space="preserve">You can only use the space designed under each question to answer. No extra papers will be graded.</w:t>
      </w:r>
    </w:p>
    <w:p>
      <w:pPr>
        <w:pStyle w:val="ListParagraph"/>
        <w:numPr>
          <w:ilvl w:val="0"/>
          <w:numId w:val="2"/>
        </w:numPr>
        <w:spacing w:after="80"/>
      </w:pPr>
      <w:r>
        <w:t xml:space="preserve">Keep answers short and to the point.</w:t>
      </w:r>
    </w:p>
    <w:p>
      <w:pPr>
        <w:pStyle w:val="ListParagraph"/>
        <w:numPr>
          <w:ilvl w:val="0"/>
          <w:numId w:val="2"/>
        </w:numPr>
        <w:spacing w:after="80"/>
      </w:pPr>
      <w:r>
        <w:t xml:space="preserve">If you don't know the answer, skip and return to it later.</w:t>
      </w:r>
    </w:p>
    <w:p>
      <w:pPr>
        <w:pStyle w:val="ListParagraph"/>
        <w:numPr>
          <w:ilvl w:val="0"/>
          <w:numId w:val="2"/>
        </w:numPr>
        <w:spacing w:after="80"/>
      </w:pPr>
      <w:r>
        <w:t xml:space="preserve">Partial credit will be given when warranted — show your thinking.</w:t>
      </w:r>
    </w:p>
    <w:p>
      <w:pPr>
        <w:pStyle w:val="ListParagraph"/>
        <w:numPr>
          <w:ilvl w:val="0"/>
          <w:numId w:val="2"/>
        </w:numPr>
        <w:spacing w:after="80"/>
      </w:pPr>
      <w:r>
        <w:t xml:space="preserve">Do the easier questions first; the last two are harder.</w:t>
      </w:r>
    </w:p>
    <w:p>
      <w:pPr>
        <w:pStyle w:val="ListParagraph"/>
        <w:numPr>
          <w:ilvl w:val="0"/>
          <w:numId w:val="2"/>
        </w:numPr>
        <w:spacing w:after="80"/>
      </w:pPr>
      <w:r>
        <w:t xml:space="preserve">9 questions; 120 points total.</w:t>
      </w:r>
    </w:p>
    <w:p>
      <w:pPr>
        <w:spacing w:after="120" w:line="280"/>
      </w:pPr>
      <w:r>
        <w:t xml:space="preserve"/>
      </w:r>
    </w:p>
    <w:p>
      <w:pPr>
        <w:spacing w:after="120" w:line="280"/>
      </w:pPr>
      <w:r>
        <w:rPr>
          <w:b/>
          <w:bCs/>
        </w:rPr>
        <w:t xml:space="preserve">NAME: </w:t>
      </w:r>
      <w:r>
        <w:t xml:space="preserve">__________________________________________________</w:t>
      </w:r>
    </w:p>
    <w:p>
      <w:pPr>
        <w:spacing w:after="120" w:line="280"/>
      </w:pPr>
      <w:r>
        <w:t xml:space="preserve"/>
      </w:r>
    </w:p>
    <w:p>
      <w:pPr>
        <w:spacing w:after="120" w:line="280"/>
      </w:pPr>
      <w:r>
        <w:t xml:space="preserve">I pledge on my honor that I have not received or given any unauthorized information when completing this exam.</w:t>
      </w:r>
    </w:p>
    <w:p>
      <w:pPr>
        <w:spacing w:after="120" w:line="280"/>
      </w:pPr>
      <w:r>
        <w:t xml:space="preserve"/>
      </w:r>
    </w:p>
    <w:p>
      <w:pPr>
        <w:spacing w:after="120" w:line="280"/>
      </w:pPr>
      <w:r>
        <w:rPr>
          <w:b/>
          <w:bCs/>
        </w:rPr>
        <w:t xml:space="preserve">Signature: </w:t>
      </w:r>
      <w:r>
        <w:t xml:space="preserve">__________________________________________________</w:t>
      </w:r>
    </w:p>
    <w:p>
      <w:r>
        <w:br w:type="page"/>
      </w:r>
    </w:p>
    <w:p>
      <w:pPr>
        <w:pStyle w:val="Heading1"/>
      </w:pPr>
      <w:r>
        <w:t xml:space="preserve">Question 1 — Multiple choice  (30 pts)</w:t>
      </w:r>
    </w:p>
    <w:p>
      <w:pPr>
        <w:spacing w:after="120" w:line="280"/>
      </w:pPr>
      <w:r>
        <w:t xml:space="preserve">For each item below, circle one option AND provide a one- or two-sentence explanation. The explanation is required for full credit.</w:t>
      </w:r>
    </w:p>
    <w:p>
      <w:pPr>
        <w:spacing w:after="120" w:line="280"/>
      </w:pPr>
      <w:r>
        <w:t xml:space="preserve"/>
      </w:r>
    </w:p>
    <w:p>
      <w:pPr>
        <w:pStyle w:val="Heading2"/>
      </w:pPr>
      <w:r>
        <w:t xml:space="preserve">1.1  (TRUE / FALSE / Depends)</w:t>
      </w:r>
    </w:p>
    <w:p>
      <w:pPr>
        <w:spacing w:after="120" w:line="280"/>
      </w:pPr>
      <w:r>
        <w:t xml:space="preserve">The fact that portfolios constructed by ranking firms according to their last 24-month market betas have statistically significantly different average returns implies that the CAPM is rejected as you can beat the market.</w:t>
      </w:r>
    </w:p>
    <w:p>
      <w:pPr>
        <w:spacing w:after="120" w:line="280"/>
      </w:pPr>
      <w:r>
        <w:t xml:space="preserve">(A) True    (B) False    (C) Depends</w:t>
      </w:r>
    </w:p>
    <w:p>
      <w:pPr>
        <w:spacing w:after="80" w:before="120"/>
      </w:pPr>
      <w:r>
        <w:rPr>
          <w:b/>
          <w:bCs/>
          <w:color w:val="1F4E79"/>
          <w:sz w:val="20"/>
          <w:szCs w:val="20"/>
        </w:rPr>
        <w:t xml:space="preserve">ANSWER KEY</w:t>
      </w:r>
    </w:p>
    <w:p>
      <w:pPr>
        <w:spacing w:after="120" w:line="280"/>
      </w:pPr>
      <w:r>
        <w:t xml:space="preserve">(C) Depends. Portfolios sorted on beta SHOULD have different average returns under the CAPM (high-beta sorts have higher expected returns by construction). The CAPM is rejected only if the relationship between sample beta and average return differs from the prediction (slope = market premium, intercept = 0). "Beating the market" requires positive risk-adjusted excess return (alpha), not just higher raw returns from higher beta.</w:t>
      </w:r>
    </w:p>
    <w:p>
      <w:pPr>
        <w:pStyle w:val="Heading2"/>
      </w:pPr>
      <w:r>
        <w:t xml:space="preserve">1.2  (TRUE / FALSE / Depends)</w:t>
      </w:r>
    </w:p>
    <w:p>
      <w:pPr>
        <w:spacing w:after="120" w:line="280"/>
      </w:pPr>
      <w:r>
        <w:t xml:space="preserve">Fama argues that value stocks have high expected returns because they are risky. Richard Thaler argues that value stocks have high expected returns because investors irrationally dislike them. Tobias Moskowitz (a professor at Yale and Principal at AQR) argues that no matter what is the right explanation, the average investor should invest in value stocks since everyone agrees that they have high expected returns. Toby is correct.</w:t>
      </w:r>
    </w:p>
    <w:p>
      <w:pPr>
        <w:spacing w:after="120" w:line="280"/>
      </w:pPr>
      <w:r>
        <w:t xml:space="preserve">(A) True    (B) False    (C) Depends</w:t>
      </w:r>
    </w:p>
    <w:p>
      <w:pPr>
        <w:spacing w:after="80" w:before="120"/>
      </w:pPr>
      <w:r>
        <w:rPr>
          <w:b/>
          <w:bCs/>
          <w:color w:val="1F4E79"/>
          <w:sz w:val="20"/>
          <w:szCs w:val="20"/>
        </w:rPr>
        <w:t xml:space="preserve">ANSWER KEY</w:t>
      </w:r>
    </w:p>
    <w:p>
      <w:pPr>
        <w:spacing w:after="120" w:line="280"/>
      </w:pPr>
      <w:r>
        <w:t xml:space="preserve">(C) Depends. Toby's claim only holds for the AVERAGE investor — by market clearing, the marginal/average investor already holds the value premium in the right amount under both stories. For an investor whose risk profile differs from the average (the Fama story implies a risk premium they may NOT want to bear) or who believes the mispricing is fading (the Thaler story), the right tilt differs. Toby's argument also ignores transaction costs, capacity, and crowding.</w:t>
      </w:r>
    </w:p>
    <w:p>
      <w:pPr>
        <w:pStyle w:val="Heading2"/>
      </w:pPr>
      <w:r>
        <w:t xml:space="preserve">1.3  (TRUE / FALSE / Depends)</w:t>
      </w:r>
    </w:p>
    <w:p>
      <w:pPr>
        <w:spacing w:after="120" w:line="280"/>
      </w:pPr>
      <w:r>
        <w:t xml:space="preserve">You own a financial advisory firm. You run an analysis of Fund Opportunity Partners and find that they have an annual net alpha of -0.3% with a market beta of 0.5 and momentum beta of 1, estimated using factors as in the standard academic papers. You should never recommend someone to invest in such a fund.</w:t>
      </w:r>
    </w:p>
    <w:p>
      <w:pPr>
        <w:spacing w:after="120" w:line="280"/>
      </w:pPr>
      <w:r>
        <w:t xml:space="preserve">(A) True    (B) False    (C) Depends</w:t>
      </w:r>
    </w:p>
    <w:p>
      <w:pPr>
        <w:spacing w:after="80" w:before="120"/>
      </w:pPr>
      <w:r>
        <w:rPr>
          <w:b/>
          <w:bCs/>
          <w:color w:val="1F4E79"/>
          <w:sz w:val="20"/>
          <w:szCs w:val="20"/>
        </w:rPr>
        <w:t xml:space="preserve">ANSWER KEY</w:t>
      </w:r>
    </w:p>
    <w:p>
      <w:pPr>
        <w:spacing w:after="120" w:line="280"/>
      </w:pPr>
      <w:r>
        <w:t xml:space="preserve">(C) Depends. The fund delivers momentum exposure of ~1.0 net of fees at a cost of 0.3% per year (the negative alpha). If a client wants momentum exposure and cannot easily replicate it cheaper (e.g., a tax-advantaged investor without access to a momentum ETF, or one for whom the implementation friction is high), 0.3% is a reasonable management fee for that exposure. Conversely, if a passive momentum ETF is available at lower cost, the fund is dominated. "Never recommend" is too strong.</w:t>
      </w:r>
    </w:p>
    <w:p>
      <w:pPr>
        <w:pStyle w:val="Heading2"/>
      </w:pPr>
      <w:r>
        <w:t xml:space="preserve">1.4</w:t>
      </w:r>
    </w:p>
    <w:p>
      <w:pPr>
        <w:spacing w:after="120" w:line="280"/>
      </w:pPr>
      <w:r>
        <w:t xml:space="preserve">Out of a class of 50 students, you compute each student's track-record alpha and t-statistic. You hire the 10 candidates whose alpha t-stat passes the 5% significance level. What is the expected quality of these 10 hires?</w:t>
      </w:r>
    </w:p>
    <w:p>
      <w:pPr>
        <w:spacing w:after="120" w:line="280"/>
      </w:pPr>
      <w:r>
        <w:t xml:space="preserve">(A) All 10 have positive expected alpha — each one independently cleared a 5% statistical threshold, so the probability of any of them being noise is small.</w:t>
      </w:r>
    </w:p>
    <w:p>
      <w:pPr>
        <w:spacing w:after="120" w:line="280"/>
      </w:pPr>
      <w:r>
        <w:t xml:space="preserve">(B) None of the 10 are reliably skilled — the winner's curse and multiple-testing inflation mean we cannot distinguish them from luck.</w:t>
      </w:r>
    </w:p>
    <w:p>
      <w:pPr>
        <w:spacing w:after="120" w:line="280"/>
      </w:pPr>
      <w:r>
        <w:t xml:space="preserve">(C) Roughly 2–3 of the 10 are likely pure noise; the other 7–8 have genuine skill, but the reported alphas of the skilled ones overstate their true skill.</w:t>
      </w:r>
    </w:p>
    <w:p>
      <w:pPr>
        <w:spacing w:after="120" w:line="280"/>
      </w:pPr>
      <w:r>
        <w:t xml:space="preserve">(D) Each of the 10 has a true alpha approximately equal to their realized in-sample alpha — passing the test validates the point estimate.</w:t>
      </w:r>
    </w:p>
    <w:p>
      <w:pPr>
        <w:spacing w:after="80" w:before="120"/>
      </w:pPr>
      <w:r>
        <w:rPr>
          <w:b/>
          <w:bCs/>
          <w:color w:val="1F4E79"/>
          <w:sz w:val="20"/>
          <w:szCs w:val="20"/>
        </w:rPr>
        <w:t xml:space="preserve">ANSWER KEY</w:t>
      </w:r>
    </w:p>
    <w:p>
      <w:pPr>
        <w:spacing w:after="120" w:line="280"/>
      </w:pPr>
      <w:r>
        <w:t xml:space="preserve">(C). Under the null of no skill, a 5%-level test produces ≈ 0.05 × 50 = 2.5 false positives — so 2–3 of the 10 hires are likely pure noise. Among genuinely skilled candidates, the ones who clear the threshold are also those whose IN-SAMPLE alpha was high relative to their TRUE alpha (winner's curse / selection bias), so their reported alphas overstate true skill. (A) ignores multiple testing; (B) overstates the problem (some hires probably are skilled); (D) ignores selection bias.</w:t>
      </w:r>
    </w:p>
    <w:p>
      <w:r>
        <w:br w:type="page"/>
      </w:r>
    </w:p>
    <w:p>
      <w:pPr>
        <w:pStyle w:val="Heading1"/>
      </w:pPr>
      <w:r>
        <w:t xml:space="preserve">Question 2 — Intriguing investment opportunity  (10 pts)</w:t>
      </w:r>
    </w:p>
    <w:p>
      <w:pPr>
        <w:spacing w:after="120" w:line="280"/>
      </w:pPr>
      <w:r>
        <w:t xml:space="preserve">You are presented with a strategy that has the following track record:</w:t>
      </w:r>
    </w:p>
    <w:p>
      <w:pPr>
        <w:pStyle w:val="ListParagraph"/>
        <w:numPr>
          <w:ilvl w:val="0"/>
          <w:numId w:val="2"/>
        </w:numPr>
        <w:spacing w:after="80"/>
      </w:pPr>
      <w:r>
        <w:t xml:space="preserve">Annualized return: 6%</w:t>
      </w:r>
    </w:p>
    <w:p>
      <w:pPr>
        <w:pStyle w:val="ListParagraph"/>
        <w:numPr>
          <w:ilvl w:val="0"/>
          <w:numId w:val="2"/>
        </w:numPr>
        <w:spacing w:after="80"/>
      </w:pPr>
      <w:r>
        <w:t xml:space="preserve">Annualized volatility: 3%</w:t>
      </w:r>
    </w:p>
    <w:p>
      <w:pPr>
        <w:pStyle w:val="ListParagraph"/>
        <w:numPr>
          <w:ilvl w:val="0"/>
          <w:numId w:val="2"/>
        </w:numPr>
        <w:spacing w:after="80"/>
      </w:pPr>
      <w:r>
        <w:t xml:space="preserve">Annualized Sharpe ratio: 2</w:t>
      </w:r>
    </w:p>
    <w:p>
      <w:pPr>
        <w:pStyle w:val="ListParagraph"/>
        <w:numPr>
          <w:ilvl w:val="0"/>
          <w:numId w:val="2"/>
        </w:numPr>
        <w:spacing w:after="80"/>
      </w:pPr>
      <w:r>
        <w:t xml:space="preserve">Sample length: 2 years</w:t>
      </w:r>
    </w:p>
    <w:p>
      <w:pPr>
        <w:pStyle w:val="ListParagraph"/>
        <w:numPr>
          <w:ilvl w:val="0"/>
          <w:numId w:val="2"/>
        </w:numPr>
        <w:spacing w:after="80"/>
      </w:pPr>
      <w:r>
        <w:t xml:space="preserve">Maximum drawdown: -15%</w:t>
      </w:r>
    </w:p>
    <w:p>
      <w:pPr>
        <w:pStyle w:val="ListParagraph"/>
        <w:numPr>
          <w:ilvl w:val="0"/>
          <w:numId w:val="2"/>
        </w:numPr>
        <w:spacing w:after="80"/>
      </w:pPr>
      <w:r>
        <w:t xml:space="preserve">The strategy trades illiquid securities</w:t>
      </w:r>
    </w:p>
    <w:p>
      <w:pPr>
        <w:spacing w:after="120" w:line="280"/>
      </w:pPr>
      <w:r>
        <w:t xml:space="preserve"/>
      </w:r>
    </w:p>
    <w:p>
      <w:pPr>
        <w:spacing w:after="120" w:line="280"/>
      </w:pPr>
      <w:r>
        <w:t xml:space="preserve">Write a paragraph explaining why this could be either a spectacular opportunity or a misleading performance record. Identify at least three specific concerns or considerations a fiduciary should investigate.</w:t>
      </w:r>
    </w:p>
    <w:p>
      <w:pPr>
        <w:spacing w:after="80" w:before="120"/>
      </w:pPr>
      <w:r>
        <w:rPr>
          <w:b/>
          <w:bCs/>
          <w:color w:val="1F4E79"/>
          <w:sz w:val="20"/>
          <w:szCs w:val="20"/>
        </w:rPr>
        <w:t xml:space="preserve">ANSWER KEY</w:t>
      </w:r>
    </w:p>
    <w:p>
      <w:pPr>
        <w:spacing w:after="120" w:line="280"/>
      </w:pPr>
      <w:r>
        <w:t xml:space="preserve">Key concerns to raise:</w:t>
      </w:r>
    </w:p>
    <w:p>
      <w:pPr>
        <w:pStyle w:val="ListParagraph"/>
        <w:numPr>
          <w:ilvl w:val="0"/>
          <w:numId w:val="2"/>
        </w:numPr>
        <w:spacing w:after="80"/>
      </w:pPr>
      <w:r>
        <w:t xml:space="preserve">Sharpe-ratio uncertainty. With T = 2 years and SR̂ = 2, SE(SR̂) ≈ √((1 + SR²/2)/T) = √(3/2) ≈ 1.22. A 95% CI on the true SR is roughly [-0.4, 4.4] — the realized SR is barely distinguishable from zero.</w:t>
      </w:r>
    </w:p>
    <w:p>
      <w:pPr>
        <w:pStyle w:val="ListParagraph"/>
        <w:numPr>
          <w:ilvl w:val="0"/>
          <w:numId w:val="2"/>
        </w:numPr>
        <w:spacing w:after="80"/>
      </w:pPr>
      <w:r>
        <w:t xml:space="preserve">Illiquidity / stale prices. Marks may be smoothed (appraisal-based, infrequent transactions, model prices). Smoothed marks systematically understate true volatility and overstate the Sharpe ratio. The realized 3% vol is likely far below the true economic vol.</w:t>
      </w:r>
    </w:p>
    <w:p>
      <w:pPr>
        <w:pStyle w:val="ListParagraph"/>
        <w:numPr>
          <w:ilvl w:val="0"/>
          <w:numId w:val="2"/>
        </w:numPr>
        <w:spacing w:after="80"/>
      </w:pPr>
      <w:r>
        <w:t xml:space="preserve">Inconsistent vol vs. drawdown. A -15% max drawdown with 3% annualized vol implies a 5-sigma move under Gaussian assumptions, which is implausible in 2 years of monthly data. Either the vol is understated (consistent with smoothed marks) OR the return distribution has fat left tails (consistent with vol-selling, carry, illiquidity premium).</w:t>
      </w:r>
    </w:p>
    <w:p>
      <w:pPr>
        <w:pStyle w:val="ListParagraph"/>
        <w:numPr>
          <w:ilvl w:val="0"/>
          <w:numId w:val="2"/>
        </w:numPr>
        <w:spacing w:after="80"/>
      </w:pPr>
      <w:r>
        <w:t xml:space="preserve">Selection bias. If you found this strategy by screening many strategies (or it was sold to you because it had good past performance), the realized SR is selected — multiple-testing inflation.</w:t>
      </w:r>
    </w:p>
    <w:p>
      <w:pPr>
        <w:pStyle w:val="ListParagraph"/>
        <w:numPr>
          <w:ilvl w:val="0"/>
          <w:numId w:val="2"/>
        </w:numPr>
        <w:spacing w:after="80"/>
      </w:pPr>
      <w:r>
        <w:t xml:space="preserve">Could be genuine. If there is a clear economic story — illiquidity premium, capacity-limited arbitrage, collateral cost, segmented market — and the Sharpe is robust to using more conservative volatility (e.g., un-smoothing returns), the strategy may indeed be valuable. But a fiduciary should require this story BEFORE the data, not after.</w:t>
      </w:r>
    </w:p>
    <w:p>
      <w:pPr>
        <w:spacing w:after="120" w:line="280"/>
      </w:pPr>
      <w:r>
        <w:t xml:space="preserve">Bottom line: the case looks too clean. Demand the un-smoothed return series, factor decomposition, and a longer sample (or a clear economic mechanism) before allocating capital.</w:t>
      </w:r>
    </w:p>
    <w:p>
      <w:r>
        <w:br w:type="page"/>
      </w:r>
    </w:p>
    <w:p>
      <w:pPr>
        <w:pStyle w:val="Heading1"/>
      </w:pPr>
      <w:r>
        <w:t xml:space="preserve">Question 3 — Allocation rules: in-sample vs. out-of-sample  (10 pts)</w:t>
      </w:r>
    </w:p>
    <w:p>
      <w:pPr>
        <w:spacing w:after="120" w:line="280"/>
      </w:pPr>
      <w:r>
        <w:t xml:space="preserve">In Assignment 4 you computed five strategies and compared their performance: MVE (tangency), Equal-Weight (EW), Inverse-Volatility (diagonal RP), Minimum-Variance, plus the market benchmark.</w:t>
      </w:r>
    </w:p>
    <w:p>
      <w:pPr>
        <w:spacing w:after="120" w:line="280"/>
      </w:pPr>
      <w:r>
        <w:t xml:space="preserve"/>
      </w:r>
    </w:p>
    <w:p>
      <w:pPr>
        <w:spacing w:after="120" w:line="280"/>
      </w:pPr>
      <w:r>
        <w:rPr>
          <w:b/>
          <w:bCs/>
        </w:rPr>
        <w:t xml:space="preserve">(a) </w:t>
      </w:r>
      <w:r>
        <w:t xml:space="preserve">Order the FOUR rules (excluding the market) by their in-sample Sharpe ratio (highest first). Briefly justify the ranking in one or two sentences. (No actual data needed.)</w:t>
      </w:r>
    </w:p>
    <w:p>
      <w:pPr>
        <w:spacing w:after="80" w:before="120"/>
      </w:pPr>
      <w:r>
        <w:rPr>
          <w:b/>
          <w:bCs/>
          <w:color w:val="1F4E79"/>
          <w:sz w:val="20"/>
          <w:szCs w:val="20"/>
        </w:rPr>
        <w:t xml:space="preserve">ANSWER KEY</w:t>
      </w:r>
    </w:p>
    <w:p>
      <w:pPr>
        <w:spacing w:after="120" w:line="280"/>
      </w:pPr>
      <w:r>
        <w:t xml:space="preserve">Ranking: MVE  &gt;  Min-Var  ≥  Inv-Vol  ≥  EW  (the last three depend on the data).</w:t>
      </w:r>
    </w:p>
    <w:p>
      <w:pPr>
        <w:spacing w:after="120" w:line="280"/>
      </w:pPr>
      <w:r>
        <w:t xml:space="preserve">MVE is by construction the in-sample SR maximizer. The other three impose increasingly strong restrictions on the use of the data — Min-Var ignores μ̂ but uses Σ̂; Inv-Vol uses only the diagonal of Σ̂; EW uses neither — so each subsequent rule throws away information and (typically) lowers the in-sample SR.</w:t>
      </w:r>
    </w:p>
    <w:p>
      <w:pPr>
        <w:spacing w:after="120" w:line="280"/>
      </w:pPr>
      <w:r>
        <w:rPr>
          <w:b/>
          <w:bCs/>
        </w:rPr>
        <w:t xml:space="preserve">(b) </w:t>
      </w:r>
      <w:r>
        <w:t xml:space="preserve">What do you expect to happen with the out-of-sample ranking? Explain.</w:t>
      </w:r>
    </w:p>
    <w:p>
      <w:pPr>
        <w:spacing w:after="80" w:before="120"/>
      </w:pPr>
      <w:r>
        <w:rPr>
          <w:b/>
          <w:bCs/>
          <w:color w:val="1F4E79"/>
          <w:sz w:val="20"/>
          <w:szCs w:val="20"/>
        </w:rPr>
        <w:t xml:space="preserve">ANSWER KEY</w:t>
      </w:r>
    </w:p>
    <w:p>
      <w:pPr>
        <w:spacing w:after="120" w:line="280"/>
      </w:pPr>
      <w:r>
        <w:t xml:space="preserve">The ranking typically reverses (or compresses substantially): EW  ≳  Inv-Vol  ≳  Min-Var  ≳  MVE. The reason is estimation noise — MVE relies on the most uncertain inputs (vector of expected returns AND full covariance matrix) and amplifies that noise via Σ̂⁻¹. EW relies on no estimates and is therefore the most robust. Inv-Vol uses the most stable parts of Σ̂ (the diagonal) and tends to do nearly as well.</w:t>
      </w:r>
    </w:p>
    <w:p>
      <w:pPr>
        <w:spacing w:after="120" w:line="280"/>
      </w:pPr>
      <w:r>
        <w:rPr>
          <w:b/>
          <w:bCs/>
        </w:rPr>
        <w:t xml:space="preserve">(c) </w:t>
      </w:r>
      <w:r>
        <w:t xml:space="preserve">Of the four rules, which two are most robust to estimation error in the covariance matrix? Why?</w:t>
      </w:r>
    </w:p>
    <w:p>
      <w:pPr>
        <w:spacing w:after="80" w:before="120"/>
      </w:pPr>
      <w:r>
        <w:rPr>
          <w:b/>
          <w:bCs/>
          <w:color w:val="1F4E79"/>
          <w:sz w:val="20"/>
          <w:szCs w:val="20"/>
        </w:rPr>
        <w:t xml:space="preserve">ANSWER KEY</w:t>
      </w:r>
    </w:p>
    <w:p>
      <w:pPr>
        <w:spacing w:after="120" w:line="280"/>
      </w:pPr>
      <w:r>
        <w:t xml:space="preserve">Equal-Weight and Inverse-Volatility. EW uses no information from Σ̂ at all. Inv-Vol uses only the diagonal entries (which are estimated more precisely than the off-diagonals, and don't require matrix inversion that amplifies noise).</w:t>
      </w:r>
    </w:p>
    <w:p>
      <w:r>
        <w:br w:type="page"/>
      </w:r>
    </w:p>
    <w:p>
      <w:pPr>
        <w:pStyle w:val="Heading1"/>
      </w:pPr>
      <w:r>
        <w:t xml:space="preserve">Question 4 — Combining strategies under estimation uncertainty  (10 pts)</w:t>
      </w:r>
    </w:p>
    <w:p>
      <w:pPr>
        <w:spacing w:after="120" w:line="280"/>
      </w:pPr>
      <w:r>
        <w:t xml:space="preserve">You have access to two return streams:</w:t>
      </w:r>
    </w:p>
    <w:p>
      <w:pPr>
        <w:pStyle w:val="ListParagraph"/>
        <w:numPr>
          <w:ilvl w:val="0"/>
          <w:numId w:val="2"/>
        </w:numPr>
        <w:spacing w:after="80"/>
      </w:pPr>
      <w:r>
        <w:t xml:space="preserve">The market has annualized Sharpe ratio 0.6, estimated over 25 years.</w:t>
      </w:r>
    </w:p>
    <w:p>
      <w:pPr>
        <w:pStyle w:val="ListParagraph"/>
        <w:numPr>
          <w:ilvl w:val="0"/>
          <w:numId w:val="2"/>
        </w:numPr>
        <w:spacing w:after="80"/>
      </w:pPr>
      <w:r>
        <w:t xml:space="preserve">A market-neutral alpha sleeve H has Sharpe ratio 0.8, estimated over 4 years. H is uncorrelated with the market.</w:t>
      </w:r>
    </w:p>
    <w:p>
      <w:pPr>
        <w:spacing w:after="120" w:line="280"/>
      </w:pPr>
      <w:r>
        <w:t xml:space="preserve"/>
      </w:r>
    </w:p>
    <w:p>
      <w:pPr>
        <w:spacing w:after="120" w:line="280"/>
      </w:pPr>
      <w:r>
        <w:rPr>
          <w:b/>
          <w:bCs/>
        </w:rPr>
        <w:t xml:space="preserve">(a) </w:t>
      </w:r>
      <w:r>
        <w:t xml:space="preserve">What is the Sharpe ratio of the optimal combination of market and H?</w:t>
      </w:r>
    </w:p>
    <w:p>
      <w:pPr>
        <w:spacing w:after="80" w:before="120"/>
      </w:pPr>
      <w:r>
        <w:rPr>
          <w:b/>
          <w:bCs/>
          <w:color w:val="1F4E79"/>
          <w:sz w:val="20"/>
          <w:szCs w:val="20"/>
        </w:rPr>
        <w:t xml:space="preserve">ANSWER KEY</w:t>
      </w:r>
    </w:p>
    <w:p>
      <w:pPr>
        <w:spacing w:after="120" w:line="280"/>
      </w:pPr>
      <w:r>
        <w:t xml:space="preserve">For uncorrelated streams: SR_combined = √(SR_M² + SR_H²) = √(0.36 + 0.64) = √1.00 = 1.00.</w:t>
      </w:r>
    </w:p>
    <w:p>
      <w:pPr>
        <w:spacing w:after="120" w:line="280"/>
      </w:pPr>
      <w:r>
        <w:rPr>
          <w:b/>
          <w:bCs/>
        </w:rPr>
        <w:t xml:space="preserve">(b) </w:t>
      </w:r>
      <w:r>
        <w:t xml:space="preserve">Compute the standard error (annualized) for each input Sharpe ratio. Use SE(SR̂) ≈ √((1 + SR̂²/2)/T) where T is in years.</w:t>
      </w:r>
    </w:p>
    <w:p>
      <w:pPr>
        <w:spacing w:after="80" w:before="120"/>
      </w:pPr>
      <w:r>
        <w:rPr>
          <w:b/>
          <w:bCs/>
          <w:color w:val="1F4E79"/>
          <w:sz w:val="20"/>
          <w:szCs w:val="20"/>
        </w:rPr>
        <w:t xml:space="preserve">ANSWER KEY</w:t>
      </w:r>
    </w:p>
    <w:p>
      <w:pPr>
        <w:spacing w:after="120" w:line="280"/>
      </w:pPr>
      <w:r>
        <w:t xml:space="preserve">SE(SR_M) = √((1 + 0.18)/25) = √(1.18/25) = √0.0472 ≈ 0.22.</w:t>
      </w:r>
    </w:p>
    <w:p>
      <w:pPr>
        <w:spacing w:after="120" w:line="280"/>
      </w:pPr>
      <w:r>
        <w:t xml:space="preserve">SE(SR_H) = √((1 + 0.32)/4)  = √(1.32/4)  = √0.330  ≈ 0.57.</w:t>
      </w:r>
    </w:p>
    <w:p>
      <w:pPr>
        <w:spacing w:after="120" w:line="280"/>
      </w:pPr>
      <w:r>
        <w:t xml:space="preserve">So the 95% CI for SR_H is roughly 0.8 ± 1.96 × 0.57 ≈ [-0.3, 1.9] — wide enough to include zero.</w:t>
      </w:r>
    </w:p>
    <w:p>
      <w:pPr>
        <w:spacing w:after="120" w:line="280"/>
      </w:pPr>
      <w:r>
        <w:rPr>
          <w:b/>
          <w:bCs/>
        </w:rPr>
        <w:t xml:space="preserve">(c) </w:t>
      </w:r>
      <w:r>
        <w:t xml:space="preserve">Suppose H's true Sharpe ratio is overstated by 0.3 — its true SR is actually 0.5, well within the 95% CI you computed in (b). Recompute the optimal combined SR. By how much did the headline 1.0 fall?</w:t>
      </w:r>
    </w:p>
    <w:p>
      <w:pPr>
        <w:spacing w:after="80" w:before="120"/>
      </w:pPr>
      <w:r>
        <w:rPr>
          <w:b/>
          <w:bCs/>
          <w:color w:val="1F4E79"/>
          <w:sz w:val="20"/>
          <w:szCs w:val="20"/>
        </w:rPr>
        <w:t xml:space="preserve">ANSWER KEY</w:t>
      </w:r>
    </w:p>
    <w:p>
      <w:pPr>
        <w:spacing w:after="120" w:line="280"/>
      </w:pPr>
      <w:r>
        <w:t xml:space="preserve">New combined SR = √(0.6² + 0.5²) = √(0.36 + 0.25) = √0.61 ≈ 0.78.</w:t>
      </w:r>
    </w:p>
    <w:p>
      <w:pPr>
        <w:spacing w:after="120" w:line="280"/>
      </w:pPr>
      <w:r>
        <w:t xml:space="preserve">The headline SR of 1.00 falls by 0.22 to 0.78 — a 22% drop in performance from a perturbation that is well inside the confidence interval of the input.</w:t>
      </w:r>
    </w:p>
    <w:p>
      <w:pPr>
        <w:spacing w:after="120" w:line="280"/>
      </w:pPr>
      <w:r>
        <w:rPr>
          <w:b/>
          <w:bCs/>
        </w:rPr>
        <w:t xml:space="preserve">(d) </w:t>
      </w:r>
      <w:r>
        <w:t xml:space="preserve">What does this suggest about how to optimally combine strategies in situations like this? Should you always follow the formula to maximize SR? What is missing? What kind of adjustment would you want to make? (No math — looking for intuition.)</w:t>
      </w:r>
    </w:p>
    <w:p>
      <w:pPr>
        <w:spacing w:after="80" w:before="120"/>
      </w:pPr>
      <w:r>
        <w:rPr>
          <w:b/>
          <w:bCs/>
          <w:color w:val="1F4E79"/>
          <w:sz w:val="20"/>
          <w:szCs w:val="20"/>
        </w:rPr>
        <w:t xml:space="preserve">ANSWER KEY</w:t>
      </w:r>
    </w:p>
    <w:p>
      <w:pPr>
        <w:spacing w:after="120" w:line="280"/>
      </w:pPr>
      <w:r>
        <w:t xml:space="preserve">The naïve formula treats point estimates as truth. When one input has a 4-year sample and SE(SR) ≈ 0.57, treating SR̂ = 0.8 as known overweights H badly. The right adjustment is to SHRINK toward a less aggressive allocation — e.g., Bayesian shrinkage of the SR̂ toward a prior (zero or the cross-sectional average), or down-weight allocations to high-uncertainty inputs by a factor that depends on T. Equivalently: maximize a penalized SR that adds a cost proportional to estimation variance. This systematically reduces the allocation to noisier inputs even when they look attractive on point estimates.</w:t>
      </w:r>
    </w:p>
    <w:p>
      <w:r>
        <w:br w:type="page"/>
      </w:r>
    </w:p>
    <w:p>
      <w:pPr>
        <w:pStyle w:val="Heading1"/>
      </w:pPr>
      <w:r>
        <w:t xml:space="preserve">Question 5 — Tangency portfolio and leverage  (10 pts)</w:t>
      </w:r>
    </w:p>
    <w:p>
      <w:pPr>
        <w:spacing w:after="120" w:line="280"/>
      </w:pPr>
      <w:r>
        <w:t xml:space="preserve">You have two risky assets with the following annualized moments: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888888" w:sz="4"/>
              <w:left w:val="single" w:color="888888" w:sz="4"/>
              <w:bottom w:val="single" w:color="888888" w:sz="4"/>
              <w:right w:val="single" w:color="888888" w:sz="4"/>
            </w:tcBorders>
            <w:shd w:fill="EEEEEE" w:color="auto" w:val="clear"/>
            <w:tcMar>
              <w:top w:type="dxa" w:w="80"/>
              <w:left w:type="dxa" w:w="120"/>
              <w:bottom w:type="dxa" w:w="80"/>
              <w:right w:type="dxa" w:w="120"/>
            </w:tcMar>
          </w:tcPr>
          <w:p>
            <w:r>
              <w:rPr>
                <w:b/>
                <w:bCs/>
              </w:rPr>
              <w:t xml:space="preserve">Asset</w:t>
            </w:r>
          </w:p>
        </w:tc>
        <w:tc>
          <w:tcPr>
            <w:tcW w:type="dxa" w:w="2400"/>
            <w:tcBorders>
              <w:top w:val="single" w:color="888888" w:sz="4"/>
              <w:left w:val="single" w:color="888888" w:sz="4"/>
              <w:bottom w:val="single" w:color="888888" w:sz="4"/>
              <w:right w:val="single" w:color="888888" w:sz="4"/>
            </w:tcBorders>
            <w:shd w:fill="EEEEEE" w:color="auto" w:val="clear"/>
            <w:tcMar>
              <w:top w:type="dxa" w:w="80"/>
              <w:left w:type="dxa" w:w="120"/>
              <w:bottom w:type="dxa" w:w="80"/>
              <w:right w:type="dxa" w:w="120"/>
            </w:tcMar>
          </w:tcPr>
          <w:p>
            <w:r>
              <w:rPr>
                <w:b/>
                <w:bCs/>
              </w:rPr>
              <w:t xml:space="preserve">μ (excess)</w:t>
            </w:r>
          </w:p>
        </w:tc>
        <w:tc>
          <w:tcPr>
            <w:tcW w:type="dxa" w:w="2400"/>
            <w:tcBorders>
              <w:top w:val="single" w:color="888888" w:sz="4"/>
              <w:left w:val="single" w:color="888888" w:sz="4"/>
              <w:bottom w:val="single" w:color="888888" w:sz="4"/>
              <w:right w:val="single" w:color="888888" w:sz="4"/>
            </w:tcBorders>
            <w:shd w:fill="EEEEEE" w:color="auto" w:val="clear"/>
            <w:tcMar>
              <w:top w:type="dxa" w:w="80"/>
              <w:left w:type="dxa" w:w="120"/>
              <w:bottom w:type="dxa" w:w="80"/>
              <w:right w:type="dxa" w:w="120"/>
            </w:tcMar>
          </w:tcPr>
          <w:p>
            <w:r>
              <w:rPr>
                <w:b/>
                <w:bCs/>
              </w:rPr>
              <w:t xml:space="preserve">σ</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w:t>
            </w:r>
          </w:p>
        </w:tc>
      </w:tr>
    </w:tbl>
    <w:p>
      <w:pPr>
        <w:spacing w:after="120" w:line="280"/>
      </w:pPr>
      <w:r>
        <w:t xml:space="preserve"/>
      </w:r>
    </w:p>
    <w:p>
      <w:pPr>
        <w:spacing w:after="120" w:line="280"/>
      </w:pPr>
      <w:r>
        <w:t xml:space="preserve">The correlation between A and B is ρ = 0.</w:t>
      </w:r>
    </w:p>
    <w:p>
      <w:pPr>
        <w:spacing w:after="120" w:line="280"/>
      </w:pPr>
      <w:r>
        <w:t xml:space="preserve"/>
      </w:r>
    </w:p>
    <w:p>
      <w:pPr>
        <w:spacing w:after="120" w:line="280"/>
      </w:pPr>
      <w:r>
        <w:rPr>
          <w:b/>
          <w:bCs/>
        </w:rPr>
        <w:t xml:space="preserve">(a) </w:t>
      </w:r>
      <w:r>
        <w:t xml:space="preserve">Compute the (un-normalized) raw tangency direction Σ⁻¹μ.</w:t>
      </w:r>
    </w:p>
    <w:p>
      <w:pPr>
        <w:spacing w:after="80" w:before="120"/>
      </w:pPr>
      <w:r>
        <w:rPr>
          <w:b/>
          <w:bCs/>
          <w:color w:val="1F4E79"/>
          <w:sz w:val="20"/>
          <w:szCs w:val="20"/>
        </w:rPr>
        <w:t xml:space="preserve">ANSWER KEY</w:t>
      </w:r>
    </w:p>
    <w:p>
      <w:pPr>
        <w:spacing w:after="120" w:line="280"/>
      </w:pPr>
      <w:r>
        <w:t xml:space="preserve">With ρ = 0, Σ = diag(0.12², 0.08²) = diag(0.0144, 0.0064), so Σ⁻¹ = diag(1/0.0144, 1/0.0064).</w:t>
      </w:r>
    </w:p>
    <w:p>
      <w:pPr>
        <w:spacing w:after="120" w:line="280"/>
      </w:pPr>
      <w:r>
        <w:t xml:space="preserve">Σ⁻¹μ = (0.06/0.0144,  0.04/0.0064) = (4.17,  6.25).</w:t>
      </w:r>
    </w:p>
    <w:p>
      <w:pPr>
        <w:spacing w:after="120" w:line="280"/>
      </w:pPr>
      <w:r>
        <w:t xml:space="preserve">Equivalently, μ_i / σ_i² for each asset.</w:t>
      </w:r>
    </w:p>
    <w:p>
      <w:pPr>
        <w:spacing w:after="120" w:line="280"/>
      </w:pPr>
      <w:r>
        <w:rPr>
          <w:b/>
          <w:bCs/>
        </w:rPr>
        <w:t xml:space="preserve">(b) </w:t>
      </w:r>
      <w:r>
        <w:t xml:space="preserve">Compute the Sharpe ratio of the tangency portfolio.</w:t>
      </w:r>
    </w:p>
    <w:p>
      <w:pPr>
        <w:spacing w:after="80" w:before="120"/>
      </w:pPr>
      <w:r>
        <w:rPr>
          <w:b/>
          <w:bCs/>
          <w:color w:val="1F4E79"/>
          <w:sz w:val="20"/>
          <w:szCs w:val="20"/>
        </w:rPr>
        <w:t xml:space="preserve">ANSWER KEY</w:t>
      </w:r>
    </w:p>
    <w:p>
      <w:pPr>
        <w:spacing w:after="120" w:line="280"/>
      </w:pPr>
      <w:r>
        <w:t xml:space="preserve">SR² = μ′Σ⁻¹μ = 0.06 × 4.17 + 0.04 × 6.25 = 0.25 + 0.25 = 0.50.</w:t>
      </w:r>
    </w:p>
    <w:p>
      <w:pPr>
        <w:spacing w:after="120" w:line="280"/>
      </w:pPr>
      <w:r>
        <w:t xml:space="preserve">SR = √0.50 ≈ 0.707.</w:t>
      </w:r>
    </w:p>
    <w:p>
      <w:pPr>
        <w:spacing w:after="120" w:line="280"/>
      </w:pPr>
      <w:r>
        <w:t xml:space="preserve">Sanity check: with ρ = 0, SR_tan² = SR_A² + SR_B² = 0.5² + 0.5² = 0.5  ✓</w:t>
      </w:r>
    </w:p>
    <w:p>
      <w:pPr>
        <w:spacing w:after="120" w:line="280"/>
      </w:pPr>
      <w:r>
        <w:rPr>
          <w:b/>
          <w:bCs/>
        </w:rPr>
        <w:t xml:space="preserve">(c) </w:t>
      </w:r>
      <w:r>
        <w:t xml:space="preserve">Scale the weights so the portfolio has annualized volatility of 10%.</w:t>
      </w:r>
    </w:p>
    <w:p>
      <w:pPr>
        <w:spacing w:after="80" w:before="120"/>
      </w:pPr>
      <w:r>
        <w:rPr>
          <w:b/>
          <w:bCs/>
          <w:color w:val="1F4E79"/>
          <w:sz w:val="20"/>
          <w:szCs w:val="20"/>
        </w:rPr>
        <w:t xml:space="preserve">ANSWER KEY</w:t>
      </w:r>
    </w:p>
    <w:p>
      <w:pPr>
        <w:spacing w:after="120" w:line="280"/>
      </w:pPr>
      <w:r>
        <w:t xml:space="preserve">Vol of un-normalized portfolio = √(w′Σw) = √(4.17² × 0.0144 + 6.25² × 0.0064) = √(0.25 + 0.25) = √0.50 ≈ 0.707.</w:t>
      </w:r>
    </w:p>
    <w:p>
      <w:pPr>
        <w:spacing w:after="120" w:line="280"/>
      </w:pPr>
      <w:r>
        <w:t xml:space="preserve">Scale factor to hit 10% vol: 0.10 / 0.707 ≈ 0.1414.</w:t>
      </w:r>
    </w:p>
    <w:p>
      <w:pPr>
        <w:spacing w:after="120" w:line="280"/>
      </w:pPr>
      <w:r>
        <w:t xml:space="preserve">Scaled weights: w = (4.17, 6.25) × 0.1414 ≈ (0.59, 0.88).  Total ≈ 1.47, so leverage of 0.47 on the risk-free.</w:t>
      </w:r>
    </w:p>
    <w:p>
      <w:pPr>
        <w:spacing w:after="120" w:line="280"/>
      </w:pPr>
      <w:r>
        <w:rPr>
          <w:b/>
          <w:bCs/>
        </w:rPr>
        <w:t xml:space="preserve">(d) </w:t>
      </w:r>
      <w:r>
        <w:t xml:space="preserve">Now scale the weights so the portfolio has annualized expected excess return of 10% instead. The dollar weights are different in (c) and (d) — but you should find the SAME Sharpe ratio. Explain in one sentence why this must be the case.</w:t>
      </w:r>
    </w:p>
    <w:p>
      <w:pPr>
        <w:spacing w:after="80" w:before="120"/>
      </w:pPr>
      <w:r>
        <w:rPr>
          <w:b/>
          <w:bCs/>
          <w:color w:val="1F4E79"/>
          <w:sz w:val="20"/>
          <w:szCs w:val="20"/>
        </w:rPr>
        <w:t xml:space="preserve">ANSWER KEY</w:t>
      </w:r>
    </w:p>
    <w:p>
      <w:pPr>
        <w:spacing w:after="120" w:line="280"/>
      </w:pPr>
      <w:r>
        <w:t xml:space="preserve">Expected excess return of un-normalized portfolio = w′μ = 0.06 × 4.17 + 0.04 × 6.25 = 0.50.</w:t>
      </w:r>
    </w:p>
    <w:p>
      <w:pPr>
        <w:spacing w:after="120" w:line="280"/>
      </w:pPr>
      <w:r>
        <w:t xml:space="preserve">Scale factor for 10% return: 0.10 / 0.50 = 0.20.  Weights: (4.17, 6.25) × 0.20 ≈ (0.83, 1.25).</w:t>
      </w:r>
    </w:p>
    <w:p>
      <w:pPr>
        <w:spacing w:after="120" w:line="280"/>
      </w:pPr>
      <w:r>
        <w:t xml:space="preserve">New portfolio vol = 0.20 × 0.707 ≈ 0.141 = 14.1%.  SR = 0.10 / 0.141 ≈ 0.707  ✓</w:t>
      </w:r>
    </w:p>
    <w:p>
      <w:pPr>
        <w:spacing w:after="120" w:line="280"/>
      </w:pPr>
      <w:r>
        <w:t xml:space="preserve">Why same SR: the tangency direction is the unique direction that maximizes the SR, and any positive scalar multiple preserves the SR (numerator and denominator scale by the same factor).</w:t>
      </w:r>
    </w:p>
    <w:p>
      <w:r>
        <w:br w:type="page"/>
      </w:r>
    </w:p>
    <w:p>
      <w:pPr>
        <w:pStyle w:val="Heading1"/>
      </w:pPr>
      <w:r>
        <w:t xml:space="preserve">Question 6 — Estimation uncertainty in the tangency portfolio  (10 pts)</w:t>
      </w:r>
    </w:p>
    <w:p>
      <w:pPr>
        <w:spacing w:after="120" w:line="280"/>
      </w:pPr>
      <w:r>
        <w:t xml:space="preserve">Two assets with risk-free borrowing. The covariance matrix is diagonal with unit variances:</w:t>
      </w:r>
    </w:p>
    <w:p>
      <w:pPr>
        <w:spacing w:after="80" w:before="80"/>
        <w:jc w:val="center"/>
      </w:pPr>
      <w:r>
        <w:rPr>
          <w:i/>
          <w:iCs/>
        </w:rPr>
        <w:t xml:space="preserve">Σ = [[1, 0], [0, 1]]</w:t>
      </w:r>
    </w:p>
    <w:p>
      <w:pPr>
        <w:spacing w:after="120" w:line="280"/>
      </w:pPr>
      <w:r>
        <w:t xml:space="preserve">so both assets have unit variance and are uncorrelated. Estimated excess returns are μ̂ = (5, 5.5). The standard error on μ̂₂ is 1.</w:t>
      </w:r>
    </w:p>
    <w:p>
      <w:pPr>
        <w:spacing w:after="120" w:line="280"/>
      </w:pPr>
      <w:r>
        <w:t xml:space="preserve"/>
      </w:r>
    </w:p>
    <w:p>
      <w:pPr>
        <w:spacing w:after="120" w:line="280"/>
      </w:pPr>
      <w:r>
        <w:rPr>
          <w:b/>
          <w:bCs/>
        </w:rPr>
        <w:t xml:space="preserve">(a) </w:t>
      </w:r>
      <w:r>
        <w:t xml:space="preserve">Write the formula for the un-normalized tangency weights and compute the ratio w₂/w₁ at the point estimates.  (3 pts)</w:t>
      </w:r>
    </w:p>
    <w:p>
      <w:pPr>
        <w:spacing w:after="80" w:before="120"/>
      </w:pPr>
      <w:r>
        <w:rPr>
          <w:b/>
          <w:bCs/>
          <w:color w:val="1F4E79"/>
          <w:sz w:val="20"/>
          <w:szCs w:val="20"/>
        </w:rPr>
        <w:t xml:space="preserve">ANSWER KEY</w:t>
      </w:r>
    </w:p>
    <w:p>
      <w:pPr>
        <w:spacing w:after="120" w:line="280"/>
      </w:pPr>
      <w:r>
        <w:t xml:space="preserve">w ∝ Σ⁻¹μ̂. With Σ = I, this reduces to w ∝ μ̂. So w₂/w₁ = 5.5 / 5 = 1.10.</w:t>
      </w:r>
    </w:p>
    <w:p>
      <w:pPr>
        <w:spacing w:after="120" w:line="280"/>
      </w:pPr>
      <w:r>
        <w:rPr>
          <w:b/>
          <w:bCs/>
        </w:rPr>
        <w:t xml:space="preserve">(b) </w:t>
      </w:r>
      <w:r>
        <w:t xml:space="preserve">Recompute the ratio w₂/w₁ when μ̂₂ is perturbed by +2 SE (just outside its 95% CI). Would you describe these weights as stable or unstable under input uncertainty? One sentence.  (3 pts)</w:t>
      </w:r>
    </w:p>
    <w:p>
      <w:pPr>
        <w:spacing w:after="80" w:before="120"/>
      </w:pPr>
      <w:r>
        <w:rPr>
          <w:b/>
          <w:bCs/>
          <w:color w:val="1F4E79"/>
          <w:sz w:val="20"/>
          <w:szCs w:val="20"/>
        </w:rPr>
        <w:t xml:space="preserve">ANSWER KEY</w:t>
      </w:r>
    </w:p>
    <w:p>
      <w:pPr>
        <w:spacing w:after="120" w:line="280"/>
      </w:pPr>
      <w:r>
        <w:t xml:space="preserve">μ̂₂ → 5.5 + 2 = 7.5.  New ratio = 7.5 / 5 = 1.50.</w:t>
      </w:r>
    </w:p>
    <w:p>
      <w:pPr>
        <w:spacing w:after="120" w:line="280"/>
      </w:pPr>
      <w:r>
        <w:t xml:space="preserve">Stable: both positions remain long; the relative weight moved modestly from 1.10 to 1.50.</w:t>
      </w:r>
    </w:p>
    <w:p>
      <w:pPr>
        <w:spacing w:after="120" w:line="280"/>
      </w:pPr>
      <w:r>
        <w:rPr>
          <w:b/>
          <w:bCs/>
        </w:rPr>
        <w:t xml:space="preserve">(c) </w:t>
      </w:r>
      <w:r>
        <w:t xml:space="preserve">Now suppose the off-diagonal of Σ were 0.95 instead of 0 — i.e. the two assets are strongly correlated. WITHOUT computing the new weights, explain in 2–3 sentences what would qualitatively change between (a) and (b), and why. Be precise about what Σ⁻¹ is doing.  (4 pts)</w:t>
      </w:r>
    </w:p>
    <w:p>
      <w:pPr>
        <w:spacing w:after="80" w:before="120"/>
      </w:pPr>
      <w:r>
        <w:rPr>
          <w:b/>
          <w:bCs/>
          <w:color w:val="1F4E79"/>
          <w:sz w:val="20"/>
          <w:szCs w:val="20"/>
        </w:rPr>
        <w:t xml:space="preserve">ANSWER KEY</w:t>
      </w:r>
    </w:p>
    <w:p>
      <w:pPr>
        <w:spacing w:after="120" w:line="280"/>
      </w:pPr>
      <w:r>
        <w:t xml:space="preserve">With ρ → 1, Σ⁻¹ has large off-diagonal entries of opposite sign, so Σ⁻¹μ̂ effectively computes a scaled DIFFERENCE (μ̂₁ − μ̂₂) rather than the levels. A 2 SE move in μ̂₂ would now swing this difference by an amount that is large relative to its point estimate — potentially flipping its sign — so the tangency recipe could go from "long both" to "long one, short the other" with very large absolute weights.</w:t>
      </w:r>
    </w:p>
    <w:p>
      <w:pPr>
        <w:spacing w:after="120" w:line="280"/>
      </w:pPr>
      <w:r>
        <w:t xml:space="preserve">Intuition: when assets are near-redundant, the tangency portfolio tries to harvest any tiny estimated spread by taking huge offsetting positions, and tiny errors in the inputs produce very different recommended portfolios.</w:t>
      </w:r>
    </w:p>
    <w:p>
      <w:r>
        <w:br w:type="page"/>
      </w:r>
    </w:p>
    <w:p>
      <w:pPr>
        <w:pStyle w:val="Heading1"/>
      </w:pPr>
      <w:r>
        <w:t xml:space="preserve">Question 7 — Performance evaluation  (10 pts)</w:t>
      </w:r>
    </w:p>
    <w:p>
      <w:pPr>
        <w:spacing w:after="120" w:line="280"/>
      </w:pPr>
      <w:r>
        <w:t xml:space="preserve">You are evaluating a long-short strategy that has run for 5 years (60 months). Annualized SR = 1.4; annualized return = 14%; vol = 10%. Maximum drawdown = -40%. "Fraction-to-half" = 1/60: a single month accounts for half of the cumulative excess return.</w:t>
      </w:r>
    </w:p>
    <w:p>
      <w:pPr>
        <w:spacing w:after="120" w:line="280"/>
      </w:pPr>
      <w:r>
        <w:t xml:space="preserve"/>
      </w:r>
    </w:p>
    <w:p>
      <w:pPr>
        <w:spacing w:after="120" w:line="280"/>
      </w:pPr>
      <w:r>
        <w:rPr>
          <w:b/>
          <w:bCs/>
        </w:rPr>
        <w:t xml:space="preserve">(a) </w:t>
      </w:r>
      <w:r>
        <w:t xml:space="preserve">Compute the t-statistic for the SR.</w:t>
      </w:r>
    </w:p>
    <w:p>
      <w:pPr>
        <w:spacing w:after="80" w:before="120"/>
      </w:pPr>
      <w:r>
        <w:rPr>
          <w:b/>
          <w:bCs/>
          <w:color w:val="1F4E79"/>
          <w:sz w:val="20"/>
          <w:szCs w:val="20"/>
        </w:rPr>
        <w:t xml:space="preserve">ANSWER KEY</w:t>
      </w:r>
    </w:p>
    <w:p>
      <w:pPr>
        <w:spacing w:after="120" w:line="280"/>
      </w:pPr>
      <w:r>
        <w:t xml:space="preserve">t = SR_annual × √T_years = 1.4 × √5 = 1.4 × 2.236 ≈ 3.13.</w:t>
      </w:r>
    </w:p>
    <w:p>
      <w:pPr>
        <w:spacing w:after="120" w:line="280"/>
      </w:pPr>
      <w:r>
        <w:t xml:space="preserve">Equivalently: SR_monthly × √N_months = (1.4/√12) × √60 = 0.404 × 7.746 ≈ 3.13.  ✓</w:t>
      </w:r>
    </w:p>
    <w:p>
      <w:pPr>
        <w:spacing w:after="120" w:line="280"/>
      </w:pPr>
      <w:r>
        <w:rPr>
          <w:b/>
          <w:bCs/>
        </w:rPr>
        <w:t xml:space="preserve">(b) </w:t>
      </w:r>
      <w:r>
        <w:t xml:space="preserve">Given that one of the 60 months drives half the SR, what would you research further before allocating?</w:t>
      </w:r>
    </w:p>
    <w:p>
      <w:pPr>
        <w:spacing w:after="80" w:before="120"/>
      </w:pPr>
      <w:r>
        <w:rPr>
          <w:b/>
          <w:bCs/>
          <w:color w:val="1F4E79"/>
          <w:sz w:val="20"/>
          <w:szCs w:val="20"/>
        </w:rPr>
        <w:t xml:space="preserve">ANSWER KEY</w:t>
      </w:r>
    </w:p>
    <w:p>
      <w:pPr>
        <w:spacing w:after="120" w:line="280"/>
      </w:pPr>
      <w:r>
        <w:t xml:space="preserve">The strategy's track record is essentially driven by one event. Investigate:</w:t>
      </w:r>
    </w:p>
    <w:p>
      <w:pPr>
        <w:pStyle w:val="ListParagraph"/>
        <w:numPr>
          <w:ilvl w:val="0"/>
          <w:numId w:val="2"/>
        </w:numPr>
        <w:spacing w:after="80"/>
      </w:pPr>
      <w:r>
        <w:t xml:space="preserve">What economic event happened that month? Earnings, central-bank action, idiosyncratic shock to a single name? Was the position sized for a one-off or a recurring opportunity?</w:t>
      </w:r>
    </w:p>
    <w:p>
      <w:pPr>
        <w:pStyle w:val="ListParagraph"/>
        <w:numPr>
          <w:ilvl w:val="0"/>
          <w:numId w:val="2"/>
        </w:numPr>
        <w:spacing w:after="80"/>
      </w:pPr>
      <w:r>
        <w:t xml:space="preserve">Could it have gone the other way? If the same configuration had produced a -10% month instead of +10%, the cumulative SR would be near zero or negative — the strategy is essentially a single-bet bet.</w:t>
      </w:r>
    </w:p>
    <w:p>
      <w:pPr>
        <w:pStyle w:val="ListParagraph"/>
        <w:numPr>
          <w:ilvl w:val="0"/>
          <w:numId w:val="2"/>
        </w:numPr>
        <w:spacing w:after="80"/>
      </w:pPr>
      <w:r>
        <w:t xml:space="preserve">Recompute the SR excluding that month and report what's left. If the residual SR is near zero, the strategy has no demonstrated edge outside a lucky/unlucky episode.</w:t>
      </w:r>
    </w:p>
    <w:p>
      <w:pPr>
        <w:pStyle w:val="ListParagraph"/>
        <w:numPr>
          <w:ilvl w:val="0"/>
          <w:numId w:val="2"/>
        </w:numPr>
        <w:spacing w:after="80"/>
      </w:pPr>
      <w:r>
        <w:t xml:space="preserve">Position concentration: was that month's return driven by one large position or many small ones? If one position, idiosyncratic risk is much higher than the realized vol suggests.</w:t>
      </w:r>
    </w:p>
    <w:p>
      <w:pPr>
        <w:spacing w:after="120" w:line="280"/>
      </w:pPr>
      <w:r>
        <w:rPr>
          <w:b/>
          <w:bCs/>
        </w:rPr>
        <w:t xml:space="preserve">(c) </w:t>
      </w:r>
      <w:r>
        <w:t xml:space="preserve">Someone shows you a competing strategy with SR = 1, drawdown only -20%, and vol = 5%. They argue: "This strategy has a much better risk profile, so the choice between the two is a matter of risk preferences." Push back on or refine this argument.</w:t>
      </w:r>
    </w:p>
    <w:p>
      <w:pPr>
        <w:spacing w:after="80" w:before="120"/>
      </w:pPr>
      <w:r>
        <w:rPr>
          <w:b/>
          <w:bCs/>
          <w:color w:val="1F4E79"/>
          <w:sz w:val="20"/>
          <w:szCs w:val="20"/>
        </w:rPr>
        <w:t xml:space="preserve">ANSWER KEY</w:t>
      </w:r>
    </w:p>
    <w:p>
      <w:pPr>
        <w:spacing w:after="120" w:line="280"/>
      </w:pPr>
      <w:r>
        <w:t xml:space="preserve">The framing as "a matter of risk preferences" is too lazy. Two sharper points:</w:t>
      </w:r>
    </w:p>
    <w:p>
      <w:pPr>
        <w:pStyle w:val="ListParagraph"/>
        <w:numPr>
          <w:ilvl w:val="0"/>
          <w:numId w:val="2"/>
        </w:numPr>
        <w:spacing w:after="80"/>
      </w:pPr>
      <w:r>
        <w:t xml:space="preserve">Both Sharpe ratios are noisily estimated. SE(SR) ≈ √(1.5/5) ≈ 0.55 over 5 years — the difference between SR̂ = 1.4 and SR̂ = 1.0 is well within one SE, so we can't reliably say one is better than the other on a stand-alone basis.</w:t>
      </w:r>
    </w:p>
    <w:p>
      <w:pPr>
        <w:pStyle w:val="ListParagraph"/>
        <w:numPr>
          <w:ilvl w:val="0"/>
          <w:numId w:val="2"/>
        </w:numPr>
        <w:spacing w:after="80"/>
      </w:pPr>
      <w:r>
        <w:t xml:space="preserve">The relevant question is the MARGINAL contribution to the existing book, not the stand-alone Sharpe. What matters is the appraisal ratio of each strategy relative to the current portfolio (or, equivalently, the alpha and idiosyncratic vol after hedging out exposures already held). A strategy with lower SR but lower correlation to existing holdings can dominate in combination.</w:t>
      </w:r>
    </w:p>
    <w:p>
      <w:pPr>
        <w:pStyle w:val="ListParagraph"/>
        <w:numPr>
          <w:ilvl w:val="0"/>
          <w:numId w:val="2"/>
        </w:numPr>
        <w:spacing w:after="80"/>
      </w:pPr>
      <w:r>
        <w:t xml:space="preserve">Risk preferences are largely irrelevant once you can lever up or de-lever — both strategies can be scaled to the same target vol via the risk-free, so the SR is what matters, not the raw vol or drawdown numbers in isolation.</w:t>
      </w:r>
    </w:p>
    <w:p>
      <w:r>
        <w:br w:type="page"/>
      </w:r>
    </w:p>
    <w:p>
      <w:pPr>
        <w:pStyle w:val="Heading1"/>
      </w:pPr>
      <w:r>
        <w:t xml:space="preserve">Question 8 — Cross-sectional strategy: building a long-short portfolio  (10 pts)</w:t>
      </w:r>
    </w:p>
    <w:p>
      <w:pPr>
        <w:spacing w:after="120" w:line="280"/>
      </w:pPr>
      <w:r>
        <w:t xml:space="preserve">You want to build a value strategy using book-to-market (B/M).</w:t>
      </w:r>
    </w:p>
    <w:p>
      <w:pPr>
        <w:spacing w:after="120" w:line="280"/>
      </w:pPr>
      <w:r>
        <w:t xml:space="preserve"/>
      </w:r>
    </w:p>
    <w:p>
      <w:pPr>
        <w:spacing w:after="120" w:line="280"/>
      </w:pPr>
      <w:r>
        <w:rPr>
          <w:b/>
          <w:bCs/>
        </w:rPr>
        <w:t xml:space="preserve">(a) </w:t>
      </w:r>
      <w:r>
        <w:t xml:space="preserve">Write the step-by-step procedure to form a value-weighted long-short decile portfolio at the end of each month t. Be specific enough that an automated system could execute it.</w:t>
      </w:r>
    </w:p>
    <w:p>
      <w:pPr>
        <w:spacing w:after="80" w:before="120"/>
      </w:pPr>
      <w:r>
        <w:rPr>
          <w:b/>
          <w:bCs/>
          <w:color w:val="1F4E79"/>
          <w:sz w:val="20"/>
          <w:szCs w:val="20"/>
        </w:rPr>
        <w:t xml:space="preserve">ANSWER KEY</w:t>
      </w:r>
    </w:p>
    <w:p>
      <w:pPr>
        <w:spacing w:after="120" w:line="280"/>
      </w:pPr>
      <w:r>
        <w:t xml:space="preserve">At each month-end t:</w:t>
      </w:r>
    </w:p>
    <w:p>
      <w:pPr>
        <w:pStyle w:val="ListParagraph"/>
        <w:numPr>
          <w:ilvl w:val="0"/>
          <w:numId w:val="2"/>
        </w:numPr>
        <w:spacing w:after="80"/>
      </w:pPr>
      <w:r>
        <w:t xml:space="preserve">Build the universe: take all stocks with non-missing B/M and market cap at t (using public data only — no look-ahead). Apply liquidity / price filters (e.g., drop micro-caps, drop stocks priced under $1).</w:t>
      </w:r>
    </w:p>
    <w:p>
      <w:pPr>
        <w:pStyle w:val="ListParagraph"/>
        <w:numPr>
          <w:ilvl w:val="0"/>
          <w:numId w:val="2"/>
        </w:numPr>
        <w:spacing w:after="80"/>
      </w:pPr>
      <w:r>
        <w:t xml:space="preserve">Compute the breakpoints: rank stocks by B/M and find the 10th and 90th percentile (or use NYSE-only stocks for breakpoints, applied to the full universe).</w:t>
      </w:r>
    </w:p>
    <w:p>
      <w:pPr>
        <w:pStyle w:val="ListParagraph"/>
        <w:numPr>
          <w:ilvl w:val="0"/>
          <w:numId w:val="2"/>
        </w:numPr>
        <w:spacing w:after="80"/>
      </w:pPr>
      <w:r>
        <w:t xml:space="preserve">Form legs: LONG = all stocks above the 90th percentile (high B/M = value); SHORT = all stocks below the 10th percentile (low B/M = growth).</w:t>
      </w:r>
    </w:p>
    <w:p>
      <w:pPr>
        <w:pStyle w:val="ListParagraph"/>
        <w:numPr>
          <w:ilvl w:val="0"/>
          <w:numId w:val="2"/>
        </w:numPr>
        <w:spacing w:after="80"/>
      </w:pPr>
      <w:r>
        <w:t xml:space="preserve">Within each leg, weight by market cap at t (value-weighted).</w:t>
      </w:r>
    </w:p>
    <w:p>
      <w:pPr>
        <w:pStyle w:val="ListParagraph"/>
        <w:numPr>
          <w:ilvl w:val="0"/>
          <w:numId w:val="2"/>
        </w:numPr>
        <w:spacing w:after="80"/>
      </w:pPr>
      <w:r>
        <w:t xml:space="preserve">Hold from end-of-month t to end-of-month t+1; compute leg returns as the value-weighted return of constituents.</w:t>
      </w:r>
    </w:p>
    <w:p>
      <w:pPr>
        <w:pStyle w:val="ListParagraph"/>
        <w:numPr>
          <w:ilvl w:val="0"/>
          <w:numId w:val="2"/>
        </w:numPr>
        <w:spacing w:after="80"/>
      </w:pPr>
      <w:r>
        <w:t xml:space="preserve">Long-short return at t+1 = return of long leg − return of short leg.</w:t>
      </w:r>
    </w:p>
    <w:p>
      <w:pPr>
        <w:pStyle w:val="ListParagraph"/>
        <w:numPr>
          <w:ilvl w:val="0"/>
          <w:numId w:val="2"/>
        </w:numPr>
        <w:spacing w:after="80"/>
      </w:pPr>
      <w:r>
        <w:t xml:space="preserve">Rebalance monthly. Track turnover and incorporate transaction costs.</w:t>
      </w:r>
    </w:p>
    <w:p>
      <w:pPr>
        <w:spacing w:after="120" w:line="280"/>
      </w:pPr>
      <w:r>
        <w:rPr>
          <w:b/>
          <w:bCs/>
        </w:rPr>
        <w:t xml:space="preserve">(b) </w:t>
      </w:r>
      <w:r>
        <w:t xml:space="preserve">Below is a toy cross-section of 10 stocks. With only 10 stocks, use TERCILES (top 3 long, bottom 3 short) instead of deciles. Compute the value-weighted long-short return.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2400"/>
      </w:tblGrid>
      <w:tr>
        <w:tc>
          <w:tcPr>
            <w:tcW w:type="dxa" w:w="1500"/>
            <w:tcBorders>
              <w:top w:val="single" w:color="888888" w:sz="4"/>
              <w:left w:val="single" w:color="888888" w:sz="4"/>
              <w:bottom w:val="single" w:color="888888" w:sz="4"/>
              <w:right w:val="single" w:color="888888" w:sz="4"/>
            </w:tcBorders>
            <w:shd w:fill="EEEEEE" w:color="auto" w:val="clear"/>
            <w:tcMar>
              <w:top w:type="dxa" w:w="80"/>
              <w:left w:type="dxa" w:w="120"/>
              <w:bottom w:type="dxa" w:w="80"/>
              <w:right w:type="dxa" w:w="120"/>
            </w:tcMar>
          </w:tcPr>
          <w:p>
            <w:r>
              <w:rPr>
                <w:b/>
                <w:bCs/>
              </w:rPr>
              <w:t xml:space="preserve">Stock</w:t>
            </w:r>
          </w:p>
        </w:tc>
        <w:tc>
          <w:tcPr>
            <w:tcW w:type="dxa" w:w="1500"/>
            <w:tcBorders>
              <w:top w:val="single" w:color="888888" w:sz="4"/>
              <w:left w:val="single" w:color="888888" w:sz="4"/>
              <w:bottom w:val="single" w:color="888888" w:sz="4"/>
              <w:right w:val="single" w:color="888888" w:sz="4"/>
            </w:tcBorders>
            <w:shd w:fill="EEEEEE" w:color="auto" w:val="clear"/>
            <w:tcMar>
              <w:top w:type="dxa" w:w="80"/>
              <w:left w:type="dxa" w:w="120"/>
              <w:bottom w:type="dxa" w:w="80"/>
              <w:right w:type="dxa" w:w="120"/>
            </w:tcMar>
          </w:tcPr>
          <w:p>
            <w:r>
              <w:rPr>
                <w:b/>
                <w:bCs/>
              </w:rPr>
              <w:t xml:space="preserve">B/M</w:t>
            </w:r>
          </w:p>
        </w:tc>
        <w:tc>
          <w:tcPr>
            <w:tcW w:type="dxa" w:w="2200"/>
            <w:tcBorders>
              <w:top w:val="single" w:color="888888" w:sz="4"/>
              <w:left w:val="single" w:color="888888" w:sz="4"/>
              <w:bottom w:val="single" w:color="888888" w:sz="4"/>
              <w:right w:val="single" w:color="888888" w:sz="4"/>
            </w:tcBorders>
            <w:shd w:fill="EEEEEE" w:color="auto" w:val="clear"/>
            <w:tcMar>
              <w:top w:type="dxa" w:w="80"/>
              <w:left w:type="dxa" w:w="120"/>
              <w:bottom w:type="dxa" w:w="80"/>
              <w:right w:type="dxa" w:w="120"/>
            </w:tcMar>
          </w:tcPr>
          <w:p>
            <w:r>
              <w:rPr>
                <w:b/>
                <w:bCs/>
              </w:rPr>
              <w:t xml:space="preserve">Mktcap ($B)</w:t>
            </w:r>
          </w:p>
        </w:tc>
        <w:tc>
          <w:tcPr>
            <w:tcW w:type="dxa" w:w="2400"/>
            <w:tcBorders>
              <w:top w:val="single" w:color="888888" w:sz="4"/>
              <w:left w:val="single" w:color="888888" w:sz="4"/>
              <w:bottom w:val="single" w:color="888888" w:sz="4"/>
              <w:right w:val="single" w:color="888888" w:sz="4"/>
            </w:tcBorders>
            <w:shd w:fill="EEEEEE" w:color="auto" w:val="clear"/>
            <w:tcMar>
              <w:top w:type="dxa" w:w="80"/>
              <w:left w:type="dxa" w:w="120"/>
              <w:bottom w:type="dxa" w:w="80"/>
              <w:right w:type="dxa" w:w="120"/>
            </w:tcMar>
          </w:tcPr>
          <w:p>
            <w:r>
              <w:rPr>
                <w:b/>
                <w:bCs/>
              </w:rPr>
              <w:t xml:space="preserve">Return next month</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0.3</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0.4</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0.5</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D</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0.6</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0.8</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25</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G</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1.3</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H</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1.6</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15</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2.0</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J</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2.5</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w:t>
            </w:r>
          </w:p>
        </w:tc>
      </w:tr>
    </w:tbl>
    <w:p>
      <w:pPr>
        <w:spacing w:after="80" w:before="120"/>
      </w:pPr>
      <w:r>
        <w:rPr>
          <w:b/>
          <w:bCs/>
          <w:color w:val="1F4E79"/>
          <w:sz w:val="20"/>
          <w:szCs w:val="20"/>
        </w:rPr>
        <w:t xml:space="preserve">ANSWER KEY</w:t>
      </w:r>
    </w:p>
    <w:p>
      <w:pPr>
        <w:spacing w:after="120" w:line="280"/>
      </w:pPr>
      <w:r>
        <w:t xml:space="preserve">Top tercile (LONG): H, I, J.  Mkt caps 15, 10, 5; total 30. Weights = (0.500, 0.333, 0.167).</w:t>
      </w:r>
    </w:p>
    <w:p>
      <w:pPr>
        <w:spacing w:after="120" w:line="280"/>
      </w:pPr>
      <w:r>
        <w:t xml:space="preserve">Long return = 0.500×3 + 0.333×4 + 0.167×5 = 1.50 + 1.33 + 0.83 = 3.67%.</w:t>
      </w:r>
    </w:p>
    <w:p>
      <w:pPr>
        <w:spacing w:after="120" w:line="280"/>
      </w:pPr>
      <w:r>
        <w:t xml:space="preserve">Bottom tercile (SHORT): A, B, C.  Mkt caps 100, 80, 60; total 240. Weights = (0.417, 0.333, 0.250).</w:t>
      </w:r>
    </w:p>
    <w:p>
      <w:pPr>
        <w:spacing w:after="120" w:line="280"/>
      </w:pPr>
      <w:r>
        <w:t xml:space="preserve">Short leg return = 0.417×(-2) + 0.333×(-1) + 0.250×0 = -0.83 - 0.33 + 0 = -1.17%.</w:t>
      </w:r>
    </w:p>
    <w:p>
      <w:pPr>
        <w:spacing w:after="120" w:line="280"/>
      </w:pPr>
      <w:r>
        <w:t xml:space="preserve">Long − Short = 3.67% − (-1.17%) = +4.83%.</w:t>
      </w:r>
    </w:p>
    <w:p>
      <w:pPr>
        <w:spacing w:after="120" w:line="280"/>
      </w:pPr>
      <w:r>
        <w:rPr>
          <w:b/>
          <w:bCs/>
        </w:rPr>
        <w:t xml:space="preserve">(c) </w:t>
      </w:r>
      <w:r>
        <w:t xml:space="preserve">Notice that in your tercile portfolio, the long leg's value weights are dominated by the smallest stocks (because high-B/M stocks here are also small caps). How would you adjust the procedure if you wanted to isolate the value premium within LARGE stocks only?</w:t>
      </w:r>
    </w:p>
    <w:p>
      <w:pPr>
        <w:spacing w:after="80" w:before="120"/>
      </w:pPr>
      <w:r>
        <w:rPr>
          <w:b/>
          <w:bCs/>
          <w:color w:val="1F4E79"/>
          <w:sz w:val="20"/>
          <w:szCs w:val="20"/>
        </w:rPr>
        <w:t xml:space="preserve">ANSWER KEY</w:t>
      </w:r>
    </w:p>
    <w:p>
      <w:pPr>
        <w:spacing w:after="120" w:line="280"/>
      </w:pPr>
      <w:r>
        <w:t xml:space="preserve">Run a CONDITIONAL sort. First, restrict the universe to large stocks (e.g., top 50% by market cap, or above an absolute size cutoff). Then, within that restricted universe, sort by B/M and form long/short tercile (or decile) legs. Equivalently, do an independent 2×3 size × B/M sort and use only the LARGE × {high, low} cells. This gives a "large value" vs. "large growth" portfolio that is approximately neutral to the size factor.</w:t>
      </w:r>
    </w:p>
    <w:p>
      <w:pPr>
        <w:spacing w:after="120" w:line="280"/>
      </w:pPr>
      <w:r>
        <w:rPr>
          <w:b/>
          <w:bCs/>
        </w:rPr>
        <w:t xml:space="preserve">(d) </w:t>
      </w:r>
      <w:r>
        <w:t xml:space="preserve">Compute one key statistic that speaks to how much of a value play this strategy actually is. (Hint: think about what distinguishes the long leg from the short leg.)</w:t>
      </w:r>
    </w:p>
    <w:p>
      <w:pPr>
        <w:spacing w:after="80" w:before="120"/>
      </w:pPr>
      <w:r>
        <w:rPr>
          <w:b/>
          <w:bCs/>
          <w:color w:val="1F4E79"/>
          <w:sz w:val="20"/>
          <w:szCs w:val="20"/>
        </w:rPr>
        <w:t xml:space="preserve">ANSWER KEY</w:t>
      </w:r>
    </w:p>
    <w:p>
      <w:pPr>
        <w:spacing w:after="120" w:line="280"/>
      </w:pPr>
      <w:r>
        <w:t xml:space="preserve">Compute the value-weighted B/M of the long leg minus the value-weighted B/M of the short leg — i.e. the B/M spread of the long-short portfolio.</w:t>
      </w:r>
    </w:p>
    <w:p>
      <w:pPr>
        <w:spacing w:after="120" w:line="280"/>
      </w:pPr>
      <w:r>
        <w:t xml:space="preserve">Long-leg avg B/M = (15×1.6 + 10×2.0 + 5×2.5) / 30 = (24 + 20 + 12.5) / 30 = 56.5/30 ≈ 1.88.</w:t>
      </w:r>
    </w:p>
    <w:p>
      <w:pPr>
        <w:spacing w:after="120" w:line="280"/>
      </w:pPr>
      <w:r>
        <w:t xml:space="preserve">Short-leg avg B/M = (100×0.3 + 80×0.4 + 60×0.5) / 240 = (30 + 32 + 30) / 240 = 92/240 ≈ 0.38.</w:t>
      </w:r>
    </w:p>
    <w:p>
      <w:pPr>
        <w:spacing w:after="120" w:line="280"/>
      </w:pPr>
      <w:r>
        <w:t xml:space="preserve">B/M spread ≈ 1.88 − 0.38 = 1.50.  This is the per-unit-of-trading exposure to the B/M characteristic — large here, because the extreme deciles in this toy data are far apart.</w:t>
      </w:r>
    </w:p>
    <w:p>
      <w:pPr>
        <w:spacing w:after="120" w:line="280"/>
      </w:pPr>
      <w:r>
        <w:rPr>
          <w:b/>
          <w:bCs/>
        </w:rPr>
        <w:t xml:space="preserve">(e) </w:t>
      </w:r>
      <w:r>
        <w:t xml:space="preserve">What would this statistic say about the approach suggested in (c)?</w:t>
      </w:r>
    </w:p>
    <w:p>
      <w:pPr>
        <w:spacing w:after="80" w:before="120"/>
      </w:pPr>
      <w:r>
        <w:rPr>
          <w:b/>
          <w:bCs/>
          <w:color w:val="1F4E79"/>
          <w:sz w:val="20"/>
          <w:szCs w:val="20"/>
        </w:rPr>
        <w:t xml:space="preserve">ANSWER KEY</w:t>
      </w:r>
    </w:p>
    <w:p>
      <w:pPr>
        <w:spacing w:after="120" w:line="280"/>
      </w:pPr>
      <w:r>
        <w:t xml:space="preserve">The B/M spread would SHRINK substantially under the large-only restriction. In this dataset, the most extreme B/M values are concentrated in the smallest stocks; once you restrict to large caps, the long and short legs are drawn from a narrower B/M range, so the spread per dollar traded is smaller. The strategy's value tilt becomes weaker — you may have isolated a cleaner value premium (no size contamination) but at the cost of less B/M exposure per unit of capital.</w:t>
      </w:r>
    </w:p>
    <w:p>
      <w:r>
        <w:br w:type="page"/>
      </w:r>
    </w:p>
    <w:p>
      <w:pPr>
        <w:pStyle w:val="Heading1"/>
      </w:pPr>
      <w:r>
        <w:t xml:space="preserve">Question 9 — Multifactor models  (20 pts)</w:t>
      </w:r>
    </w:p>
    <w:p>
      <w:pPr>
        <w:spacing w:after="120" w:line="280"/>
      </w:pPr>
      <w:r>
        <w:t xml:space="preserve">A long-only equity fund is regressed on the time-series Fama–French 5 + Momentum model: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888888" w:sz="4"/>
              <w:left w:val="single" w:color="888888" w:sz="4"/>
              <w:bottom w:val="single" w:color="888888" w:sz="4"/>
              <w:right w:val="single" w:color="888888" w:sz="4"/>
            </w:tcBorders>
            <w:shd w:fill="EEEEEE" w:color="auto" w:val="clear"/>
            <w:tcMar>
              <w:top w:type="dxa" w:w="80"/>
              <w:left w:type="dxa" w:w="120"/>
              <w:bottom w:type="dxa" w:w="80"/>
              <w:right w:type="dxa" w:w="120"/>
            </w:tcMar>
          </w:tcPr>
          <w:p>
            <w:r>
              <w:rPr>
                <w:b/>
                <w:bCs/>
              </w:rPr>
              <w:t xml:space="preserve">Coefficient</w:t>
            </w:r>
          </w:p>
        </w:tc>
        <w:tc>
          <w:tcPr>
            <w:tcW w:type="dxa" w:w="2400"/>
            <w:tcBorders>
              <w:top w:val="single" w:color="888888" w:sz="4"/>
              <w:left w:val="single" w:color="888888" w:sz="4"/>
              <w:bottom w:val="single" w:color="888888" w:sz="4"/>
              <w:right w:val="single" w:color="888888" w:sz="4"/>
            </w:tcBorders>
            <w:shd w:fill="EEEEEE" w:color="auto" w:val="clear"/>
            <w:tcMar>
              <w:top w:type="dxa" w:w="80"/>
              <w:left w:type="dxa" w:w="120"/>
              <w:bottom w:type="dxa" w:w="80"/>
              <w:right w:type="dxa" w:w="120"/>
            </w:tcMar>
          </w:tcPr>
          <w:p>
            <w:r>
              <w:rPr>
                <w:b/>
                <w:bCs/>
              </w:rPr>
              <w:t xml:space="preserve">Estimate</w:t>
            </w:r>
          </w:p>
        </w:tc>
        <w:tc>
          <w:tcPr>
            <w:tcW w:type="dxa" w:w="2400"/>
            <w:tcBorders>
              <w:top w:val="single" w:color="888888" w:sz="4"/>
              <w:left w:val="single" w:color="888888" w:sz="4"/>
              <w:bottom w:val="single" w:color="888888" w:sz="4"/>
              <w:right w:val="single" w:color="888888" w:sz="4"/>
            </w:tcBorders>
            <w:shd w:fill="EEEEEE" w:color="auto" w:val="clear"/>
            <w:tcMar>
              <w:top w:type="dxa" w:w="80"/>
              <w:left w:type="dxa" w:w="120"/>
              <w:bottom w:type="dxa" w:w="80"/>
              <w:right w:type="dxa" w:w="120"/>
            </w:tcMar>
          </w:tcPr>
          <w:p>
            <w:r>
              <w:rPr>
                <w:b/>
                <w:bCs/>
              </w:rPr>
              <w:t xml:space="preserve">t-stat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α (yearly)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2.2</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β_MKT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1.5</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β_SMB</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0.35</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7.0</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β_HML</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-5.5</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β_RMW</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-0.8</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β_CMA</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-0.5</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-2.5</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β_MOM</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-0.10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-0.1</w:t>
            </w:r>
          </w:p>
        </w:tc>
      </w:tr>
    </w:tbl>
    <w:p>
      <w:pPr>
        <w:spacing w:after="120" w:line="280"/>
      </w:pPr>
      <w:r>
        <w:t xml:space="preserve">R² = 0.92, σ(ε) = 5% yearly.</w:t>
      </w:r>
    </w:p>
    <w:p>
      <w:pPr>
        <w:spacing w:after="120" w:line="280"/>
      </w:pPr>
      <w:r>
        <w:t xml:space="preserve">Annualized factor premia (assume given): MKT = 8%, SMB = 0%, HML = 3%, RMW = 3%, CMA = 2%, MOM = 4%.</w:t>
      </w:r>
    </w:p>
    <w:p>
      <w:pPr>
        <w:spacing w:after="120" w:line="280"/>
      </w:pPr>
      <w:r>
        <w:t xml:space="preserve"/>
      </w:r>
    </w:p>
    <w:p>
      <w:pPr>
        <w:spacing w:after="120" w:line="280"/>
      </w:pPr>
      <w:r>
        <w:rPr>
          <w:b/>
          <w:bCs/>
        </w:rPr>
        <w:t xml:space="preserve">(a) </w:t>
      </w:r>
      <w:r>
        <w:t xml:space="preserve">Decompose the fund's expected annual excess return into the contribution from each factor plus alpha. Which single factor explains the most return?  (4 pts)</w:t>
      </w:r>
    </w:p>
    <w:p>
      <w:pPr>
        <w:spacing w:after="80" w:before="120"/>
      </w:pPr>
      <w:r>
        <w:rPr>
          <w:b/>
          <w:bCs/>
          <w:color w:val="1F4E79"/>
          <w:sz w:val="20"/>
          <w:szCs w:val="20"/>
        </w:rPr>
        <w:t xml:space="preserve">ANSWER KEY</w:t>
      </w:r>
    </w:p>
    <w:p>
      <w:pPr>
        <w:spacing w:after="120" w:line="280"/>
      </w:pPr>
      <w:r>
        <w:t xml:space="preserve">Contribution = β × premium:</w:t>
      </w:r>
    </w:p>
    <w:p>
      <w:pPr>
        <w:pStyle w:val="ListParagraph"/>
        <w:numPr>
          <w:ilvl w:val="0"/>
          <w:numId w:val="2"/>
        </w:numPr>
        <w:spacing w:after="80"/>
      </w:pPr>
      <w:r>
        <w:t xml:space="preserve">α              :   +5.0%</w:t>
      </w:r>
    </w:p>
    <w:p>
      <w:pPr>
        <w:pStyle w:val="ListParagraph"/>
        <w:numPr>
          <w:ilvl w:val="0"/>
          <w:numId w:val="2"/>
        </w:numPr>
        <w:spacing w:after="80"/>
      </w:pPr>
      <w:r>
        <w:t xml:space="preserve">MKT  (1.5 × 8%)  : +12.0%   ← largest single contributor</w:t>
      </w:r>
    </w:p>
    <w:p>
      <w:pPr>
        <w:pStyle w:val="ListParagraph"/>
        <w:numPr>
          <w:ilvl w:val="0"/>
          <w:numId w:val="2"/>
        </w:numPr>
        <w:spacing w:after="80"/>
      </w:pPr>
      <w:r>
        <w:t xml:space="preserve">SMB  (0.35 × 0%) :   0.0%</w:t>
      </w:r>
    </w:p>
    <w:p>
      <w:pPr>
        <w:pStyle w:val="ListParagraph"/>
        <w:numPr>
          <w:ilvl w:val="0"/>
          <w:numId w:val="2"/>
        </w:numPr>
        <w:spacing w:after="80"/>
      </w:pPr>
      <w:r>
        <w:t xml:space="preserve">HML  (-1 × 3%)   :  -3.0%</w:t>
      </w:r>
    </w:p>
    <w:p>
      <w:pPr>
        <w:pStyle w:val="ListParagraph"/>
        <w:numPr>
          <w:ilvl w:val="0"/>
          <w:numId w:val="2"/>
        </w:numPr>
        <w:spacing w:after="80"/>
      </w:pPr>
      <w:r>
        <w:t xml:space="preserve">RMW  (-0.8 × 3%) :  -2.4%</w:t>
      </w:r>
    </w:p>
    <w:p>
      <w:pPr>
        <w:pStyle w:val="ListParagraph"/>
        <w:numPr>
          <w:ilvl w:val="0"/>
          <w:numId w:val="2"/>
        </w:numPr>
        <w:spacing w:after="80"/>
      </w:pPr>
      <w:r>
        <w:t xml:space="preserve">CMA  (-0.5 × 2%) :  -1.0%</w:t>
      </w:r>
    </w:p>
    <w:p>
      <w:pPr>
        <w:pStyle w:val="ListParagraph"/>
        <w:numPr>
          <w:ilvl w:val="0"/>
          <w:numId w:val="2"/>
        </w:numPr>
        <w:spacing w:after="80"/>
      </w:pPr>
      <w:r>
        <w:t xml:space="preserve">MOM  (-0.1 × 4%) :  -0.4%</w:t>
      </w:r>
    </w:p>
    <w:p>
      <w:pPr>
        <w:spacing w:after="120" w:line="280"/>
      </w:pPr>
      <w:r>
        <w:t xml:space="preserve">Largest contribution: MKT, +12% per year.</w:t>
      </w:r>
    </w:p>
    <w:p>
      <w:pPr>
        <w:spacing w:after="120" w:line="280"/>
      </w:pPr>
      <w:r>
        <w:rPr>
          <w:b/>
          <w:bCs/>
        </w:rPr>
        <w:t xml:space="preserve">(b) </w:t>
      </w:r>
      <w:r>
        <w:t xml:space="preserve">What is the fund's expected excess return?  (2 pts)</w:t>
      </w:r>
    </w:p>
    <w:p>
      <w:pPr>
        <w:spacing w:after="80" w:before="120"/>
      </w:pPr>
      <w:r>
        <w:rPr>
          <w:b/>
          <w:bCs/>
          <w:color w:val="1F4E79"/>
          <w:sz w:val="20"/>
          <w:szCs w:val="20"/>
        </w:rPr>
        <w:t xml:space="preserve">ANSWER KEY</w:t>
      </w:r>
    </w:p>
    <w:p>
      <w:pPr>
        <w:spacing w:after="120" w:line="280"/>
      </w:pPr>
      <w:r>
        <w:t xml:space="preserve">Sum of contributions = 5 + 12 + 0 − 3 − 2.4 − 1 − 0.4 = 10.2% per year.</w:t>
      </w:r>
    </w:p>
    <w:p>
      <w:pPr>
        <w:spacing w:after="120" w:line="280"/>
      </w:pPr>
      <w:r>
        <w:rPr>
          <w:b/>
          <w:bCs/>
        </w:rPr>
        <w:t xml:space="preserve">(c) </w:t>
      </w:r>
      <w:r>
        <w:t xml:space="preserve">What additional information do you need to determine what share of the strategy's risk comes from each factor? Write down the calculation, assuming you have that information.  (4 pts)</w:t>
      </w:r>
    </w:p>
    <w:p>
      <w:pPr>
        <w:spacing w:after="80" w:before="120"/>
      </w:pPr>
      <w:r>
        <w:rPr>
          <w:b/>
          <w:bCs/>
          <w:color w:val="1F4E79"/>
          <w:sz w:val="20"/>
          <w:szCs w:val="20"/>
        </w:rPr>
        <w:t xml:space="preserve">ANSWER KEY</w:t>
      </w:r>
    </w:p>
    <w:p>
      <w:pPr>
        <w:spacing w:after="120" w:line="280"/>
      </w:pPr>
      <w:r>
        <w:t xml:space="preserve">You need the variance-covariance matrix of the factors, Σ_F (or, in the orthogonal-factors limit, just the variances σ²_Fi).</w:t>
      </w:r>
    </w:p>
    <w:p>
      <w:pPr>
        <w:spacing w:after="120" w:line="280"/>
      </w:pPr>
      <w:r>
        <w:t xml:space="preserve">Total fund variance:   σ²(R) = β′ Σ_F β + σ²(ε).</w:t>
      </w:r>
    </w:p>
    <w:p>
      <w:pPr>
        <w:spacing w:after="120" w:line="280"/>
      </w:pPr>
      <w:r>
        <w:t xml:space="preserve">Share of variance from factor i (orthogonal case): β_i² σ²_Fi / σ²(R).</w:t>
      </w:r>
    </w:p>
    <w:p>
      <w:pPr>
        <w:spacing w:after="120" w:line="280"/>
      </w:pPr>
      <w:r>
        <w:t xml:space="preserve">Share of variance from idiosyncratic shocks: σ²(ε) / σ²(R) = 0.05² / σ²(R) — and we already know R² = 0.92, so this share = 1 − 0.92 = 8%, meaning factors collectively explain 92% of variance.</w:t>
      </w:r>
    </w:p>
    <w:p>
      <w:pPr>
        <w:spacing w:after="120" w:line="280"/>
      </w:pPr>
      <w:r>
        <w:rPr>
          <w:b/>
          <w:bCs/>
        </w:rPr>
        <w:t xml:space="preserve">(d) </w:t>
      </w:r>
      <w:r>
        <w:t xml:space="preserve">You are tasked with selling this equity fund to "CAPM investors" (investors who use the CAPM to evaluate performance). What is the problem you will face?  (5 pts)</w:t>
      </w:r>
    </w:p>
    <w:p>
      <w:pPr>
        <w:spacing w:after="80" w:before="120"/>
      </w:pPr>
      <w:r>
        <w:rPr>
          <w:b/>
          <w:bCs/>
          <w:color w:val="1F4E79"/>
          <w:sz w:val="20"/>
          <w:szCs w:val="20"/>
        </w:rPr>
        <w:t xml:space="preserve">ANSWER KEY</w:t>
      </w:r>
    </w:p>
    <w:p>
      <w:pPr>
        <w:spacing w:after="120" w:line="280"/>
      </w:pPr>
      <w:r>
        <w:t xml:space="preserve">A CAPM investor regresses the fund on MKT alone. The CAPM α equals the multifactor α PLUS the contribution from non-MKT factors that the CAPM ignores:</w:t>
      </w:r>
    </w:p>
    <w:p>
      <w:pPr>
        <w:spacing w:after="120" w:line="280"/>
      </w:pPr>
      <w:r>
        <w:t xml:space="preserve">α_CAPM ≈ α_multi + Σ_{i≠MKT} β_i × premium_i</w:t>
      </w:r>
    </w:p>
    <w:p>
      <w:pPr>
        <w:spacing w:after="120" w:line="280"/>
      </w:pPr>
      <w:r>
        <w:t xml:space="preserve">       = 5% + 0 + (-3) + (-2.4) + (-1) + (-0.4)  =  -1.8% per year.</w:t>
      </w:r>
    </w:p>
    <w:p>
      <w:pPr>
        <w:spacing w:after="120" w:line="280"/>
      </w:pPr>
      <w:r>
        <w:t xml:space="preserve">So a CAPM investor sees the fund as having NEGATIVE alpha of -1.8%. The real fund is fine — it has positive multifactor alpha — but its NEGATIVE loadings on factors with positive premia (HML, RMW, CMA) drag down the apparent CAPM performance. You can't sell a fund with negative CAPM α to a CAPM-based buyer.</w:t>
      </w:r>
    </w:p>
    <w:p>
      <w:pPr>
        <w:spacing w:after="120" w:line="280"/>
      </w:pPr>
      <w:r>
        <w:rPr>
          <w:b/>
          <w:bCs/>
        </w:rPr>
        <w:t xml:space="preserve">(e) </w:t>
      </w:r>
      <w:r>
        <w:t xml:space="preserve">How could you "repackage" this fund into a basket that would be more appealing to those investors? Be precise — I am looking for a basket that holds this fund AND other things.  (5 pts)</w:t>
      </w:r>
    </w:p>
    <w:p>
      <w:pPr>
        <w:spacing w:after="80" w:before="120"/>
      </w:pPr>
      <w:r>
        <w:rPr>
          <w:b/>
          <w:bCs/>
          <w:color w:val="1F4E79"/>
          <w:sz w:val="20"/>
          <w:szCs w:val="20"/>
        </w:rPr>
        <w:t xml:space="preserve">ANSWER KEY</w:t>
      </w:r>
    </w:p>
    <w:p>
      <w:pPr>
        <w:spacing w:after="120" w:line="280"/>
      </w:pPr>
      <w:r>
        <w:t xml:space="preserve">Build a basket that adds long positions in the factors the fund is short, sized to neutralize the negative loadings:</w:t>
      </w:r>
    </w:p>
    <w:p>
      <w:pPr>
        <w:spacing w:after="120" w:line="280"/>
      </w:pPr>
      <w:r>
        <w:t xml:space="preserve">Basket  =  (1.0 × Fund)  +  (1.0 × HML)  +  (0.8 × RMW)  +  (0.5 × CMA)  +  (0.1 × MOM).</w:t>
      </w:r>
    </w:p>
    <w:p>
      <w:pPr>
        <w:spacing w:after="120" w:line="280"/>
      </w:pPr>
      <w:r>
        <w:t xml:space="preserve">After offsetting, the basket has loadings ≈ (β_MKT = 1.5, all others ≈ 0). Its CAPM α equals the multifactor α of the fund (5%) PLUS the factor premia earned by the long factor positions, which a CAPM investor will also score as α since CAPM doesn't recognize them:</w:t>
      </w:r>
    </w:p>
    <w:p>
      <w:pPr>
        <w:spacing w:after="120" w:line="280"/>
      </w:pPr>
      <w:r>
        <w:t xml:space="preserve">α_CAPM(basket) ≈ 5% + 1×3 + 0.8×3 + 0.5×2 + 0.1×4  =  5 + 3 + 2.4 + 1 + 0.4  =  11.8%.</w:t>
      </w:r>
    </w:p>
    <w:p>
      <w:pPr>
        <w:spacing w:after="120" w:line="280"/>
      </w:pPr>
      <w:r>
        <w:t xml:space="preserve">Now the CAPM investor sees a fund with β_MKT ≈ 1.5 and α ≈ 11.8% — extremely attractive. You haven't created any economic value (the basket just exposes the buyer to factor premia they were ignoring), but you've made the marketing problem disappear.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UG54 Final Exam — Spring 2026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2026-05-06T19:24:20.369Z</dcterms:created>
  <dcterms:modified xsi:type="dcterms:W3CDTF">2026-05-06T19:24:20.369Z</dcterms:modified>
</cp:coreProperties>
</file>

<file path=docProps/custom.xml><?xml version="1.0" encoding="utf-8"?>
<Properties xmlns="http://schemas.openxmlformats.org/officeDocument/2006/custom-properties" xmlns:vt="http://schemas.openxmlformats.org/officeDocument/2006/docPropsVTypes"/>
</file>