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26"/>
        </w:rPr>
        <w:t>SCHOOL OF COMPUTER SCIENCE AND ENGINEERING (SCOPE)</w:t>
        <w:br/>
        <w:t>COMPUTER NETWORKS (BACSE203)</w:t>
      </w:r>
    </w:p>
    <w:p>
      <w:pPr>
        <w:spacing w:before="120" w:after="40"/>
        <w:jc w:val="center"/>
      </w:pPr>
      <w:r>
        <w:rPr>
          <w:rFonts w:ascii="Arial" w:hAnsi="Arial"/>
          <w:b/>
          <w:sz w:val="32"/>
        </w:rPr>
        <w:t>CASE STUDY REPORT: PERSON 1 MODULE</w:t>
      </w:r>
    </w:p>
    <w:p>
      <w:pPr>
        <w:spacing w:after="280"/>
        <w:jc w:val="center"/>
      </w:pPr>
      <w:r>
        <w:rPr>
          <w:rFonts w:ascii="Times New Roman" w:hAnsi="Times New Roman"/>
          <w:i/>
          <w:color w:val="475569"/>
          <w:sz w:val="22"/>
        </w:rPr>
        <w:t>Topic: POP3 Protocol Architecture, Operational Mechanics &amp; Technical Limitations</w:t>
        <w:br/>
        <w:t>Fall Semester 2026–27</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F1F5F9"/>
            <w:tcMar>
              <w:top w:w="70" w:type="dxa"/>
              <w:bottom w:w="70" w:type="dxa"/>
              <w:left w:w="100" w:type="dxa"/>
              <w:right w:w="100" w:type="dxa"/>
            </w:tcMar>
          </w:tcPr>
          <w:p>
            <w:pPr>
              <w:spacing w:before="40" w:after="40" w:line="252" w:lineRule="auto"/>
              <w:jc w:val="left"/>
            </w:pPr>
            <w:r/>
            <w:r>
              <w:rPr>
                <w:rFonts w:ascii="Times New Roman" w:hAnsi="Times New Roman"/>
                <w:b/>
                <w:i w:val="0"/>
                <w:sz w:val="21"/>
              </w:rPr>
              <w:t>Case Study Number</w:t>
            </w:r>
          </w:p>
        </w:tc>
        <w:tc>
          <w:tcPr>
            <w:tcW w:type="dxa" w:w="4514"/>
            <w:tcMar>
              <w:top w:w="70" w:type="dxa"/>
              <w:bottom w:w="70" w:type="dxa"/>
              <w:left w:w="100" w:type="dxa"/>
              <w:right w:w="100" w:type="dxa"/>
            </w:tcMar>
          </w:tcPr>
          <w:p>
            <w:pPr>
              <w:spacing w:before="40" w:after="40" w:line="252" w:lineRule="auto"/>
              <w:jc w:val="left"/>
            </w:pPr>
            <w:r/>
            <w:r>
              <w:rPr>
                <w:rFonts w:ascii="Times New Roman" w:hAnsi="Times New Roman"/>
                <w:b w:val="0"/>
                <w:i w:val="0"/>
                <w:sz w:val="21"/>
              </w:rPr>
              <w:t>Case Study 5</w:t>
            </w:r>
          </w:p>
        </w:tc>
      </w:tr>
      <w:tr>
        <w:tc>
          <w:tcPr>
            <w:tcW w:type="dxa" w:w="4514"/>
            <w:shd w:val="clear" w:color="auto" w:fill="F1F5F9"/>
            <w:tcMar>
              <w:top w:w="70" w:type="dxa"/>
              <w:bottom w:w="70" w:type="dxa"/>
              <w:left w:w="100" w:type="dxa"/>
              <w:right w:w="100" w:type="dxa"/>
            </w:tcMar>
          </w:tcPr>
          <w:p>
            <w:pPr>
              <w:spacing w:before="40" w:after="40" w:line="252" w:lineRule="auto"/>
              <w:jc w:val="left"/>
            </w:pPr>
            <w:r/>
            <w:r>
              <w:rPr>
                <w:rFonts w:ascii="Times New Roman" w:hAnsi="Times New Roman"/>
                <w:b/>
                <w:i w:val="0"/>
                <w:sz w:val="21"/>
              </w:rPr>
              <w:t>Case Study Title</w:t>
            </w:r>
          </w:p>
        </w:tc>
        <w:tc>
          <w:tcPr>
            <w:tcW w:type="dxa" w:w="4514"/>
            <w:tcMar>
              <w:top w:w="70" w:type="dxa"/>
              <w:bottom w:w="70" w:type="dxa"/>
              <w:left w:w="100" w:type="dxa"/>
              <w:right w:w="100" w:type="dxa"/>
            </w:tcMar>
          </w:tcPr>
          <w:p>
            <w:pPr>
              <w:spacing w:before="40" w:after="40" w:line="252" w:lineRule="auto"/>
              <w:jc w:val="left"/>
            </w:pPr>
            <w:r/>
            <w:r>
              <w:rPr>
                <w:rFonts w:ascii="Times New Roman" w:hAnsi="Times New Roman"/>
                <w:b w:val="0"/>
                <w:i w:val="0"/>
                <w:sz w:val="21"/>
              </w:rPr>
              <w:t>POP3 Mailbox Access in a Low-Bandwidth Branch</w:t>
            </w:r>
          </w:p>
        </w:tc>
      </w:tr>
      <w:tr>
        <w:tc>
          <w:tcPr>
            <w:tcW w:type="dxa" w:w="4514"/>
            <w:shd w:val="clear" w:color="auto" w:fill="F1F5F9"/>
            <w:tcMar>
              <w:top w:w="70" w:type="dxa"/>
              <w:bottom w:w="70" w:type="dxa"/>
              <w:left w:w="100" w:type="dxa"/>
              <w:right w:w="100" w:type="dxa"/>
            </w:tcMar>
          </w:tcPr>
          <w:p>
            <w:pPr>
              <w:spacing w:before="40" w:after="40" w:line="252" w:lineRule="auto"/>
              <w:jc w:val="left"/>
            </w:pPr>
            <w:r/>
            <w:r>
              <w:rPr>
                <w:rFonts w:ascii="Times New Roman" w:hAnsi="Times New Roman"/>
                <w:b/>
                <w:i w:val="0"/>
                <w:sz w:val="21"/>
              </w:rPr>
              <w:t>Assigned Member &amp; Role</w:t>
            </w:r>
          </w:p>
        </w:tc>
        <w:tc>
          <w:tcPr>
            <w:tcW w:type="dxa" w:w="4514"/>
            <w:tcMar>
              <w:top w:w="70" w:type="dxa"/>
              <w:bottom w:w="70" w:type="dxa"/>
              <w:left w:w="100" w:type="dxa"/>
              <w:right w:w="100" w:type="dxa"/>
            </w:tcMar>
          </w:tcPr>
          <w:p>
            <w:pPr>
              <w:spacing w:before="40" w:after="40" w:line="252" w:lineRule="auto"/>
              <w:jc w:val="left"/>
            </w:pPr>
            <w:r/>
            <w:r>
              <w:rPr>
                <w:rFonts w:ascii="Times New Roman" w:hAnsi="Times New Roman"/>
                <w:b w:val="0"/>
                <w:i w:val="0"/>
                <w:sz w:val="21"/>
              </w:rPr>
              <w:t>Person 1 — Lead Protocol Analyst &amp; FSM Architect</w:t>
            </w:r>
          </w:p>
        </w:tc>
      </w:tr>
      <w:tr>
        <w:tc>
          <w:tcPr>
            <w:tcW w:type="dxa" w:w="4514"/>
            <w:shd w:val="clear" w:color="auto" w:fill="F1F5F9"/>
            <w:tcMar>
              <w:top w:w="70" w:type="dxa"/>
              <w:bottom w:w="70" w:type="dxa"/>
              <w:left w:w="100" w:type="dxa"/>
              <w:right w:w="100" w:type="dxa"/>
            </w:tcMar>
          </w:tcPr>
          <w:p>
            <w:pPr>
              <w:spacing w:before="40" w:after="40" w:line="252" w:lineRule="auto"/>
              <w:jc w:val="left"/>
            </w:pPr>
            <w:r/>
            <w:r>
              <w:rPr>
                <w:rFonts w:ascii="Times New Roman" w:hAnsi="Times New Roman"/>
                <w:b/>
                <w:i w:val="0"/>
                <w:sz w:val="21"/>
              </w:rPr>
              <w:t>Sections Completed</w:t>
            </w:r>
          </w:p>
        </w:tc>
        <w:tc>
          <w:tcPr>
            <w:tcW w:type="dxa" w:w="4514"/>
            <w:tcMar>
              <w:top w:w="70" w:type="dxa"/>
              <w:bottom w:w="70" w:type="dxa"/>
              <w:left w:w="100" w:type="dxa"/>
              <w:right w:w="100" w:type="dxa"/>
            </w:tcMar>
          </w:tcPr>
          <w:p>
            <w:pPr>
              <w:spacing w:before="40" w:after="40" w:line="252" w:lineRule="auto"/>
              <w:jc w:val="left"/>
            </w:pPr>
            <w:r/>
            <w:r>
              <w:rPr>
                <w:rFonts w:ascii="Times New Roman" w:hAnsi="Times New Roman"/>
                <w:b w:val="0"/>
                <w:i w:val="0"/>
                <w:sz w:val="21"/>
              </w:rPr>
              <w:t>Section 1 (Case Study Overview) &amp; Section 6.1 (Question a)</w:t>
            </w:r>
          </w:p>
        </w:tc>
      </w:tr>
    </w:tbl>
    <w:p>
      <w:pPr>
        <w:spacing w:after="280"/>
      </w:pPr>
    </w:p>
    <w:p>
      <w:pPr>
        <w:keepNext/>
        <w:spacing w:before="320" w:after="120"/>
      </w:pPr>
      <w:r>
        <w:rPr>
          <w:rFonts w:ascii="Times New Roman" w:hAnsi="Times New Roman"/>
          <w:b/>
          <w:color w:val="0F172A"/>
          <w:sz w:val="28"/>
        </w:rPr>
        <w:t>1. Case Study Overview</w:t>
      </w:r>
    </w:p>
    <w:p>
      <w:pPr>
        <w:keepNext/>
        <w:spacing w:before="240" w:after="80"/>
      </w:pPr>
      <w:r>
        <w:rPr>
          <w:rFonts w:ascii="Times New Roman" w:hAnsi="Times New Roman"/>
          <w:b/>
          <w:color w:val="1E3A8A"/>
          <w:sz w:val="26"/>
        </w:rPr>
        <w:t>1.1 Background</w:t>
      </w:r>
    </w:p>
    <w:p>
      <w:pPr>
        <w:spacing w:before="0" w:after="120" w:line="276" w:lineRule="auto"/>
        <w:jc w:val="both"/>
      </w:pPr>
      <w:r>
        <w:rPr>
          <w:rFonts w:ascii="Times New Roman" w:hAnsi="Times New Roman"/>
          <w:sz w:val="24"/>
        </w:rPr>
        <w:t>Modern enterprise communications increasingly encompass remote, geographically isolated branch facilities such as offshore drilling platforms, mining extraction sites, maritime transport vessels, regional logistics warehouses, and rural healthcare outposts. These branch locations are physically constrained by their Wide Area Network (WAN) backhaul links—most notably geostationary satellite (VSAT) connections, narrowband cellular links (3G/4G), or high-latency wireless microwave links. In these environments, total available bandwidth is strictly capped (typically between 64 kbps and 512 kbps), round-trip propagation delay (RTT) is elevated (spanning 450 ms to 800 ms), and link availability is intermittent due to rain fade, atmospheric interference, and satellite orbital handoffs.</w:t>
      </w:r>
    </w:p>
    <w:p>
      <w:pPr>
        <w:spacing w:before="0" w:after="120" w:line="276" w:lineRule="auto"/>
        <w:jc w:val="both"/>
      </w:pPr>
      <w:r>
        <w:rPr>
          <w:rFonts w:ascii="Times New Roman" w:hAnsi="Times New Roman"/>
          <w:sz w:val="24"/>
        </w:rPr>
        <w:t>Despite these adverse transport characteristics, electronic mail remains the operational backbone for enterprise coordination, carrying safety protocols, supply-chain documentation, engineering manifests, and administrative orders. Historically, branches deployed the Post Office Protocol Version 3 (POP3), formalized in RFC 1939, to allow branch Mail User Agents (MUAs) to pull incoming messages from a central enterprise mail server located at corporate headquarters (HQ). However, while POP3 was architected in the 1980s and 1990s for intermittent dial-up terminal sessions, its design assumptions diverge sharply from the requirements of modern, attachment-heavy email traffic across high-latency, loss-prone satellite links.</w:t>
      </w:r>
    </w:p>
    <w:p>
      <w:pPr>
        <w:keepNext/>
        <w:spacing w:before="240" w:after="80"/>
      </w:pPr>
      <w:r>
        <w:rPr>
          <w:rFonts w:ascii="Times New Roman" w:hAnsi="Times New Roman"/>
          <w:b/>
          <w:color w:val="1E3A8A"/>
          <w:sz w:val="26"/>
        </w:rPr>
        <w:t>1.2 Problem Statement</w:t>
      </w:r>
    </w:p>
    <w:p>
      <w:pPr>
        <w:spacing w:before="0" w:after="120" w:line="276" w:lineRule="auto"/>
        <w:jc w:val="both"/>
      </w:pPr>
      <w:r>
        <w:rPr>
          <w:rFonts w:ascii="Times New Roman" w:hAnsi="Times New Roman"/>
          <w:sz w:val="24"/>
        </w:rPr>
        <w:t>The technical problem investigated in this case study is the fundamental protocol incompatibility between legacy POP3 mailbox retrieval and the physical constraints of low-bandwidth, intermittent WAN connections. The operational failure modes manifest across four specific areas: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Monolithic Payload Retrieval: </w:t>
      </w:r>
      <w:r>
        <w:rPr>
          <w:rFonts w:ascii="Times New Roman" w:hAnsi="Times New Roman"/>
          <w:sz w:val="24"/>
        </w:rPr>
        <w:t>POP3 treats every email as an indivisible monolithic payload. When a user requests an email, the server streams the entire message body along with all Base64-encoded MIME attachments. A single 3 MB attachment inflates to 4.11 MB on the wire, monopolizing the 256 kbps WAN connection for over two minutes and blocking all concurrent operational traffic.</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Lack of Offset Resumption: </w:t>
      </w:r>
      <w:r>
        <w:rPr>
          <w:rFonts w:ascii="Times New Roman" w:hAnsi="Times New Roman"/>
          <w:sz w:val="24"/>
        </w:rPr>
        <w:t>POP3 lacks any byte-range offset resumption mechanism (unlike HTTP Range headers). If an intermittent satellite connection drops at 95% of a 4 MB file download, the TCP session aborts, the client discards the partial bytes, and upon reconnecting, POP3 restarts the transfer from byte zero, creating infinite re-download loops.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Exclusive Mailbox Locking &amp; Denial of Service: </w:t>
      </w:r>
      <w:r>
        <w:rPr>
          <w:rFonts w:ascii="Times New Roman" w:hAnsi="Times New Roman"/>
          <w:sz w:val="24"/>
        </w:rPr>
        <w:t>During the POP3 Transaction phase, the server places an exclusive lock on the mail spool. When a link severs abruptly without a clean TCP FIN/RST handshake, the server retains a half-open TCP socket. The mailbox remains locked until server-side keepalive timers expire (15–30 minutes), rejecting subsequent user logins with '-ERR [IN-USE] Mailbox is locked'.</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Non-Atomic Deletion Rollback &amp; Duplicate Mail Flooding: </w:t>
      </w:r>
      <w:r>
        <w:rPr>
          <w:rFonts w:ascii="Times New Roman" w:hAnsi="Times New Roman"/>
          <w:sz w:val="24"/>
        </w:rPr>
        <w:t>POP3 deletion commands (DELE) are non-atomic and staged only in volatile server memory. Deletions are only permanently committed during the UPDATE state upon receiving a clean QUIT. When intermittent links sever mid-session, the server rolls back all staged deletions, causing the client to re-download identical messages upon reconnection, flooding the inbox.</w:t>
      </w:r>
    </w:p>
    <w:p>
      <w:pPr>
        <w:keepNext/>
        <w:spacing w:before="240" w:after="80"/>
      </w:pPr>
      <w:r>
        <w:rPr>
          <w:rFonts w:ascii="Times New Roman" w:hAnsi="Times New Roman"/>
          <w:b/>
          <w:color w:val="1E3A8A"/>
          <w:sz w:val="26"/>
        </w:rPr>
        <w:t>1.3 Objectives of the Case Study</w:t>
      </w:r>
    </w:p>
    <w:p>
      <w:pPr>
        <w:spacing w:before="0" w:after="120" w:line="276" w:lineRule="auto"/>
        <w:jc w:val="both"/>
      </w:pPr>
      <w:r>
        <w:rPr>
          <w:rFonts w:ascii="Times New Roman" w:hAnsi="Times New Roman"/>
          <w:sz w:val="24"/>
        </w:rPr>
        <w:t>This case study pursues five specific academic and technical objectives: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1: </w:t>
      </w:r>
      <w:r>
        <w:rPr>
          <w:rFonts w:ascii="Times New Roman" w:hAnsi="Times New Roman"/>
          <w:sz w:val="24"/>
        </w:rPr>
        <w:t>Analyze the finite state machine (FSM), command syntax, and protocol transitions of POP3 under RFC 1939 specifications.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2: </w:t>
      </w:r>
      <w:r>
        <w:rPr>
          <w:rFonts w:ascii="Times New Roman" w:hAnsi="Times New Roman"/>
          <w:sz w:val="24"/>
        </w:rPr>
        <w:t>Investigate transport-layer (TCP) and application-layer failure dynamics across high-latency, loss-prone satellite WAN links.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3: </w:t>
      </w:r>
      <w:r>
        <w:rPr>
          <w:rFonts w:ascii="Times New Roman" w:hAnsi="Times New Roman"/>
          <w:sz w:val="24"/>
        </w:rPr>
        <w:t>Architect an optimized, bandwidth-efficient email access workflow integrating local caching, header pre-fetching via TOP, and compression.</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4: </w:t>
      </w:r>
      <w:r>
        <w:rPr>
          <w:rFonts w:ascii="Times New Roman" w:hAnsi="Times New Roman"/>
          <w:sz w:val="24"/>
        </w:rPr>
        <w:t>Assess security and reliability risks of legacy mail access (cleartext exposure, APOP MD5 collision vulnerabilities, lack of MFA).</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5: </w:t>
      </w:r>
      <w:r>
        <w:rPr>
          <w:rFonts w:ascii="Times New Roman" w:hAnsi="Times New Roman"/>
          <w:sz w:val="24"/>
        </w:rPr>
        <w:t>Provide empirical evidence through Wireshark packet capture trace disassembly and Python socket protocol emulation.</w:t>
      </w:r>
    </w:p>
    <w:p>
      <w:pPr>
        <w:keepNext/>
        <w:spacing w:before="240" w:after="80"/>
      </w:pPr>
      <w:r>
        <w:rPr>
          <w:rFonts w:ascii="Times New Roman" w:hAnsi="Times New Roman"/>
          <w:b/>
          <w:color w:val="1E3A8A"/>
          <w:sz w:val="26"/>
        </w:rPr>
        <w:t>1.4 Scope of Study</w:t>
      </w:r>
    </w:p>
    <w:p>
      <w:pPr>
        <w:spacing w:before="0" w:after="120" w:line="276" w:lineRule="auto"/>
        <w:jc w:val="both"/>
      </w:pPr>
      <w:r>
        <w:rPr>
          <w:rFonts w:ascii="Times New Roman" w:hAnsi="Times New Roman"/>
          <w:i/>
          <w:sz w:val="24"/>
        </w:rPr>
        <w:t xml:space="preserve">Delineation of Scope: </w:t>
      </w:r>
      <w:r>
        <w:rPr>
          <w:rFonts w:ascii="Times New Roman" w:hAnsi="Times New Roman"/>
          <w:sz w:val="24"/>
        </w:rPr>
        <w:t>The scope of this report is explicitly defined across technical and operational boundaries: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In-Scope: </w:t>
      </w:r>
      <w:r>
        <w:rPr>
          <w:rFonts w:ascii="Times New Roman" w:hAnsi="Times New Roman"/>
          <w:sz w:val="24"/>
        </w:rPr>
        <w:t>Application-layer mail retrieval protocols (POP3, POP3S, IMAP4rev1); MIME Base64 overhead; TCP congestion window behavior across high-latency links; protocol state transitions; and mailbox locking mechanisms.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Out-of-Scope: </w:t>
      </w:r>
      <w:r>
        <w:rPr>
          <w:rFonts w:ascii="Times New Roman" w:hAnsi="Times New Roman"/>
          <w:sz w:val="24"/>
        </w:rPr>
        <w:t>Physical-layer satellite RF transceiver alignment; orbital transponder forward error correction (FEC) hardware engineering; proprietary Microsoft Exchange MAPI/ActiveSync internals; and desktop client GUI source code development.</w:t>
      </w:r>
    </w:p>
    <w:p>
      <w:pPr>
        <w:keepNext/>
        <w:spacing w:before="240" w:after="80"/>
      </w:pPr>
      <w:r>
        <w:rPr>
          <w:rFonts w:ascii="Times New Roman" w:hAnsi="Times New Roman"/>
          <w:b/>
          <w:color w:val="1E3A8A"/>
          <w:sz w:val="26"/>
        </w:rPr>
        <w:t>1.5 Key Networking Concepts (Module 5 Mapping)</w:t>
      </w:r>
    </w:p>
    <w:p>
      <w:pPr>
        <w:spacing w:before="0" w:after="120" w:line="276" w:lineRule="auto"/>
        <w:jc w:val="both"/>
      </w:pPr>
      <w:r>
        <w:rPr>
          <w:rFonts w:ascii="Times New Roman" w:hAnsi="Times New Roman"/>
          <w:sz w:val="24"/>
        </w:rPr>
        <w:t>This case study synthesizes and demonstrates core networking concepts from Module 5 of the BACSE203 Computer Networks curriculum:</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Application Layer Paradigms: </w:t>
      </w:r>
      <w:r>
        <w:rPr>
          <w:rFonts w:ascii="Times New Roman" w:hAnsi="Times New Roman"/>
          <w:sz w:val="24"/>
        </w:rPr>
        <w:t>Client-server architecture, stateful protocol transitions, command-response token exchange (+OK, -ERR), and ASCII stream parsing.</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Electronic Mail Architecture: </w:t>
      </w:r>
      <w:r>
        <w:rPr>
          <w:rFonts w:ascii="Times New Roman" w:hAnsi="Times New Roman"/>
          <w:sz w:val="24"/>
        </w:rPr>
        <w:t>Separation of Mail User Agents (MUAs), Mail Transfer Agents (MTAs - SMTP push), and Mail Delivery/Access Agents (MDAs - POP3 pull).</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MIME Encoding &amp; Data Overhead: </w:t>
      </w:r>
      <w:r>
        <w:rPr>
          <w:rFonts w:ascii="Times New Roman" w:hAnsi="Times New Roman"/>
          <w:sz w:val="24"/>
        </w:rPr>
        <w:t>RFC 2045 Base64 encoding mechanics converting 3 binary octets into 4 ASCII characters, resulting in a mandatory 33.3% raw mathematical data expansion (~37% with CRLF wrapping).</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Transport Layer Dynamics: </w:t>
      </w:r>
      <w:r>
        <w:rPr>
          <w:rFonts w:ascii="Times New Roman" w:hAnsi="Times New Roman"/>
          <w:sz w:val="24"/>
        </w:rPr>
        <w:t>TCP three-way handshake, TCP Slow Start, Retransmission Timeouts (RTO), and the severe throughput collapse of TCP Cubic over high Bandwidth-Delay Product (BDP) links with packet drop.</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Network Security &amp; Cryptography: </w:t>
      </w:r>
      <w:r>
        <w:rPr>
          <w:rFonts w:ascii="Times New Roman" w:hAnsi="Times New Roman"/>
          <w:sz w:val="24"/>
        </w:rPr>
        <w:t>Transport Layer Security (TLS 1.3), cipher suites (AES-256-GCM), public-key digital certificates, and Simple Authentication and Security Layer (SASL) OAuth2 token integration.</w:t>
      </w:r>
    </w:p>
    <w:p>
      <w:pPr>
        <w:keepNext/>
        <w:spacing w:before="320" w:after="120"/>
      </w:pPr>
      <w:r>
        <w:rPr>
          <w:rFonts w:ascii="Times New Roman" w:hAnsi="Times New Roman"/>
          <w:b/>
          <w:color w:val="0F172A"/>
          <w:sz w:val="28"/>
        </w:rPr>
        <w:t>2. Question (a): Explain POP3 and Its Limitations</w:t>
      </w:r>
    </w:p>
    <w:p>
      <w:pPr>
        <w:keepNext/>
        <w:spacing w:before="240" w:after="80"/>
      </w:pPr>
      <w:r>
        <w:rPr>
          <w:rFonts w:ascii="Times New Roman" w:hAnsi="Times New Roman"/>
          <w:b/>
          <w:color w:val="1E3A8A"/>
          <w:sz w:val="26"/>
        </w:rPr>
        <w:t>2.1 POP3 Protocol Architecture &amp; Operational Mechanics (RFC 1939)</w:t>
      </w:r>
    </w:p>
    <w:p>
      <w:pPr>
        <w:spacing w:before="0" w:after="120" w:line="276" w:lineRule="auto"/>
        <w:jc w:val="both"/>
      </w:pPr>
      <w:r>
        <w:rPr>
          <w:rFonts w:ascii="Times New Roman" w:hAnsi="Times New Roman"/>
          <w:sz w:val="24"/>
        </w:rPr>
        <w:t>Post Office Protocol Version 3 (POP3), standardized in RFC 1939 by the Internet Engineering Task Force (IETF), is an application-layer client-server protocol engineered to allow an endpoint workstation (Mail User Agent - MUA) to interrogate and retrieve messages spooled inside a remote user maildrop. POP3 operates over the Transmission Control Protocol (TCP) on well-known port 110 (or dedicated port 995 for cryptographically encapsulated POP3S).</w:t>
      </w:r>
    </w:p>
    <w:p>
      <w:pPr>
        <w:spacing w:before="0" w:after="120" w:line="276" w:lineRule="auto"/>
        <w:jc w:val="both"/>
      </w:pPr>
      <w:r>
        <w:rPr>
          <w:rFonts w:ascii="Times New Roman" w:hAnsi="Times New Roman"/>
          <w:sz w:val="24"/>
        </w:rPr>
        <w:t>POP3 is designed as a text-based, stateful, command-response protocol. The client sends four-character ASCII command verbs terminated by a Carriage Return / Line Feed (CRLF) sequence. In response, the server issues a single-line status indicator: either '+OK' indicating successful command execution, or '-ERR' indicating a syntax, authentication, or state violation.</w:t>
      </w:r>
    </w:p>
    <w:p>
      <w:pPr>
        <w:spacing w:before="200" w:after="80"/>
        <w:jc w:val="center"/>
      </w:pPr>
      <w:r>
        <w:drawing>
          <wp:inline xmlns:a="http://schemas.openxmlformats.org/drawingml/2006/main" xmlns:pic="http://schemas.openxmlformats.org/drawingml/2006/picture">
            <wp:extent cx="5669280" cy="2948026"/>
            <wp:docPr id="1" name="Picture 1"/>
            <wp:cNvGraphicFramePr>
              <a:graphicFrameLocks noChangeAspect="1"/>
            </wp:cNvGraphicFramePr>
            <a:graphic>
              <a:graphicData uri="http://schemas.openxmlformats.org/drawingml/2006/picture">
                <pic:pic>
                  <pic:nvPicPr>
                    <pic:cNvPr id="0" name="pop3_state_machine.png"/>
                    <pic:cNvPicPr/>
                  </pic:nvPicPr>
                  <pic:blipFill>
                    <a:blip r:embed="rId9"/>
                    <a:stretch>
                      <a:fillRect/>
                    </a:stretch>
                  </pic:blipFill>
                  <pic:spPr>
                    <a:xfrm>
                      <a:off x="0" y="0"/>
                      <a:ext cx="5669280" cy="2948026"/>
                    </a:xfrm>
                    <a:prstGeom prst="rect"/>
                  </pic:spPr>
                </pic:pic>
              </a:graphicData>
            </a:graphic>
          </wp:inline>
        </w:drawing>
      </w:r>
    </w:p>
    <w:p>
      <w:pPr>
        <w:keepNext/>
        <w:spacing w:before="0" w:after="200"/>
        <w:jc w:val="center"/>
      </w:pPr>
      <w:r>
        <w:rPr>
          <w:rFonts w:ascii="Times New Roman" w:hAnsi="Times New Roman"/>
          <w:i/>
          <w:color w:val="475569"/>
          <w:sz w:val="20"/>
        </w:rPr>
        <w:t>Figure: POP3 Protocol Finite State Machine (RFC 1939) showing Authorization, Transaction, and Update phases.</w:t>
      </w:r>
    </w:p>
    <w:p>
      <w:pPr>
        <w:keepNext/>
        <w:spacing w:before="240" w:after="80"/>
      </w:pPr>
      <w:r>
        <w:rPr>
          <w:rFonts w:ascii="Times New Roman" w:hAnsi="Times New Roman"/>
          <w:b/>
          <w:color w:val="1E3A8A"/>
          <w:sz w:val="26"/>
        </w:rPr>
        <w:t>2.2 The Three-Phase Finite State Machine Lifecycle</w:t>
      </w:r>
    </w:p>
    <w:p>
      <w:pPr>
        <w:spacing w:before="0" w:after="120" w:line="276" w:lineRule="auto"/>
        <w:jc w:val="both"/>
      </w:pPr>
      <w:r>
        <w:rPr>
          <w:rFonts w:ascii="Times New Roman" w:hAnsi="Times New Roman"/>
          <w:sz w:val="24"/>
        </w:rPr>
        <w:t>Under RFC 1939, a POP3 session transitions sequentially through three distinct operational states, bounded by initial and final CLOSED states:</w:t>
      </w:r>
    </w:p>
    <w:p>
      <w:pPr>
        <w:keepNext/>
        <w:spacing w:before="180" w:after="60"/>
      </w:pPr>
      <w:r>
        <w:rPr>
          <w:rFonts w:ascii="Times New Roman" w:hAnsi="Times New Roman"/>
          <w:b/>
          <w:i/>
          <w:color w:val="0D9488"/>
          <w:sz w:val="24"/>
        </w:rPr>
        <w:t>State 1: AUTHORIZATION</w:t>
      </w:r>
    </w:p>
    <w:p>
      <w:pPr>
        <w:spacing w:before="0" w:after="120" w:line="276" w:lineRule="auto"/>
        <w:jc w:val="both"/>
      </w:pPr>
      <w:r>
        <w:rPr>
          <w:rFonts w:ascii="Times New Roman" w:hAnsi="Times New Roman"/>
          <w:sz w:val="24"/>
        </w:rPr>
        <w:t>The session initiates when the client completes a standard TCP three-way handshake on port 110. The server responds with a greeting banner (e.g., '+OK Dovecot ready'). At this stage, the session enters the AUTHORIZATION state. The client must identify itself and provide valid authentication credentials before gaining access to the maildrop.</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USER &lt;username&gt;: </w:t>
      </w:r>
      <w:r>
        <w:rPr>
          <w:rFonts w:ascii="Times New Roman" w:hAnsi="Times New Roman"/>
          <w:sz w:val="24"/>
        </w:rPr>
        <w:t>Specifies the plaintext username of the mailbox account.</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PASS &lt;password&gt;: </w:t>
      </w:r>
      <w:r>
        <w:rPr>
          <w:rFonts w:ascii="Times New Roman" w:hAnsi="Times New Roman"/>
          <w:sz w:val="24"/>
        </w:rPr>
        <w:t>Supplies the unencrypted password string immediately following a successful USER command.</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APOP &lt;name&gt; &lt;digest&gt;: </w:t>
      </w:r>
      <w:r>
        <w:rPr>
          <w:rFonts w:ascii="Times New Roman" w:hAnsi="Times New Roman"/>
          <w:sz w:val="24"/>
        </w:rPr>
        <w:t>An optional challenge-response command where the client hashes a server-provided timestamp with a shared secret using MD5, avoiding plaintext transmission.</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QUIT: </w:t>
      </w:r>
      <w:r>
        <w:rPr>
          <w:rFonts w:ascii="Times New Roman" w:hAnsi="Times New Roman"/>
          <w:sz w:val="24"/>
        </w:rPr>
        <w:t>Aborts the session immediately and returns the TCP connection to the CLOSED state without inspecting mail.</w:t>
      </w:r>
    </w:p>
    <w:p>
      <w:pPr>
        <w:spacing w:before="0" w:after="120" w:line="276" w:lineRule="auto"/>
        <w:jc w:val="both"/>
      </w:pPr>
      <w:r>
        <w:rPr>
          <w:rFonts w:ascii="Times New Roman" w:hAnsi="Times New Roman"/>
          <w:sz w:val="24"/>
        </w:rPr>
        <w:t>Transition Condition: Once credentials are authenticated successfully, the server acquires an exclusive lock (flock/dotlock) on the user's mailbox spool, replies with '+OK Logged in', and transitions the session into the TRANSACTION state.</w:t>
      </w:r>
    </w:p>
    <w:p>
      <w:pPr>
        <w:keepNext/>
        <w:spacing w:before="180" w:after="60"/>
      </w:pPr>
      <w:r>
        <w:rPr>
          <w:rFonts w:ascii="Times New Roman" w:hAnsi="Times New Roman"/>
          <w:b/>
          <w:i/>
          <w:color w:val="0D9488"/>
          <w:sz w:val="24"/>
        </w:rPr>
        <w:t>State 2: TRANSACTION</w:t>
      </w:r>
    </w:p>
    <w:p>
      <w:pPr>
        <w:spacing w:before="0" w:after="120" w:line="276" w:lineRule="auto"/>
        <w:jc w:val="both"/>
      </w:pPr>
      <w:r>
        <w:rPr>
          <w:rFonts w:ascii="Times New Roman" w:hAnsi="Times New Roman"/>
          <w:sz w:val="24"/>
        </w:rPr>
        <w:t>In the TRANSACTION state, the client queries mailbox contents, reads messages, and marks items for removal. The server maildrop is exclusively locked to prevent external alterations by incoming MTAs or concurrent sessions.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STAT: </w:t>
      </w:r>
      <w:r>
        <w:rPr>
          <w:rFonts w:ascii="Times New Roman" w:hAnsi="Times New Roman"/>
          <w:sz w:val="24"/>
        </w:rPr>
        <w:t>Returns positive status followed by two integers: total message count and aggregate mailbox size in octets (bytes).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LIST [msg]: </w:t>
      </w:r>
      <w:r>
        <w:rPr>
          <w:rFonts w:ascii="Times New Roman" w:hAnsi="Times New Roman"/>
          <w:sz w:val="24"/>
        </w:rPr>
        <w:t>Lists message numbers alongside their individual octet sizes. Can be queried for a single message or the entire spool.</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RETR &lt;msg&gt;: </w:t>
      </w:r>
      <w:r>
        <w:rPr>
          <w:rFonts w:ascii="Times New Roman" w:hAnsi="Times New Roman"/>
          <w:sz w:val="24"/>
        </w:rPr>
        <w:t>Instructs the server to transmit the entire specified message (headers, body, and all MIME multi-part attachments) as a multi-line data stream terminated by a single dot on a line (CRLF.CRLF).</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TOP &lt;msg&gt; &lt;lines&gt;: </w:t>
      </w:r>
      <w:r>
        <w:rPr>
          <w:rFonts w:ascii="Times New Roman" w:hAnsi="Times New Roman"/>
          <w:sz w:val="24"/>
        </w:rPr>
        <w:t>Optional command that transmits all RFC 822/MIME headers plus the top 'n' lines of the message body. This command is pivotal for bandwidth-saving header inspection.</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UIDL [msg]: </w:t>
      </w:r>
      <w:r>
        <w:rPr>
          <w:rFonts w:ascii="Times New Roman" w:hAnsi="Times New Roman"/>
          <w:sz w:val="24"/>
        </w:rPr>
        <w:t>Returns unique, persistent alphanumeric identifier strings assigned to messages, allowing MUAs to track messages across distinct sessions.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DELE &lt;msg&gt;: </w:t>
      </w:r>
      <w:r>
        <w:rPr>
          <w:rFonts w:ascii="Times New Roman" w:hAnsi="Times New Roman"/>
          <w:sz w:val="24"/>
        </w:rPr>
        <w:t>Flags the specified message for deletion. Crucially, the message is NOT deleted from disk during this state; it is merely flagged in server volatile memory.</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RSET: </w:t>
      </w:r>
      <w:r>
        <w:rPr>
          <w:rFonts w:ascii="Times New Roman" w:hAnsi="Times New Roman"/>
          <w:sz w:val="24"/>
        </w:rPr>
        <w:t>Resets session state, unmarking all messages previously flagged by DELE during the active session.</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NOOP: </w:t>
      </w:r>
      <w:r>
        <w:rPr>
          <w:rFonts w:ascii="Times New Roman" w:hAnsi="Times New Roman"/>
          <w:sz w:val="24"/>
        </w:rPr>
        <w:t>No-operation keepalive probe; server simply responds with '+OK'.</w:t>
      </w:r>
    </w:p>
    <w:p>
      <w:pPr>
        <w:keepNext/>
        <w:spacing w:before="180" w:after="60"/>
      </w:pPr>
      <w:r>
        <w:rPr>
          <w:rFonts w:ascii="Times New Roman" w:hAnsi="Times New Roman"/>
          <w:b/>
          <w:i/>
          <w:color w:val="0D9488"/>
          <w:sz w:val="24"/>
        </w:rPr>
        <w:t>State 3: UPDATE</w:t>
      </w:r>
    </w:p>
    <w:p>
      <w:pPr>
        <w:spacing w:before="0" w:after="120" w:line="276" w:lineRule="auto"/>
        <w:jc w:val="both"/>
      </w:pPr>
      <w:r>
        <w:rPr>
          <w:rFonts w:ascii="Times New Roman" w:hAnsi="Times New Roman"/>
          <w:sz w:val="24"/>
        </w:rPr>
        <w:t>The UPDATE state is entered exclusively when the client transmits the QUIT command while in the TRANSACTION state. In this state, the server commits all staged session modifications: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Permanent Message Purging: </w:t>
      </w:r>
      <w:r>
        <w:rPr>
          <w:rFonts w:ascii="Times New Roman" w:hAnsi="Times New Roman"/>
          <w:sz w:val="24"/>
        </w:rPr>
        <w:t>The server physically deletes and unlinks from the file system all messages marked with the DELE flag.</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Lock Release: </w:t>
      </w:r>
      <w:r>
        <w:rPr>
          <w:rFonts w:ascii="Times New Roman" w:hAnsi="Times New Roman"/>
          <w:sz w:val="24"/>
        </w:rPr>
        <w:t>The server releases the exclusive dotlock/fcntl file lock on the maildrop, allowing other delivery agents to access the spool.</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Connection Teardown: </w:t>
      </w:r>
      <w:r>
        <w:rPr>
          <w:rFonts w:ascii="Times New Roman" w:hAnsi="Times New Roman"/>
          <w:sz w:val="24"/>
        </w:rPr>
        <w:t>The server transmits a farewell status banner ('+OK Dovecot logging out') and closes the TCP transport socket.</w:t>
      </w:r>
    </w:p>
    <w:p>
      <w:pPr>
        <w:spacing w:before="0" w:after="120" w:line="276" w:lineRule="auto"/>
        <w:jc w:val="both"/>
      </w:pPr>
      <w:r>
        <w:rPr>
          <w:rFonts w:ascii="Times New Roman" w:hAnsi="Times New Roman"/>
          <w:i/>
          <w:sz w:val="24"/>
        </w:rPr>
        <w:t xml:space="preserve">Critical FSM Rule: </w:t>
      </w:r>
      <w:r>
        <w:rPr>
          <w:rFonts w:ascii="Times New Roman" w:hAnsi="Times New Roman"/>
          <w:sz w:val="24"/>
        </w:rPr>
        <w:t>Abnormal Termination Behavior: If a network disconnection, timeout, or link failure occurs before the QUIT command is processed, the session NEVER enters the UPDATE state. The server automatically rolls back all staged DELE flags, preserving all original messages.</w:t>
      </w:r>
    </w:p>
    <w:p>
      <w:pPr>
        <w:spacing w:before="200" w:after="80"/>
        <w:jc w:val="center"/>
      </w:pPr>
      <w:r>
        <w:drawing>
          <wp:inline xmlns:a="http://schemas.openxmlformats.org/drawingml/2006/main" xmlns:pic="http://schemas.openxmlformats.org/drawingml/2006/picture">
            <wp:extent cx="5669280" cy="2721254"/>
            <wp:docPr id="2" name="Picture 2"/>
            <wp:cNvGraphicFramePr>
              <a:graphicFrameLocks noChangeAspect="1"/>
            </wp:cNvGraphicFramePr>
            <a:graphic>
              <a:graphicData uri="http://schemas.openxmlformats.org/drawingml/2006/picture">
                <pic:pic>
                  <pic:nvPicPr>
                    <pic:cNvPr id="0" name="pop3_bottlenecks.png"/>
                    <pic:cNvPicPr/>
                  </pic:nvPicPr>
                  <pic:blipFill>
                    <a:blip r:embed="rId10"/>
                    <a:stretch>
                      <a:fillRect/>
                    </a:stretch>
                  </pic:blipFill>
                  <pic:spPr>
                    <a:xfrm>
                      <a:off x="0" y="0"/>
                      <a:ext cx="5669280" cy="2721254"/>
                    </a:xfrm>
                    <a:prstGeom prst="rect"/>
                  </pic:spPr>
                </pic:pic>
              </a:graphicData>
            </a:graphic>
          </wp:inline>
        </w:drawing>
      </w:r>
    </w:p>
    <w:p>
      <w:pPr>
        <w:keepNext/>
        <w:spacing w:before="0" w:after="200"/>
        <w:jc w:val="center"/>
      </w:pPr>
      <w:r>
        <w:rPr>
          <w:rFonts w:ascii="Times New Roman" w:hAnsi="Times New Roman"/>
          <w:i/>
          <w:color w:val="475569"/>
          <w:sz w:val="20"/>
        </w:rPr>
        <w:t>Figure: Architectural Failure Modes of POP3 across Bandwidth-Constrained WAN Links.</w:t>
      </w:r>
    </w:p>
    <w:p>
      <w:pPr>
        <w:keepNext/>
        <w:spacing w:before="240" w:after="80"/>
      </w:pPr>
      <w:r>
        <w:rPr>
          <w:rFonts w:ascii="Times New Roman" w:hAnsi="Times New Roman"/>
          <w:b/>
          <w:color w:val="1E3A8A"/>
          <w:sz w:val="26"/>
        </w:rPr>
        <w:t>2.3 In-Depth Analysis of POP3 Technical Limitations</w:t>
      </w:r>
    </w:p>
    <w:p>
      <w:pPr>
        <w:spacing w:before="0" w:after="120" w:line="276" w:lineRule="auto"/>
        <w:jc w:val="both"/>
      </w:pPr>
      <w:r>
        <w:rPr>
          <w:rFonts w:ascii="Times New Roman" w:hAnsi="Times New Roman"/>
          <w:sz w:val="24"/>
        </w:rPr>
        <w:t>While POP3 provided an effective lightweight solution for early 1990s dial-up personal computing, its architectural design exhibits fatal technical limitations when subjected to modern enterprise traffic over low-bandwidth, high-latency WAN links:</w:t>
      </w:r>
    </w:p>
    <w:p>
      <w:pPr>
        <w:keepNext/>
        <w:spacing w:before="180" w:after="60"/>
      </w:pPr>
      <w:r>
        <w:rPr>
          <w:rFonts w:ascii="Times New Roman" w:hAnsi="Times New Roman"/>
          <w:b/>
          <w:i/>
          <w:color w:val="0D9488"/>
          <w:sz w:val="24"/>
        </w:rPr>
        <w:t>Limitation 1: Monolithic Message Retrieval (Absence of MIME Granularity)</w:t>
      </w:r>
    </w:p>
    <w:p>
      <w:pPr>
        <w:spacing w:before="0" w:after="120" w:line="276" w:lineRule="auto"/>
        <w:jc w:val="both"/>
      </w:pPr>
      <w:r>
        <w:rPr>
          <w:rFonts w:ascii="Times New Roman" w:hAnsi="Times New Roman"/>
          <w:sz w:val="24"/>
        </w:rPr>
        <w:t>POP3's RETR command is strictly non-selective: it streams the complete message payload in a single, uninterrupted transmission. POP3 has no protocol mechanism to parse MIME boundaries server-side or download body text while omitting binary attachments. Because legacy email transport is restricted to 7-bit ASCII, binary attachments (PDFs, spreadsheets, images) must be encoded via Base64 under RFC 2045. Base64 maps 3 binary bytes (24 bits) into 4 ASCII characters (32 bits), introducing an inherent 33.33% mathematical data expansion. When MIME boundary delimiters and mandatory CRLF line wraps (every 76 characters) are added, the effective expansion reaches ~37%. On a 256 kbps link (effective throughput ~28 KB/s), a single 3 MB PDF inflates to 4.11 MB, monopolizing the line for 147 seconds and causing severe Head-of-Line (HoL) blocking for all other business communications.</w:t>
      </w:r>
    </w:p>
    <w:p>
      <w:pPr>
        <w:keepNext/>
        <w:spacing w:before="180" w:after="60"/>
      </w:pPr>
      <w:r>
        <w:rPr>
          <w:rFonts w:ascii="Times New Roman" w:hAnsi="Times New Roman"/>
          <w:b/>
          <w:i/>
          <w:color w:val="0D9488"/>
          <w:sz w:val="24"/>
        </w:rPr>
        <w:t>Limitation 2: Lack of Byte-Range Offset Resumption</w:t>
      </w:r>
    </w:p>
    <w:p>
      <w:pPr>
        <w:spacing w:before="0" w:after="120" w:line="276" w:lineRule="auto"/>
        <w:jc w:val="both"/>
      </w:pPr>
      <w:r>
        <w:rPr>
          <w:rFonts w:ascii="Times New Roman" w:hAnsi="Times New Roman"/>
          <w:sz w:val="24"/>
        </w:rPr>
        <w:t>Unlike HTTP/1.1 (which supports the 'Range: bytes=start-end' header under RFC 7233) or FTP (which provides the REST offset command), POP3 RETR provides no offset parameters. If an intermittent satellite connection severs at 95% of a 4 MB download, the underlying TCP session terminates. The client MUA receives no valid message, and the server commits no state. Upon reconnecting, the MUA has no choice but to re-issue RETR and download the entire 4 MB payload from byte zero. In environments with frequent link flaps (Mean Time Between Failures &lt; 3 minutes), large messages can become trapped in an infinite re-download loop that continuously exhausts satellite data allowances without ever reaching the user's inbox.</w:t>
      </w:r>
    </w:p>
    <w:p>
      <w:pPr>
        <w:keepNext/>
        <w:spacing w:before="180" w:after="60"/>
      </w:pPr>
      <w:r>
        <w:rPr>
          <w:rFonts w:ascii="Times New Roman" w:hAnsi="Times New Roman"/>
          <w:b/>
          <w:i/>
          <w:color w:val="0D9488"/>
          <w:sz w:val="24"/>
        </w:rPr>
        <w:t>Limitation 3: Exclusive Mailbox Locking &amp; Denial of Service</w:t>
      </w:r>
    </w:p>
    <w:p>
      <w:pPr>
        <w:spacing w:before="0" w:after="120" w:line="276" w:lineRule="auto"/>
        <w:jc w:val="both"/>
      </w:pPr>
      <w:r>
        <w:rPr>
          <w:rFonts w:ascii="Times New Roman" w:hAnsi="Times New Roman"/>
          <w:sz w:val="24"/>
        </w:rPr>
        <w:t>RFC 1939 mandates that upon successful authentication, the server daemon must acquire an exclusive lock (flock, fcntl, or dotlock) on the user's mail spool to guarantee transactional consistency. When an intermittent WAN connection abruptly drops, the remote workstation cannot send the TCP FIN or RST packets needed for an orderly socket teardown. Consequently, the HQ mail server retains the orphaned half-open TCP connection in the TCP_ESTABLISHED state, keeping the exclusive lock engaged. The lock is only released when the operating system's TCP keepalive timer (defaulting to 7200 seconds / 2 hours, or tuned to 15–30 minutes) detects a dead peer. If the branch link recovers and the user attempts to re-authenticate, the server immediately rejects the session with '-ERR [IN-USE] Mailbox is locked by another session', creating an artificial denial of service that paralyzes branch productivity.</w:t>
      </w:r>
    </w:p>
    <w:p>
      <w:pPr>
        <w:keepNext/>
        <w:spacing w:before="180" w:after="60"/>
      </w:pPr>
      <w:r>
        <w:rPr>
          <w:rFonts w:ascii="Times New Roman" w:hAnsi="Times New Roman"/>
          <w:b/>
          <w:i/>
          <w:color w:val="0D9488"/>
          <w:sz w:val="24"/>
        </w:rPr>
        <w:t>Limitation 4: Non-Atomic Deletions &amp; Duplicate Mail Storms</w:t>
      </w:r>
    </w:p>
    <w:p>
      <w:pPr>
        <w:spacing w:before="0" w:after="120" w:line="276" w:lineRule="auto"/>
        <w:jc w:val="both"/>
      </w:pPr>
      <w:r>
        <w:rPr>
          <w:rFonts w:ascii="Times New Roman" w:hAnsi="Times New Roman"/>
          <w:sz w:val="24"/>
        </w:rPr>
        <w:t>The strict separation between the TRANSACTION state and the UPDATE state means that issuing DELE marks messages for removal only in temporary server memory. Disk unlinking occurs exclusively upon processing QUIT. When a WAN connection abruptly drops after a client has successfully downloaded an email but before QUIT is acknowledged, the server executes a full rollback of all deletion flags to prevent message loss. Upon the next connection, the server re-offers the identical emails that the user already retrieved. The client MUA re-downloads these messages, generating duplicate emails in the local inbox and consuming redundant WAN bandwidth.</w:t>
      </w:r>
    </w:p>
    <w:p>
      <w:pPr>
        <w:keepNext/>
        <w:spacing w:before="180" w:after="60"/>
      </w:pPr>
      <w:r>
        <w:rPr>
          <w:rFonts w:ascii="Times New Roman" w:hAnsi="Times New Roman"/>
          <w:b/>
          <w:i/>
          <w:color w:val="0D9488"/>
          <w:sz w:val="24"/>
        </w:rPr>
        <w:t>Limitation 5: Client Storage Single Point of Failure &amp; Flag Synchronization Failure</w:t>
      </w:r>
    </w:p>
    <w:p>
      <w:pPr>
        <w:spacing w:before="0" w:after="120" w:line="276" w:lineRule="auto"/>
        <w:jc w:val="both"/>
      </w:pPr>
      <w:r>
        <w:rPr>
          <w:rFonts w:ascii="Times New Roman" w:hAnsi="Times New Roman"/>
          <w:sz w:val="24"/>
        </w:rPr>
        <w:t>POP3 was conceived around a 'download-and-delete' operational paradigm where messages are transferred to local client storage (e.g., an Outlook .PST or Thunderbird Mbox file) and purged from the central server. If a branch desktop experiences a local hard drive failure or database corruption, all historical enterprise correspondence is permanently destroyed without centralized backup. Furthermore, if users configure 'leave messages on server', POP3 lacks message state flags (Read, Unread, Answered, Flagged). Flags are tracked only within the local MUA client, causing divergent, conflicting mailbox views across multiple devices (e.g., smartphone vs workstation).</w:t>
      </w:r>
    </w:p>
    <w:p>
      <w:pPr>
        <w:keepNext/>
        <w:spacing w:before="180" w:after="60"/>
      </w:pPr>
      <w:r>
        <w:rPr>
          <w:rFonts w:ascii="Times New Roman" w:hAnsi="Times New Roman"/>
          <w:b/>
          <w:i/>
          <w:color w:val="0D9488"/>
          <w:sz w:val="24"/>
        </w:rPr>
        <w:t>Limitation 6: Transport-Layer TCP Performance Degradation</w:t>
      </w:r>
    </w:p>
    <w:p>
      <w:pPr>
        <w:spacing w:before="0" w:after="120" w:line="276" w:lineRule="auto"/>
        <w:jc w:val="both"/>
      </w:pPr>
      <w:r>
        <w:rPr>
          <w:rFonts w:ascii="Times New Roman" w:hAnsi="Times New Roman"/>
          <w:sz w:val="24"/>
        </w:rPr>
        <w:t>Standard TCP congestion control algorithms (such as TCP Reno and Cubic) interpret dropped packets as evidence of buffer overflow rather than wireless or satellite bit corruption. Over a geostationary satellite link with an RTT of 500 ms and a 5% random packet drop rate, the Mathis throughput formula (T &lt;= (MSS / RTT) * (1 / sqrt(p))) limits effective TCP throughput to less than 20% of the theoretical link capacity. Because POP3 enforces a synchronous, lock-step command-response exchange (each command requires a full 500 ms round trip to receive +OK), the protocol experiences severe latency penalties before payload transmission even begins.</w:t>
      </w:r>
    </w:p>
    <w:p>
      <w:pPr>
        <w:keepNext/>
        <w:spacing w:before="320" w:after="120"/>
      </w:pPr>
      <w:r>
        <w:rPr>
          <w:rFonts w:ascii="Times New Roman" w:hAnsi="Times New Roman"/>
          <w:b/>
          <w:color w:val="0F172A"/>
          <w:sz w:val="28"/>
        </w:rPr>
        <w:t>3. References &amp; Academic Citations</w:t>
      </w:r>
    </w:p>
    <w:p>
      <w:pPr>
        <w:spacing w:before="0" w:after="80" w:line="276" w:lineRule="auto"/>
        <w:ind w:left="576" w:hanging="576"/>
        <w:jc w:val="both"/>
      </w:pPr>
      <w:r>
        <w:rPr>
          <w:rFonts w:ascii="Times New Roman" w:hAnsi="Times New Roman"/>
          <w:sz w:val="22"/>
        </w:rPr>
        <w:t xml:space="preserve">Myers, J., &amp; Rose, M. (1996). </w:t>
      </w:r>
      <w:r>
        <w:rPr>
          <w:rFonts w:ascii="Times New Roman" w:hAnsi="Times New Roman"/>
          <w:i/>
          <w:sz w:val="22"/>
        </w:rPr>
        <w:t xml:space="preserve">RFC 1939: Post Office Protocol - Version 3. </w:t>
      </w:r>
      <w:r>
        <w:rPr>
          <w:rFonts w:ascii="Times New Roman" w:hAnsi="Times New Roman"/>
          <w:sz w:val="22"/>
        </w:rPr>
        <w:t>Internet Engineering Task Force (IETF). https://datatracker.ietf.org/doc/html/rfc1939 (Accessed: Oct 2026)</w:t>
      </w:r>
    </w:p>
    <w:p>
      <w:pPr>
        <w:spacing w:before="0" w:after="80" w:line="276" w:lineRule="auto"/>
        <w:ind w:left="576" w:hanging="576"/>
        <w:jc w:val="both"/>
      </w:pPr>
      <w:r>
        <w:rPr>
          <w:rFonts w:ascii="Times New Roman" w:hAnsi="Times New Roman"/>
          <w:sz w:val="22"/>
        </w:rPr>
        <w:t xml:space="preserve">Freed, N., &amp; Borenstein, N. (1996). </w:t>
      </w:r>
      <w:r>
        <w:rPr>
          <w:rFonts w:ascii="Times New Roman" w:hAnsi="Times New Roman"/>
          <w:i/>
          <w:sz w:val="22"/>
        </w:rPr>
        <w:t xml:space="preserve">RFC 2045: Multipurpose Internet Mail Extensions (MIME) Part One: Format of Internet Message Bodies. </w:t>
      </w:r>
      <w:r>
        <w:rPr>
          <w:rFonts w:ascii="Times New Roman" w:hAnsi="Times New Roman"/>
          <w:sz w:val="22"/>
        </w:rPr>
        <w:t>IETF. https://datatracker.ietf.org/doc/html/rfc2045 (Accessed: Oct 2026)</w:t>
      </w:r>
    </w:p>
    <w:p>
      <w:pPr>
        <w:spacing w:before="0" w:after="80" w:line="276" w:lineRule="auto"/>
        <w:ind w:left="576" w:hanging="576"/>
        <w:jc w:val="both"/>
      </w:pPr>
      <w:r>
        <w:rPr>
          <w:rFonts w:ascii="Times New Roman" w:hAnsi="Times New Roman"/>
          <w:sz w:val="22"/>
        </w:rPr>
        <w:t xml:space="preserve">Newman, C. (1999). </w:t>
      </w:r>
      <w:r>
        <w:rPr>
          <w:rFonts w:ascii="Times New Roman" w:hAnsi="Times New Roman"/>
          <w:i/>
          <w:sz w:val="22"/>
        </w:rPr>
        <w:t xml:space="preserve">RFC 2595: Using TLS with IMAP, POP3 and ACAP. </w:t>
      </w:r>
      <w:r>
        <w:rPr>
          <w:rFonts w:ascii="Times New Roman" w:hAnsi="Times New Roman"/>
          <w:sz w:val="22"/>
        </w:rPr>
        <w:t>Internet Engineering Task Force (IETF). https://datatracker.ietf.org/doc/html/rfc2595 (Accessed: Oct 2026)</w:t>
      </w:r>
    </w:p>
    <w:p>
      <w:pPr>
        <w:spacing w:before="0" w:after="80" w:line="276" w:lineRule="auto"/>
        <w:ind w:left="576" w:hanging="576"/>
        <w:jc w:val="both"/>
      </w:pPr>
      <w:r>
        <w:rPr>
          <w:rFonts w:ascii="Times New Roman" w:hAnsi="Times New Roman"/>
          <w:sz w:val="22"/>
        </w:rPr>
        <w:t xml:space="preserve">Crispin, M. (2003). </w:t>
      </w:r>
      <w:r>
        <w:rPr>
          <w:rFonts w:ascii="Times New Roman" w:hAnsi="Times New Roman"/>
          <w:i/>
          <w:sz w:val="22"/>
        </w:rPr>
        <w:t xml:space="preserve">RFC 3501: Internet Message Access Protocol - Version 4rev1. </w:t>
      </w:r>
      <w:r>
        <w:rPr>
          <w:rFonts w:ascii="Times New Roman" w:hAnsi="Times New Roman"/>
          <w:sz w:val="22"/>
        </w:rPr>
        <w:t>Internet Engineering Task Force (IETF). https://datatracker.ietf.org/doc/html/rfc3501 (Accessed: Oct 2026)</w:t>
      </w:r>
    </w:p>
    <w:p>
      <w:pPr>
        <w:spacing w:before="0" w:after="80" w:line="276" w:lineRule="auto"/>
        <w:ind w:left="576" w:hanging="576"/>
        <w:jc w:val="both"/>
      </w:pPr>
      <w:r>
        <w:rPr>
          <w:rFonts w:ascii="Times New Roman" w:hAnsi="Times New Roman"/>
          <w:sz w:val="22"/>
        </w:rPr>
        <w:t xml:space="preserve">Kurose, J. F., &amp; Ross, K. W. (2021). </w:t>
      </w:r>
      <w:r>
        <w:rPr>
          <w:rFonts w:ascii="Times New Roman" w:hAnsi="Times New Roman"/>
          <w:i/>
          <w:sz w:val="22"/>
        </w:rPr>
        <w:t xml:space="preserve">Computer Networking: A Top-Down Approach (8th ed.). </w:t>
      </w:r>
      <w:r>
        <w:rPr>
          <w:rFonts w:ascii="Times New Roman" w:hAnsi="Times New Roman"/>
          <w:sz w:val="22"/>
        </w:rPr>
        <w:t>Pearson. Chapter 2: Application Layer (Electronic Mail in the Internet, pp. 120-136).</w:t>
      </w:r>
    </w:p>
    <w:p>
      <w:pPr>
        <w:spacing w:before="0" w:after="80" w:line="276" w:lineRule="auto"/>
        <w:ind w:left="576" w:hanging="576"/>
        <w:jc w:val="both"/>
      </w:pPr>
      <w:r>
        <w:rPr>
          <w:rFonts w:ascii="Times New Roman" w:hAnsi="Times New Roman"/>
          <w:sz w:val="22"/>
        </w:rPr>
        <w:t xml:space="preserve">Stallings, W. (2017). </w:t>
      </w:r>
      <w:r>
        <w:rPr>
          <w:rFonts w:ascii="Times New Roman" w:hAnsi="Times New Roman"/>
          <w:i/>
          <w:sz w:val="22"/>
        </w:rPr>
        <w:t xml:space="preserve">Data and Computer Communications (10th ed.). </w:t>
      </w:r>
      <w:r>
        <w:rPr>
          <w:rFonts w:ascii="Times New Roman" w:hAnsi="Times New Roman"/>
          <w:sz w:val="22"/>
        </w:rPr>
        <w:t>Pearson. Chapter 24: Electronic Mail and Directory Service, pp. 782-805.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