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Matriz de Rastreabilidade – Requisitos X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0.05109489051" w:type="dxa"/>
        <w:jc w:val="left"/>
        <w:tblInd w:w="-714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3568.554744525548"/>
        <w:gridCol w:w="945"/>
        <w:gridCol w:w="915"/>
        <w:gridCol w:w="915"/>
        <w:gridCol w:w="994.2919708029199"/>
        <w:gridCol w:w="953.4306569343066"/>
        <w:gridCol w:w="1048.7737226277372"/>
        <w:tblGridChange w:id="0">
          <w:tblGrid>
            <w:gridCol w:w="3568.554744525548"/>
            <w:gridCol w:w="945"/>
            <w:gridCol w:w="915"/>
            <w:gridCol w:w="915"/>
            <w:gridCol w:w="994.2919708029199"/>
            <w:gridCol w:w="953.4306569343066"/>
            <w:gridCol w:w="1048.773722627737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- 08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70.3937007874017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- 09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-70.39370078740177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- 26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27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- 33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- 40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SSS-001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consultar a agenda.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SSS-002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registrar um evento na agenda.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SSS-003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registrar na agenda as informações: Nome do cliente, data e hora do evento, telefone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SSS-004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alterar as informações do evento na agenda.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SSS-005 – </w:t>
            </w:r>
            <w:r w:rsidDel="00000000" w:rsidR="00000000" w:rsidRPr="00000000">
              <w:rPr>
                <w:b w:val="0"/>
                <w:rtl w:val="0"/>
              </w:rPr>
              <w:t xml:space="preserve">O sistema deve informar quando uma data e hora estiver indisponível, impedindo o agendamento.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SSS-006 – </w:t>
            </w:r>
            <w:r w:rsidDel="00000000" w:rsidR="00000000" w:rsidRPr="00000000">
              <w:rPr>
                <w:b w:val="0"/>
                <w:rtl w:val="0"/>
              </w:rPr>
              <w:t xml:space="preserve">O sistema deve confirmar as informações do agendamento, da data escolhida do evento informado.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SSS7 – </w:t>
            </w:r>
            <w:r w:rsidDel="00000000" w:rsidR="00000000" w:rsidRPr="00000000">
              <w:rPr>
                <w:b w:val="0"/>
                <w:rtl w:val="0"/>
              </w:rPr>
              <w:t xml:space="preserve">O sistema deve registrar que o evento já foi realizado após passar a data.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SSS-008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cancelar o agendamento.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Representa a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– Representa o identificador do Requisitos, conforme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Representa a lista de </w:t>
      </w: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– Representa o identificador da Característica, conforme a Lista de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ZD7CsXpr/7GT9PPwacMj9MGOg==">AMUW2mVAsLAc6lCDcFyRkP5zRpJhpcnreFPRML22DQ5EqZwtuxvCyMjX/pk4F/eQboG0TiYGVpYjwU4RpI9UJGhsAPMzNFqXTNpyuE2247L+ZwhHyYw5M/cX+rDdpIb1uF9McnwLx0yt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