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84.png" ContentType="image/png"/>
  <Override PartName="/word/media/rId82.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p>
      <w:pPr>
        <w:pStyle w:val="Heading1"/>
      </w:pPr>
      <w:bookmarkStart w:id="21" w:name="abstract"/>
      <w:r>
        <w:t xml:space="preserve">Abstract</w:t>
      </w:r>
      <w:bookmarkEnd w:id="21"/>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microbiomes are often</w:t>
      </w:r>
      <w:r>
        <w:t xml:space="preserve"> </w:t>
      </w:r>
      <w:r>
        <w:t xml:space="preserve">complex, it is difficult to know a priori which microbiome members limit the</w:t>
      </w:r>
      <w:r>
        <w:t xml:space="preserve"> </w:t>
      </w:r>
      <w:r>
        <w:t xml:space="preserve">rate of an ecosystem function, and it is usually challenging to manipulate</w:t>
      </w:r>
      <w:r>
        <w:t xml:space="preserve"> </w:t>
      </w:r>
      <w:r>
        <w:t xml:space="preserve">microbiome composition directly.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of methane oxidation rate to artificial ecosystem</w:t>
      </w:r>
      <w:r>
        <w:t xml:space="preserve"> </w:t>
      </w:r>
      <w:r>
        <w:t xml:space="preserve">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were enriched after selection included 24</w:t>
      </w:r>
      <w:r>
        <w:t xml:space="preserve"> </w:t>
      </w:r>
      <w:r>
        <w:t xml:space="preserve">families such as Puniceicoccaceae, Elsteraceae, and Cytophagaceae.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artificial ecosystem selection is a useful strategy for</w:t>
      </w:r>
      <w:r>
        <w:t xml:space="preserve"> </w:t>
      </w:r>
      <w:r>
        <w:t xml:space="preserve">revealing relationships between microbiome composition and ecosystem function.</w:t>
      </w:r>
    </w:p>
    <w:p>
      <w:pPr>
        <w:pStyle w:val="Heading1"/>
      </w:pPr>
      <w:bookmarkStart w:id="22" w:name="introduction"/>
      <w:r>
        <w:t xml:space="preserve">Introduction</w:t>
      </w:r>
      <w:bookmarkEnd w:id="22"/>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important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my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I</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For the current project, we applied artificial ecosystem selection on soil</w:t>
      </w:r>
      <w:r>
        <w:t xml:space="preserve"> </w:t>
      </w:r>
      <w:r>
        <w:t xml:space="preserve">microbiomes by selecting on the ecosystem-scale CH</w:t>
      </w:r>
      <w:r>
        <w:rPr>
          <w:vertAlign w:val="subscript"/>
        </w:rPr>
        <w:t xml:space="preserve">4</w:t>
      </w:r>
      <w:r>
        <w:t xml:space="preserve"> </w:t>
      </w:r>
      <w:r>
        <w:t xml:space="preserve">oxidation rate in order</w:t>
      </w:r>
      <w:r>
        <w:t xml:space="preserve"> </w:t>
      </w:r>
      <w:r>
        <w:t xml:space="preserve">to estimate the amount of microbiome variation underlying variation in soil CH</w:t>
      </w:r>
      <w:r>
        <w:rPr>
          <w:vertAlign w:val="subscript"/>
        </w:rPr>
        <w:t xml:space="preserve">4</w:t>
      </w:r>
      <w:r>
        <w:t xml:space="preserve"> </w:t>
      </w:r>
      <w:r>
        <w:t xml:space="preserve">oxidation rate</w:t>
      </w:r>
      <w:r>
        <w:t xml:space="preserve"> </w:t>
      </w:r>
      <w:r>
        <w:t xml:space="preserve">(8)</w:t>
      </w:r>
      <w:r>
        <w:t xml:space="preserve">. To identify which microorganisms could be markers of CH</w:t>
      </w:r>
      <w:r>
        <w:rPr>
          <w:vertAlign w:val="subscript"/>
        </w:rPr>
        <w:t xml:space="preserve">4</w:t>
      </w:r>
      <w:r>
        <w:t xml:space="preserve"> </w:t>
      </w:r>
      <w:r>
        <w:t xml:space="preserve">oxidation rate, we compared the composition of the artificially selected</w:t>
      </w:r>
      <w:r>
        <w:t xml:space="preserve"> </w:t>
      </w:r>
      <w:r>
        <w:t xml:space="preserve">microbiomes to a control set of microbiomes without selection. Artificial</w:t>
      </w:r>
      <w:r>
        <w:t xml:space="preserve"> </w:t>
      </w:r>
      <w:r>
        <w:t xml:space="preserve">ecosystem selection has a similar effect to enrichment culturing by amplifying</w:t>
      </w:r>
      <w:r>
        <w:t xml:space="preserve"> </w:t>
      </w:r>
      <w:r>
        <w:t xml:space="preserve">the population of interest</w:t>
      </w:r>
      <w:r>
        <w:t xml:space="preserve"> </w:t>
      </w:r>
      <w:r>
        <w:t xml:space="preserve">(8)</w:t>
      </w:r>
      <w:r>
        <w:t xml:space="preserve">. This will reduce the diversity of</w:t>
      </w:r>
      <w:r>
        <w:t xml:space="preserve"> </w:t>
      </w:r>
      <w:r>
        <w:t xml:space="preserve">the soil microbiome and allow for greater power in detecting significant</w:t>
      </w:r>
      <w:r>
        <w:t xml:space="preserve"> </w:t>
      </w:r>
      <w:r>
        <w:t xml:space="preserve">markers of CH</w:t>
      </w:r>
      <w:r>
        <w:rPr>
          <w:vertAlign w:val="subscript"/>
        </w:rPr>
        <w:t xml:space="preserve">4</w:t>
      </w:r>
      <w:r>
        <w:t xml:space="preserve"> </w:t>
      </w:r>
      <w:r>
        <w:t xml:space="preserve">oxidation rate. We then evaluated whether these markers meet</w:t>
      </w:r>
      <w:r>
        <w:t xml:space="preserve"> </w:t>
      </w:r>
      <w:r>
        <w:t xml:space="preserve">our underlying assumptions about which taxa limit the rate of ecosystem</w:t>
      </w:r>
      <w:r>
        <w:t xml:space="preserve"> </w:t>
      </w:r>
      <w:r>
        <w:t xml:space="preserve">function.</w:t>
      </w:r>
    </w:p>
    <w:p>
      <w:pPr>
        <w:pStyle w:val="Heading1"/>
      </w:pPr>
      <w:bookmarkStart w:id="23" w:name="materials-and-methods"/>
      <w:r>
        <w:t xml:space="preserve">Materials and Methods</w:t>
      </w:r>
      <w:bookmarkEnd w:id="23"/>
    </w:p>
    <w:p>
      <w:pPr>
        <w:pStyle w:val="Heading2"/>
      </w:pPr>
      <w:bookmarkStart w:id="24" w:name="experimental-design"/>
      <w:r>
        <w:t xml:space="preserve">Experimental design</w:t>
      </w:r>
      <w:bookmarkEnd w:id="24"/>
    </w:p>
    <w:p>
      <w:pPr>
        <w:pStyle w:val="FirstParagraph"/>
      </w:pPr>
      <w:r>
        <w:t xml:space="preserve">We performed an artificial ecosystem selection experiment</w:t>
      </w:r>
      <w:r>
        <w:t xml:space="preserve"> </w:t>
      </w:r>
      <w:r>
        <w:t xml:space="preserve">(8)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these three jars were homogenized and 5 g</w:t>
      </w:r>
      <w:r>
        <w:t xml:space="preserve"> </w:t>
      </w:r>
      <w:r>
        <w:t xml:space="preserve">of this homogenized soil was used to inoculate the next set of jars and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p>
      <w:pPr>
        <w:pStyle w:val="Heading2"/>
      </w:pPr>
      <w:bookmarkStart w:id="25" w:name="methane-oxidation-rate"/>
      <w:r>
        <w:t xml:space="preserve">Methane oxidation rate</w:t>
      </w:r>
      <w:bookmarkEnd w:id="25"/>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p>
      <w:pPr>
        <w:pStyle w:val="Heading2"/>
      </w:pPr>
      <w:bookmarkStart w:id="26" w:name="soil-dna-extraction-and-sequencing"/>
      <w:r>
        <w:t xml:space="preserve">Soil DNA extraction and sequencing</w:t>
      </w:r>
      <w:bookmarkEnd w:id="26"/>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t>−</m:t>
        </m:r>
        <m:sSup>
          <m:e>
            <m:r>
              <m:t>80</m:t>
            </m:r>
          </m:e>
          <m:sup>
            <m: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t>∘</m:t>
            </m:r>
          </m:sup>
        </m:sSup>
      </m:oMath>
      <w:r>
        <w:t xml:space="preserve">C for 30 s</w:t>
      </w:r>
      <w:r>
        <w:t xml:space="preserve"> </w:t>
      </w:r>
      <w:r>
        <w:t xml:space="preserve">(initialization); 35 cycles of</w:t>
      </w:r>
      <w:r>
        <w:t xml:space="preserve"> </w:t>
      </w:r>
      <m:oMath>
        <m:sSup>
          <m:e>
            <m:r>
              <m:t>98</m:t>
            </m:r>
          </m:e>
          <m:sup>
            <m:r>
              <m:t>∘</m:t>
            </m:r>
          </m:sup>
        </m:sSup>
      </m:oMath>
      <w:r>
        <w:t xml:space="preserve">C for 10 s (denaturation),</w:t>
      </w:r>
      <w:r>
        <w:t xml:space="preserve"> </w:t>
      </w:r>
      <m:oMath>
        <m:sSup>
          <m:e>
            <m:r>
              <m:t>61</m:t>
            </m:r>
          </m:e>
          <m:sup>
            <m:r>
              <m:t>∘</m:t>
            </m:r>
          </m:sup>
        </m:sSup>
      </m:oMath>
      <w:r>
        <w:t xml:space="preserve">C</w:t>
      </w:r>
      <w:r>
        <w:t xml:space="preserve"> </w:t>
      </w:r>
      <w:r>
        <w:t xml:space="preserve">for 20 s (annealing), and</w:t>
      </w:r>
      <w:r>
        <w:t xml:space="preserve"> </w:t>
      </w:r>
      <m:oMath>
        <m:sSup>
          <m:e>
            <m:r>
              <m:t>72</m:t>
            </m:r>
          </m:e>
          <m:sup>
            <m:r>
              <m:t>∘</m:t>
            </m:r>
          </m:sup>
        </m:sSup>
      </m:oMath>
      <w:r>
        <w:t xml:space="preserve">C for 20 s (extension); and</w:t>
      </w:r>
      <w:r>
        <w:t xml:space="preserve"> </w:t>
      </w:r>
      <m:oMath>
        <m:sSup>
          <m:e>
            <m:r>
              <m:t>72</m:t>
            </m:r>
          </m:e>
          <m:sup>
            <m: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p>
      <w:pPr>
        <w:pStyle w:val="Heading2"/>
      </w:pPr>
      <w:bookmarkStart w:id="27" w:name="bioinformatics"/>
      <w:r>
        <w:t xml:space="preserve">Bioinformatics</w:t>
      </w:r>
      <w:bookmarkEnd w:id="27"/>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for the 16S reads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by comparing samples to negative controls</w:t>
      </w:r>
      <w:r>
        <w:t xml:space="preserve"> </w:t>
      </w:r>
      <w:r>
        <w:t xml:space="preserve">(24)</w:t>
      </w:r>
      <w:r>
        <w:t xml:space="preserve">. We did not identify</w:t>
      </w:r>
      <w:r>
        <w:t xml:space="preserve"> </w:t>
      </w:r>
      <w:r>
        <w:t xml:space="preserve">any obvious contamination using these methods.</w:t>
      </w:r>
    </w:p>
    <w:p>
      <w:pPr>
        <w:pStyle w:val="Heading2"/>
      </w:pPr>
      <w:bookmarkStart w:id="28" w:name="statistical-analysis"/>
      <w:r>
        <w:t xml:space="preserve">Statistical Analysis</w:t>
      </w:r>
      <w:bookmarkEnd w:id="28"/>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test</w:t>
      </w:r>
      <w:r>
        <w:t xml:space="preserve"> </w:t>
      </w:r>
      <w:r>
        <w:t xml:space="preserve">whether there was a significant change in CH</w:t>
      </w:r>
      <w:r>
        <w:rPr>
          <w:vertAlign w:val="subscript"/>
        </w:rPr>
        <w:t xml:space="preserve">4</w:t>
      </w:r>
      <w:r>
        <w:t xml:space="preserve"> </w:t>
      </w:r>
      <w:r>
        <w:t xml:space="preserve">oxidation rate (</w:t>
      </w:r>
      <m:oMath>
        <m:r>
          <m:t>k</m:t>
        </m:r>
      </m:oMath>
      <w:r>
        <w:t xml:space="preserve">) as a</w:t>
      </w:r>
      <w:r>
        <w:t xml:space="preserve"> </w:t>
      </w:r>
      <w:r>
        <w:t xml:space="preserve">response to selection, we tested a difference in slopes between the positive</w:t>
      </w:r>
      <w:r>
        <w:t xml:space="preserve"> </w:t>
      </w:r>
      <w:r>
        <w:t xml:space="preserve">and neutral selection lines. The CH</w:t>
      </w:r>
      <w:r>
        <w:rPr>
          <w:vertAlign w:val="subscript"/>
        </w:rPr>
        <w:t xml:space="preserve">4</w:t>
      </w:r>
      <w:r>
        <w:t xml:space="preserve"> </w:t>
      </w:r>
      <w:r>
        <w:t xml:space="preserve">oxidation rates were strongly</w:t>
      </w:r>
      <w:r>
        <w:t xml:space="preserve"> </w:t>
      </w:r>
      <w:r>
        <w:t xml:space="preserve">right-skewed with most values close to zero and few large, positive values. This</w:t>
      </w:r>
      <w:r>
        <w:t xml:space="preserve"> </w:t>
      </w:r>
      <w:r>
        <w:t xml:space="preserve">resulted in residuals that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to better meet the assumptions of a linear model and to make</w:t>
      </w:r>
      <w:r>
        <w:t xml:space="preserve"> </w:t>
      </w:r>
      <w:r>
        <w:t xml:space="preserve">figures easier to interpret. First, we tested the effect of treatment by</w:t>
      </w:r>
      <w:r>
        <w:t xml:space="preserve"> </w:t>
      </w:r>
      <w:r>
        <w:t xml:space="preserve">fitting two nested models with and without treatment using</w:t>
      </w:r>
      <w:r>
        <w:t xml:space="preserve"> </w:t>
      </w:r>
      <w:r>
        <w:t xml:space="preserve">‘</w:t>
      </w:r>
      <w:r>
        <w:t xml:space="preserve">lm</w:t>
      </w:r>
      <w:r>
        <w:t xml:space="preserve">’</w:t>
      </w:r>
      <w:r>
        <w:t xml:space="preserve">. We compared these</w:t>
      </w:r>
      <w:r>
        <w:t xml:space="preserve"> </w:t>
      </w:r>
      <w:r>
        <w:t xml:space="preserve">models using the likelihood ratio 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to estimate the slope of the positive line, which</w:t>
      </w:r>
      <w:r>
        <w:t xml:space="preserve"> </w:t>
      </w:r>
      <w:r>
        <w:t xml:space="preserve">represents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ecosystem function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these models using the likelihood ratio</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estimates and tests were performed using</w:t>
      </w:r>
      <w:r>
        <w:t xml:space="preserve"> </w:t>
      </w:r>
      <w:r>
        <w:t xml:space="preserve">‘</w:t>
      </w:r>
      <w:r>
        <w:t xml:space="preserve">breakaway</w:t>
      </w:r>
      <w:r>
        <w:t xml:space="preserve">’</w:t>
      </w:r>
      <w:r>
        <w:t xml:space="preserve"> </w:t>
      </w:r>
      <w:r>
        <w:t xml:space="preserve">(26)</w:t>
      </w:r>
      <w:r>
        <w:t xml:space="preserve">. We</w:t>
      </w:r>
      <w:r>
        <w:t xml:space="preserve"> </w:t>
      </w:r>
      <w:r>
        <w:t xml:space="preserve">tested a difference in richness between Passages 2 and 5 with both treatments</w:t>
      </w:r>
      <w:r>
        <w:t xml:space="preserve"> </w:t>
      </w:r>
      <w:r>
        <w:t xml:space="preserve">combined. Then we subset the samples from Passage 5 and compared richness between</w:t>
      </w:r>
      <w:r>
        <w:t xml:space="preserve"> </w:t>
      </w:r>
      <w:r>
        <w:t xml:space="preserve">the Positive and Neutral treatment. Next, we compared beta-diversity as both</w:t>
      </w:r>
      <w:r>
        <w:t xml:space="preserve"> </w:t>
      </w:r>
      <w:r>
        <w:t xml:space="preserve">Aitchison dissimilarity, which is the Euclidean distance after center-log ratio</w:t>
      </w:r>
      <w:r>
        <w:t xml:space="preserve"> </w:t>
      </w:r>
      <w:r>
        <w:t xml:space="preserve">transformation, and the binary Jaccard distance for presence or absence</w:t>
      </w:r>
      <w:r>
        <w:t xml:space="preserve"> </w:t>
      </w:r>
      <w:r>
        <w:t xml:space="preserve">(27)</w:t>
      </w:r>
      <w:r>
        <w:t xml:space="preserve">.</w:t>
      </w:r>
      <w:r>
        <w:t xml:space="preserve"> </w:t>
      </w:r>
      <w:r>
        <w:t xml:space="preserve">We tested a difference in centroid and dispersion of beta</w:t>
      </w:r>
      <w:r>
        <w:t xml:space="preserve"> </w:t>
      </w:r>
      <w:r>
        <w:t xml:space="preserve">diversity between the Positive and Neutral treatment and Passage 2 and 5 with</w:t>
      </w:r>
      <w:r>
        <w:t xml:space="preserve"> </w:t>
      </w:r>
      <w:r>
        <w:t xml:space="preserve">permutational analysis of variance (PERMANOVA)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(28,29)</w:t>
      </w:r>
      <w:r>
        <w:t xml:space="preserve">.</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using a beta-binomial model</w:t>
      </w:r>
      <w:r>
        <w:t xml:space="preserve"> </w:t>
      </w:r>
      <w:r>
        <w:t xml:space="preserve">(30)</w:t>
      </w:r>
      <w:r>
        <w:t xml:space="preserve">. We first</w:t>
      </w:r>
      <w:r>
        <w:t xml:space="preserve"> </w:t>
      </w:r>
      <w:r>
        <w:t xml:space="preserve">grouped ASVs at the family level keeping ASVs that lacked a family-level taxonomic</w:t>
      </w:r>
      <w:r>
        <w:t xml:space="preserve"> </w:t>
      </w:r>
      <w:r>
        <w:t xml:space="preserve">assignment. We</w:t>
      </w:r>
      <w:r>
        <w:t xml:space="preserve"> </w:t>
      </w:r>
      <w:r>
        <w:t xml:space="preserve">then subset the samples in Passage 5 and removed all families with a prevalence</w:t>
      </w:r>
      <w:r>
        <w:t xml:space="preserve"> </w:t>
      </w:r>
      <w:r>
        <w:t xml:space="preserve">of less than 10%. We compared families in passage 5 between the Positive and</w:t>
      </w:r>
      <w:r>
        <w:t xml:space="preserve"> </w:t>
      </w:r>
      <w:r>
        <w:t xml:space="preserve">Neutral treatment to identify taxa that were enriched or depleted as a response</w:t>
      </w:r>
      <w:r>
        <w:t xml:space="preserve"> </w:t>
      </w:r>
      <w:r>
        <w:t xml:space="preserve">to selection. we used the likelihood ratio test to estimate p-values with a</w:t>
      </w:r>
      <w:r>
        <w:t xml:space="preserve"> </w:t>
      </w:r>
      <w:r>
        <w:t xml:space="preserve">significance threshold of false-discovery rate &lt; 0.05</w:t>
      </w:r>
      <w:r>
        <w:t xml:space="preserve"> </w:t>
      </w:r>
      <w:r>
        <w:t xml:space="preserve">(30)</w:t>
      </w:r>
      <w:r>
        <w:t xml:space="preserve">. Estimates</w:t>
      </w:r>
      <w:r>
        <w:t xml:space="preserve"> </w:t>
      </w:r>
      <w:r>
        <w:t xml:space="preserve">are presented as the expected relative abundance in the positive treatment</w:t>
      </w:r>
      <w:r>
        <w:t xml:space="preserve"> </w:t>
      </w:r>
      <w:r>
        <w:t xml:space="preserve">relative to the neutral treatment.</w:t>
      </w:r>
    </w:p>
    <w:p>
      <w:pPr>
        <w:pStyle w:val="Heading1"/>
      </w:pPr>
      <w:bookmarkStart w:id="29" w:name="results"/>
      <w:r>
        <w:t xml:space="preserve">Results</w:t>
      </w:r>
      <w:bookmarkEnd w:id="29"/>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In addition, the</w:t>
      </w:r>
      <w:r>
        <w:t xml:space="preserve"> </w:t>
      </w:r>
      <w:r>
        <w:t xml:space="preserve">response to selection varied with treatment</w:t>
      </w:r>
      <w:r>
        <w:t xml:space="preserve"> </w:t>
      </w:r>
      <w:r>
        <w:t xml:space="preserve">(LRT of nested models with and without treatment: df = 2, ss = 1.86, p = 0.02).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p>
      <w:pPr>
        <w:pStyle w:val="TextBody"/>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 Notably, the sign of the effect</w:t>
      </w:r>
      <w:r>
        <w:t xml:space="preserve"> </w:t>
      </w:r>
      <w:r>
        <w:t xml:space="preserve">was reversed with a positive heritability for the Positive treatment and a negative heritability for the Neutral treatment.</w:t>
      </w:r>
    </w:p>
    <w:p>
      <w:pPr>
        <w:pStyle w:val="TextBody"/>
      </w:pPr>
      <w:r>
        <w:t xml:space="preserve">Sequencing of 16S rRNA amplicons revealed that there were 9717 unique</w:t>
      </w:r>
      <w:r>
        <w:t xml:space="preserve"> </w:t>
      </w:r>
      <w:r>
        <w:t xml:space="preserve">ASVs across all 46 jars sampled.</w:t>
      </w:r>
      <w:r>
        <w:t xml:space="preserve"> </w:t>
      </w:r>
      <w:r>
        <w:t xml:space="preserve">Richness of ASVs decreased among all of the jars between Passage 2 and 5</w:t>
      </w:r>
      <w:r>
        <w:t xml:space="preserve"> </w:t>
      </w:r>
      <w:r>
        <w:t xml:space="preserve">(Richness difference between Passage 5 and Passage 2 = -2450.8, SE =</w:t>
      </w:r>
      <w:r>
        <w:t xml:space="preserve"> </w:t>
      </w:r>
      <w:r>
        <w:t xml:space="preserve">285.09, p &lt; 0.001). However, there was no</w:t>
      </w:r>
      <w:r>
        <w:t xml:space="preserve"> </w:t>
      </w:r>
      <w:r>
        <w:t xml:space="preserve">difference in richness between the Positive and the Neutral treatment in</w:t>
      </w:r>
      <w:r>
        <w:t xml:space="preserve"> </w:t>
      </w:r>
      <w:r>
        <w:t xml:space="preserve">Passage 5 (Difference = 6.1, SE =</w:t>
      </w:r>
      <w:r>
        <w:t xml:space="preserve"> </w:t>
      </w:r>
      <w:r>
        <w:t xml:space="preserve">36.04, p =</w:t>
      </w:r>
      <w:r>
        <w:t xml:space="preserve"> </w:t>
      </w:r>
      <w:r>
        <w:t xml:space="preserve">0.866). In addition, there was no</w:t>
      </w:r>
      <w:r>
        <w:t xml:space="preserve"> </w:t>
      </w:r>
      <w:r>
        <w:t xml:space="preserve">correlation between richness and CH</w:t>
      </w:r>
      <w:r>
        <w:rPr>
          <w:vertAlign w:val="subscript"/>
        </w:rPr>
        <w:t xml:space="preserve">4</w:t>
      </w:r>
      <w:r>
        <w:t xml:space="preserve"> </w:t>
      </w:r>
      <w:r>
        <w:t xml:space="preserve">oxidation rate across all passages</w:t>
      </w:r>
      <w:r>
        <w:t xml:space="preserve"> </w:t>
      </w:r>
      <w:r>
        <w:t xml:space="preserve">and treatments. (slope = -18.3, SE =</w:t>
      </w:r>
      <w:r>
        <w:t xml:space="preserve"> </w:t>
      </w:r>
      <w:r>
        <w:t xml:space="preserve">55.41, p = 0.742).</w:t>
      </w:r>
    </w:p>
    <w:p>
      <w:pPr>
        <w:pStyle w:val="TextBody"/>
      </w:pPr>
      <w:r>
        <w:t xml:space="preserve">Taxonomic dissimilarity of the soil microbiome varied strongly by passage and</w:t>
      </w:r>
      <w:r>
        <w:t xml:space="preserve"> </w:t>
      </w:r>
      <w:r>
        <w:t xml:space="preserve">weakly by treatment (Figure 3). Permutational</w:t>
      </w:r>
      <w:r>
        <w:t xml:space="preserve"> </w:t>
      </w:r>
      <w:r>
        <w:t xml:space="preserve">analysis of variance demonstrated an effect of passage, treatment,</w:t>
      </w:r>
      <w:r>
        <w:t xml:space="preserve"> </w:t>
      </w:r>
      <w:r>
        <w:t xml:space="preserve">and their interaction on Aitchison dissimilarity (Table 1).</w:t>
      </w:r>
      <w:r>
        <w:t xml:space="preserve"> </w:t>
      </w:r>
      <w:r>
        <w:t xml:space="preserve">Passage explained 41.9% of the</w:t>
      </w:r>
      <w:r>
        <w:t xml:space="preserve"> </w:t>
      </w:r>
      <w:r>
        <w:t xml:space="preserve">variation in Aitchison dissimilarity and 47.4% in</w:t>
      </w:r>
      <w:r>
        <w:t xml:space="preserve"> </w:t>
      </w:r>
      <w:r>
        <w:t xml:space="preserve">Jaccard dissimilarity. Treatment explains 4.7%</w:t>
      </w:r>
      <w:r>
        <w:t xml:space="preserve"> </w:t>
      </w:r>
      <w:r>
        <w:t xml:space="preserve">for Aitchison and 3.4% for Jaccard. Variation</w:t>
      </w:r>
      <w:r>
        <w:t xml:space="preserve"> </w:t>
      </w:r>
      <w:r>
        <w:t xml:space="preserve">in microbiome composition decreased as a result of passaging in jars (F = 80.5,</w:t>
      </w:r>
      <w:r>
        <w:t xml:space="preserve"> </w:t>
      </w:r>
      <w:r>
        <w:t xml:space="preserve">p &lt; 0.001), but did not differ between selection treatments (F = 0.40, p =</w:t>
      </w:r>
      <w:r>
        <w:t xml:space="preserve"> </w:t>
      </w:r>
      <w:r>
        <w:t xml:space="preserve">0.54).</w:t>
      </w:r>
    </w:p>
    <w:p>
      <w:pPr>
        <w:pStyle w:val="TextBody"/>
      </w:pPr>
      <w:r>
        <w:t xml:space="preserve">To investigate which taxa responded to selection on soil CH</w:t>
      </w:r>
      <w:r>
        <w:rPr>
          <w:vertAlign w:val="subscript"/>
        </w:rPr>
        <w:t xml:space="preserve">4</w:t>
      </w:r>
      <w:r>
        <w:t xml:space="preserve"> </w:t>
      </w:r>
      <w:r>
        <w:t xml:space="preserve">oxidation rate, we</w:t>
      </w:r>
      <w:r>
        <w:t xml:space="preserve"> </w:t>
      </w:r>
      <w:r>
        <w:t xml:space="preserve">first looked at which taxa were unique to the Positive and Neutral treatments</w:t>
      </w:r>
      <w:r>
        <w:t xml:space="preserve"> </w:t>
      </w:r>
      <w:r>
        <w:t xml:space="preserve">aggregated at the family level. Several taxa were present in the Positive</w:t>
      </w:r>
      <w:r>
        <w:t xml:space="preserve"> </w:t>
      </w:r>
      <w:r>
        <w:t xml:space="preserve">treatment and absent in the Neutral treatment. Most of these families had low</w:t>
      </w:r>
      <w:r>
        <w:t xml:space="preserve"> </w:t>
      </w:r>
      <w:r>
        <w:t xml:space="preserve">prevalence (present in 3 or fewer samples) and low abundance (median &lt; 5 reads).</w:t>
      </w:r>
      <w:r>
        <w:t xml:space="preserve"> </w:t>
      </w:r>
      <w:r>
        <w:t xml:space="preserve">There were two families unique to the Positive treatment with relatively high</w:t>
      </w:r>
      <w:r>
        <w:t xml:space="preserve"> </w:t>
      </w:r>
      <w:r>
        <w:t xml:space="preserve">prevalence. This included an ASV that was a member of the Bacteroidia Class with</w:t>
      </w:r>
      <w:r>
        <w:t xml:space="preserve"> </w:t>
      </w:r>
      <w:r>
        <w:t xml:space="preserve">no lower taxonomic designation. This ASV had a prevalence of 10/12 and a median</w:t>
      </w:r>
      <w:r>
        <w:t xml:space="preserve"> </w:t>
      </w:r>
      <w:r>
        <w:t xml:space="preserve">abundance of ~2 reads. The other prevalent family was a member of the</w:t>
      </w:r>
      <w:r>
        <w:t xml:space="preserve"> </w:t>
      </w:r>
      <w:r>
        <w:t xml:space="preserve">Silvanigrellaceae, a newly described family placed in its own order. This family</w:t>
      </w:r>
      <w:r>
        <w:t xml:space="preserve"> </w:t>
      </w:r>
      <w:r>
        <w:t xml:space="preserve">was present in all 12 samples and had a median abundance of 8 reads.</w:t>
      </w:r>
      <w:r>
        <w:t xml:space="preserve"> </w:t>
      </w:r>
      <w:r>
        <w:t xml:space="preserve">Silvanigrella is the only cultivated member of</w:t>
      </w:r>
      <w:r>
        <w:t xml:space="preserve"> </w:t>
      </w:r>
      <w:r>
        <w:t xml:space="preserve">Silvanigrellaceae and was isolated from a temperate fresh water lake</w:t>
      </w:r>
      <w:r>
        <w:t xml:space="preserve"> </w:t>
      </w:r>
      <w:r>
        <w:t xml:space="preserve">(31)</w:t>
      </w:r>
      <w:r>
        <w:t xml:space="preserve">. Of the families unique to the Neutral treatment, only one had a</w:t>
      </w:r>
      <w:r>
        <w:t xml:space="preserve"> </w:t>
      </w:r>
      <w:r>
        <w:t xml:space="preserve">prevalence greater than 2/12. This family, Armatimonadaceae, was present in half</w:t>
      </w:r>
      <w:r>
        <w:t xml:space="preserve"> </w:t>
      </w:r>
      <w:r>
        <w:t xml:space="preserve">of the Neutral samples (prevalence = 6/12). The type strain for Armatimonadaceae was isolated from</w:t>
      </w:r>
      <w:r>
        <w:t xml:space="preserve"> </w:t>
      </w:r>
      <w:r>
        <w:t xml:space="preserve">the rhizosphere of</w:t>
      </w:r>
      <w:r>
        <w:t xml:space="preserve"> </w:t>
      </w:r>
      <w:r>
        <w:rPr>
          <w:i/>
        </w:rPr>
        <w:t xml:space="preserve">Phragmites australis</w:t>
      </w:r>
      <w:r>
        <w:t xml:space="preserve"> </w:t>
      </w:r>
      <w:r>
        <w:t xml:space="preserve">(32)</w:t>
      </w:r>
      <w:r>
        <w:t xml:space="preserve">.</w:t>
      </w:r>
    </w:p>
    <w:p>
      <w:pPr>
        <w:pStyle w:val="TextBody"/>
      </w:pPr>
      <w:r>
        <w:t xml:space="preserve">The remaining families were shared between the Positive and Neutral treatment,</w:t>
      </w:r>
      <w:r>
        <w:t xml:space="preserve"> </w:t>
      </w:r>
      <w:r>
        <w:t xml:space="preserve">but some differed in their relative abundance. 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a beta-binomial model. We identified 37</w:t>
      </w:r>
      <w:r>
        <w:t xml:space="preserve"> </w:t>
      </w:r>
      <w:r>
        <w:t xml:space="preserve">families that were enriched or depleted in the Positive treatmeant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are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This class is one of the groups containing methanotrophic families such as</w:t>
      </w:r>
      <w:r>
        <w:t xml:space="preserve"> </w:t>
      </w:r>
      <w:r>
        <w:t xml:space="preserve">Methylococcaceae. However,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(33)</w:t>
      </w:r>
      <w:r>
        <w:t xml:space="preserve">.</w:t>
      </w:r>
      <w:r>
        <w:t xml:space="preserve"> </w:t>
      </w:r>
      <w:r>
        <w:t xml:space="preserve">The next family</w:t>
      </w:r>
      <w:r>
        <w:t xml:space="preserve"> </w:t>
      </w:r>
      <w:r>
        <w:t xml:space="preserve">was Puniceicoccaceae, which is a member of the phylum Verrucomicrobia and</w:t>
      </w:r>
      <w:r>
        <w:t xml:space="preserve"> </w:t>
      </w:r>
      <w:r>
        <w:t xml:space="preserve">contains marine microbes. The Verrucomicrobia is a diverse group that contain</w:t>
      </w:r>
      <w:r>
        <w:t xml:space="preserve"> </w:t>
      </w:r>
      <w:r>
        <w:t xml:space="preserve">known methanotrophs as well as ammonia-oxidizing bacteria</w:t>
      </w:r>
      <w:r>
        <w:t xml:space="preserve"> </w:t>
      </w:r>
      <w:r>
        <w:t xml:space="preserve">(34)</w:t>
      </w:r>
      <w:r>
        <w:t xml:space="preserve">.</w:t>
      </w:r>
      <w:r>
        <w:t xml:space="preserve"> </w:t>
      </w:r>
      <w:r>
        <w:t xml:space="preserve">An ASV from the order Armatimonadales was also enriched in the Positive treatment.</w:t>
      </w:r>
      <w:r>
        <w:t xml:space="preserve"> </w:t>
      </w:r>
      <w:r>
        <w:t xml:space="preserve">This order also contains the family Armatimonadaceae, which was</w:t>
      </w:r>
      <w:r>
        <w:t xml:space="preserve"> </w:t>
      </w:r>
      <w:r>
        <w:t xml:space="preserve">found to be unique to the Neutral treatment. Cytophagaceae 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(35)</w:t>
      </w:r>
      <w:r>
        <w:t xml:space="preserve">. Notably, the family</w:t>
      </w:r>
      <w:r>
        <w:t xml:space="preserve"> </w:t>
      </w:r>
      <w:r>
        <w:t xml:space="preserve">Gemmatimonadaceae has a single bacterial bin, Candidatus</w:t>
      </w:r>
      <w:r>
        <w:t xml:space="preserve"> </w:t>
      </w:r>
      <w:r>
        <w:t xml:space="preserve">‘</w:t>
      </w:r>
      <w:r>
        <w:rPr>
          <w:i/>
        </w:rPr>
        <w:t xml:space="preserve">Methylotropicum kingii</w:t>
      </w:r>
      <w:r>
        <w:t xml:space="preserve">’</w:t>
      </w:r>
      <w:r>
        <w:t xml:space="preserve">,</w:t>
      </w:r>
      <w:r>
        <w:t xml:space="preserve"> </w:t>
      </w:r>
      <w:r>
        <w:t xml:space="preserve">that contains methanotrophy genes, but this family was depleted in the Positive</w:t>
      </w:r>
      <w:r>
        <w:t xml:space="preserve"> </w:t>
      </w:r>
      <w:r>
        <w:t xml:space="preserve">selection treatment</w:t>
      </w:r>
      <w:r>
        <w:t xml:space="preserve"> </w:t>
      </w:r>
      <w:r>
        <w:t xml:space="preserve">(36)</w:t>
      </w:r>
      <w:r>
        <w:t xml:space="preserve">.</w:t>
      </w:r>
    </w:p>
    <w:p>
      <w:pPr>
        <w:pStyle w:val="Heading1"/>
      </w:pPr>
      <w:bookmarkStart w:id="30" w:name="discussion"/>
      <w:r>
        <w:t xml:space="preserve">Discussion</w:t>
      </w:r>
      <w:bookmarkEnd w:id="30"/>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(37)</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(38)</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(38)</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(39,40)</w:t>
      </w:r>
      <w:r>
        <w:t xml:space="preserve">. This results in the use of polygenic risk scores for predicting</w:t>
      </w:r>
      <w:r>
        <w:t xml:space="preserve"> </w:t>
      </w:r>
      <w:r>
        <w:t xml:space="preserve">phenotype or disease risk in humans</w:t>
      </w:r>
      <w:r>
        <w:t xml:space="preserve"> </w:t>
      </w:r>
      <w:r>
        <w:t xml:space="preserve">(41,42)</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p>
      <w:pPr>
        <w:pStyle w:val="Heading1"/>
      </w:pPr>
      <w:bookmarkStart w:id="31" w:name="conclusion"/>
      <w:r>
        <w:t xml:space="preserve">Conclusion</w:t>
      </w:r>
      <w:bookmarkEnd w:id="31"/>
    </w:p>
    <w:p>
      <w:pPr>
        <w:pStyle w:val="FirstParagraph"/>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p>
      <w:pPr>
        <w:pStyle w:val="Heading1"/>
      </w:pPr>
      <w:bookmarkStart w:id="32" w:name="acknowledgments"/>
      <w:r>
        <w:t xml:space="preserve">Acknowledgments</w:t>
      </w:r>
      <w:bookmarkEnd w:id="32"/>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33" w:name="competing-interests"/>
      <w:r>
        <w:t xml:space="preserve">Competing Interests</w:t>
      </w:r>
      <w:bookmarkEnd w:id="33"/>
    </w:p>
    <w:p>
      <w:pPr>
        <w:pStyle w:val="FirstParagraph"/>
      </w:pPr>
      <w:r>
        <w:t xml:space="preserve">We declare we have no competing interests.</w:t>
      </w:r>
    </w:p>
    <w:p>
      <w:pPr>
        <w:pStyle w:val="Heading1"/>
      </w:pPr>
      <w:bookmarkStart w:id="34" w:name="data-availability-statement"/>
      <w:r>
        <w:t xml:space="preserve">Data Availability Statement</w:t>
      </w:r>
      <w:bookmarkEnd w:id="34"/>
    </w:p>
    <w:p>
      <w:pPr>
        <w:pStyle w:val="FirstParagraph"/>
      </w:pPr>
      <w:r>
        <w:t xml:space="preserve">The 16S rRNA sequencing data generated during the current study are available in the NCBI Sequence Read Archive (SRA).</w:t>
      </w:r>
    </w:p>
    <w:p>
      <w:pPr>
        <w:pStyle w:val="Heading1"/>
      </w:pPr>
      <w:bookmarkStart w:id="35" w:name="supplement"/>
      <w:r>
        <w:t xml:space="preserve">Supplement</w:t>
      </w:r>
      <w:bookmarkEnd w:id="35"/>
    </w:p>
    <w:p>
      <w:pPr>
        <w:pStyle w:val="Heading1"/>
      </w:pPr>
      <w:bookmarkStart w:id="36" w:name="references"/>
      <w:r>
        <w:t xml:space="preserve">References</w:t>
      </w:r>
      <w:bookmarkEnd w:id="36"/>
    </w:p>
    <w:bookmarkStart w:id="79" w:name="refs"/>
    <w:bookmarkStart w:id="37" w:name="ref-crowther2019"/>
    <w:p>
      <w:pPr>
        <w:pStyle w:val="Bibliography"/>
      </w:pPr>
      <w:r>
        <w:t xml:space="preserve">1. Crowther TW, Hoogen J van den, Wan J, Mayes MA, Keiser AD, Mo L, et al. The global soil community and its influence on biogeochemistry. Science. 2019 Aug;365(6455).</w:t>
      </w:r>
      <w:r>
        <w:t xml:space="preserve"> </w:t>
      </w:r>
    </w:p>
    <w:bookmarkEnd w:id="37"/>
    <w:bookmarkStart w:id="38" w:name="ref-cardinale2006"/>
    <w:p>
      <w:pPr>
        <w:pStyle w:val="Bibliography"/>
      </w:pPr>
      <w:r>
        <w:t xml:space="preserve">2. Cardinale BJ, Srivastava DS, Emmett Duffy J, Wright JP, Downing AL, Sankaran M, et al. Effects of biodiversity on the functioning of trophic groups and ecosystems. Nature. 2006 Oct;443(7114):989–92.</w:t>
      </w:r>
      <w:r>
        <w:t xml:space="preserve"> </w:t>
      </w:r>
    </w:p>
    <w:bookmarkEnd w:id="38"/>
    <w:bookmarkStart w:id="39" w:name="ref-hooper2012"/>
    <w:p>
      <w:pPr>
        <w:pStyle w:val="Bibliography"/>
      </w:pPr>
      <w:r>
        <w:t xml:space="preserve">3. Hooper DU, Adair EC, Cardinale BJ, Byrnes JEK, Hungate BA, Matulich KL, et al. A global synthesis reveals biodiversity loss as a major driver of ecosystem change. Nature. 2012 Jun;486(7401):105–8.</w:t>
      </w:r>
      <w:r>
        <w:t xml:space="preserve"> </w:t>
      </w:r>
    </w:p>
    <w:bookmarkEnd w:id="39"/>
    <w:bookmarkStart w:id="40" w:name="ref-gamfeldt2015"/>
    <w:p>
      <w:pPr>
        <w:pStyle w:val="Bibliography"/>
      </w:pPr>
      <w:r>
        <w:t xml:space="preserve">4. Gamfeldt L, Lefcheck JS, Byrnes JEK, Cardinale BJ, Duffy JE, Griffin JN. Marine biodiversity and ecosystem functioning: What’s known and what’s next? Oikos. 2015;124(3):252–65.</w:t>
      </w:r>
      <w:r>
        <w:t xml:space="preserve"> </w:t>
      </w:r>
    </w:p>
    <w:bookmarkEnd w:id="40"/>
    <w:bookmarkStart w:id="41" w:name="ref-rocca2015"/>
    <w:p>
      <w:pPr>
        <w:pStyle w:val="Bibliography"/>
      </w:pPr>
      <w:r>
        <w:t xml:space="preserve">5. Rocca JD, Hall EK, Lennon JT, Evans SE, Waldrop MP, Cotner JB, et al. Relationships between protein-encoding gene abundance and corresponding process are commonly assumed yet rarely observed. The ISME Journal. 2015 Aug;9(8):1693–9.</w:t>
      </w:r>
      <w:r>
        <w:t xml:space="preserve"> </w:t>
      </w:r>
    </w:p>
    <w:bookmarkEnd w:id="41"/>
    <w:bookmarkStart w:id="42" w:name="ref-graham2016"/>
    <w:p>
      <w:pPr>
        <w:pStyle w:val="Bibliography"/>
      </w:pPr>
      <w:r>
        <w:t xml:space="preserve">6. Graham EB, Knelman JE, Schindlbacher A, Siciliano S, Breulmann M, Yannarell A, et al. Microbes as Engines of Ecosystem Function: When Does Community Structure Enhance Predictions of Ecosystem Processes? Frontiers in Microbiology. 2016;0.</w:t>
      </w:r>
      <w:r>
        <w:t xml:space="preserve"> </w:t>
      </w:r>
    </w:p>
    <w:bookmarkEnd w:id="42"/>
    <w:bookmarkStart w:id="43" w:name="ref-morris2020"/>
    <w:p>
      <w:pPr>
        <w:pStyle w:val="Bibliography"/>
      </w:pPr>
      <w:r>
        <w:t xml:space="preserve">7. Morris A, Meyer K, Bohannan B. Linking microbial communities to ecosystem functions: What we can learn from genotypePhenotype mapping in organisms. Philosophical Transactions of the Royal Society B: Biological Sciences. 2020 May;375(1798):20190244.</w:t>
      </w:r>
      <w:r>
        <w:t xml:space="preserve"> </w:t>
      </w:r>
    </w:p>
    <w:bookmarkEnd w:id="43"/>
    <w:bookmarkStart w:id="44" w:name="ref-swenson2000"/>
    <w:p>
      <w:pPr>
        <w:pStyle w:val="Bibliography"/>
      </w:pPr>
      <w:r>
        <w:t xml:space="preserve">8. Swenson W, Wilson DS, Elias R. Artificial ecosystem selection. Proceedings of the National Academy of Sciences. 2000 Aug;97(16):9110–4.</w:t>
      </w:r>
      <w:r>
        <w:t xml:space="preserve"> </w:t>
      </w:r>
    </w:p>
    <w:bookmarkEnd w:id="44"/>
    <w:bookmarkStart w:id="45" w:name="ref-panke-buisse2015"/>
    <w:p>
      <w:pPr>
        <w:pStyle w:val="Bibliography"/>
      </w:pPr>
      <w:r>
        <w:t xml:space="preserve">9. Panke-Buisse K, Poole AC, Goodrich JK, Ley RE, Kao-Kniffin J. Selection on soil microbiomes reveals reproducible impacts on plant function. The ISME journal. 2015 Mar;9(4):980–9.</w:t>
      </w:r>
      <w:r>
        <w:t xml:space="preserve"> </w:t>
      </w:r>
    </w:p>
    <w:bookmarkEnd w:id="45"/>
    <w:bookmarkStart w:id="46" w:name="ref-goodnight2000"/>
    <w:p>
      <w:pPr>
        <w:pStyle w:val="Bibliography"/>
      </w:pPr>
      <w:r>
        <w:t xml:space="preserve">10. Goodnight CJ. Heritability at the ecosystem level. Proceedings of the National Academy of Sciences. 2000 Aug;97(17):9365–6.</w:t>
      </w:r>
      <w:r>
        <w:t xml:space="preserve"> </w:t>
      </w:r>
    </w:p>
    <w:bookmarkEnd w:id="46"/>
    <w:bookmarkStart w:id="47" w:name="ref-arias-sanchez2019"/>
    <w:p>
      <w:pPr>
        <w:pStyle w:val="Bibliography"/>
      </w:pPr>
      <w:r>
        <w:t xml:space="preserve">11. Arias-Sánchez FI, Vessman B, Mitri S. Artificially selecting microbial communities: If we can breed dogs, why not microbiomes? PLOS Biology. 2019 Aug;17(8):e3000356.</w:t>
      </w:r>
      <w:r>
        <w:t xml:space="preserve"> </w:t>
      </w:r>
    </w:p>
    <w:bookmarkEnd w:id="47"/>
    <w:bookmarkStart w:id="48" w:name="ref-fuhrman2009"/>
    <w:p>
      <w:pPr>
        <w:pStyle w:val="Bibliography"/>
      </w:pPr>
      <w:r>
        <w:t xml:space="preserve">12. Fuhrman JA. Microbial community structure and its functional implications. Nature. 2009 May;459(7244):193–9.</w:t>
      </w:r>
      <w:r>
        <w:t xml:space="preserve"> </w:t>
      </w:r>
    </w:p>
    <w:bookmarkEnd w:id="48"/>
    <w:bookmarkStart w:id="49" w:name="ref-schimel1998"/>
    <w:p>
      <w:pPr>
        <w:pStyle w:val="Bibliography"/>
      </w:pPr>
      <w:r>
        <w:t xml:space="preserve">13. Schimel JP, Gulledge J. Microbial community structure and global trace gases. Global Change Biology. 1998;4(7):745–58.</w:t>
      </w:r>
      <w:r>
        <w:t xml:space="preserve"> </w:t>
      </w:r>
    </w:p>
    <w:bookmarkEnd w:id="49"/>
    <w:bookmarkStart w:id="50" w:name="ref-freitag2009"/>
    <w:p>
      <w:pPr>
        <w:pStyle w:val="Bibliography"/>
      </w:pPr>
      <w:r>
        <w:t xml:space="preserve">14. Freitag TE, Prosser JI. Correlation of Methane Production and Functional Gene Transcriptional Activity in a Peat Soil. Applied and Environmental Microbiology. 2009 Nov;75(21):6679–87.</w:t>
      </w:r>
      <w:r>
        <w:t xml:space="preserve"> </w:t>
      </w:r>
    </w:p>
    <w:bookmarkEnd w:id="50"/>
    <w:bookmarkStart w:id="51" w:name="ref-freitag2010"/>
    <w:p>
      <w:pPr>
        <w:pStyle w:val="Bibliography"/>
      </w:pPr>
      <w:r>
        <w:t xml:space="preserve">15. Freitag TE, Toet S, Ineson P, Prosser JI. Links between methane flux and transcriptional activities of methanogens and methane oxidizers in a blanket peat bog. FEMS Microbiology Ecology. 2010 Jul;73(1):157–65.</w:t>
      </w:r>
      <w:r>
        <w:t xml:space="preserve"> </w:t>
      </w:r>
    </w:p>
    <w:bookmarkEnd w:id="51"/>
    <w:bookmarkStart w:id="52" w:name="ref-meyer2020"/>
    <w:p>
      <w:pPr>
        <w:pStyle w:val="Bibliography"/>
      </w:pPr>
      <w:r>
        <w:t xml:space="preserve">16. Meyer KM, Morris AH, Webster K, Klein AM, Kroeger ME, Meredith LK, et al. Belowground changes to community structure alter methane-cycling dynamics in Amazonia. Environment International. 2020 Dec;145:106131.</w:t>
      </w:r>
      <w:r>
        <w:t xml:space="preserve"> </w:t>
      </w:r>
    </w:p>
    <w:bookmarkEnd w:id="52"/>
    <w:bookmarkStart w:id="53" w:name="ref-martiny2013"/>
    <w:p>
      <w:pPr>
        <w:pStyle w:val="Bibliography"/>
      </w:pPr>
      <w:r>
        <w:t xml:space="preserve">17. Martiny AC, Treseder K, Pusch G. Phylogenetic conservatism of functional traits in microorganisms. The ISME Journal. 2013 Apr;7(4):830–8.</w:t>
      </w:r>
      <w:r>
        <w:t xml:space="preserve"> </w:t>
      </w:r>
    </w:p>
    <w:bookmarkEnd w:id="53"/>
    <w:bookmarkStart w:id="54" w:name="ref-caporaso2011"/>
    <w:p>
      <w:pPr>
        <w:pStyle w:val="Bibliography"/>
      </w:pPr>
      <w:r>
        <w:t xml:space="preserve">18. Caporaso JG, Lauber CL, Walters WA, Berg-Lyons D, Lozupone CA, Turnbaugh PJ, et al. Global patterns of 16S rRNA diversity at a depth of millions of sequences per sample. Proceedings of the National Academy of Sciences. 2011 Mar;108(Supplement 1):4516–22.</w:t>
      </w:r>
      <w:r>
        <w:t xml:space="preserve"> </w:t>
      </w:r>
    </w:p>
    <w:bookmarkEnd w:id="54"/>
    <w:bookmarkStart w:id="55" w:name="ref-fadrosh2014"/>
    <w:p>
      <w:pPr>
        <w:pStyle w:val="Bibliography"/>
      </w:pPr>
      <w:r>
        <w:t xml:space="preserve">19. Fadrosh DW, Ma B, Gajer P, Sengamalay N, Ott S, Brotman RM, et al. An improved dual-indexing approach for multiplexed 16S rRNA gene sequencing on the Illumina MiSeq platform. Microbiome. 2014 Feb;2(1):6.</w:t>
      </w:r>
      <w:r>
        <w:t xml:space="preserve"> </w:t>
      </w:r>
    </w:p>
    <w:bookmarkEnd w:id="55"/>
    <w:bookmarkStart w:id="56" w:name="ref-kozich2013"/>
    <w:p>
      <w:pPr>
        <w:pStyle w:val="Bibliography"/>
      </w:pPr>
      <w:r>
        <w:t xml:space="preserve">20. Kozich JJ, Westcott SL, Baxter NT, Highlander SK, Schloss PD. Development of a Dual-Index Sequencing Strategy and Curation Pipeline for Analyzing Amplicon Sequence Data on the MiSeq Illumina Sequencing Platform. Applied and Environmental Microbiology. 2013 Sep;</w:t>
      </w:r>
      <w:r>
        <w:t xml:space="preserve"> </w:t>
      </w:r>
    </w:p>
    <w:bookmarkEnd w:id="56"/>
    <w:bookmarkStart w:id="57" w:name="ref-rcoreteam2018"/>
    <w:p>
      <w:pPr>
        <w:pStyle w:val="Bibliography"/>
      </w:pPr>
      <w:r>
        <w:t xml:space="preserve">21. R Core Team. R: A language and environment for statistical computing. Vienna, Austria: R Foundation for Statistical Computing; 2018.</w:t>
      </w:r>
      <w:r>
        <w:t xml:space="preserve"> </w:t>
      </w:r>
    </w:p>
    <w:bookmarkEnd w:id="57"/>
    <w:bookmarkStart w:id="58" w:name="ref-callahan2016"/>
    <w:p>
      <w:pPr>
        <w:pStyle w:val="Bibliography"/>
      </w:pPr>
      <w:r>
        <w:t xml:space="preserve">22. Callahan BJ, McMurdie PJ, Rosen MJ, Han AW, Johnson AJA, Holmes SP. DADA2: High-resolution sample inference from Illumina amplicon data. Nature Methods. 2016 Jul;13(7):581–3.</w:t>
      </w:r>
      <w:r>
        <w:t xml:space="preserve"> </w:t>
      </w:r>
    </w:p>
    <w:bookmarkEnd w:id="58"/>
    <w:bookmarkStart w:id="59" w:name="ref-wang2007"/>
    <w:p>
      <w:pPr>
        <w:pStyle w:val="Bibliography"/>
      </w:pPr>
      <w:r>
        <w:t xml:space="preserve">23. Wang Q, Garrity GM, Tiedje JM, Cole JR. Naïve Bayesian Classifier for Rapid Assignment of rRNA Sequences into the New Bacterial Taxonomy. Applied and Environmental Microbiology. 2007 Aug;73(16):5261–7.</w:t>
      </w:r>
      <w:r>
        <w:t xml:space="preserve"> </w:t>
      </w:r>
    </w:p>
    <w:bookmarkEnd w:id="59"/>
    <w:bookmarkStart w:id="60" w:name="ref-davis2018"/>
    <w:p>
      <w:pPr>
        <w:pStyle w:val="Bibliography"/>
      </w:pPr>
      <w:r>
        <w:t xml:space="preserve">24. Davis NM, Proctor DM, Holmes SP, Relman DA, Callahan BJ. Simple statistical identification and removal of contaminant sequences in marker-gene and metagenomics data. Microbiome. 2018 Dec;6(1):226.</w:t>
      </w:r>
      <w:r>
        <w:t xml:space="preserve"> </w:t>
      </w:r>
    </w:p>
    <w:bookmarkEnd w:id="60"/>
    <w:bookmarkStart w:id="61" w:name="ref-falconer1996"/>
    <w:p>
      <w:pPr>
        <w:pStyle w:val="Bibliography"/>
      </w:pPr>
      <w:r>
        <w:t xml:space="preserve">25. Falconer DS(S, MacKay TFC. Introduction to quantitative genetics. Harlow : Prentice Hall; 1996.</w:t>
      </w:r>
      <w:r>
        <w:t xml:space="preserve"> </w:t>
      </w:r>
    </w:p>
    <w:bookmarkEnd w:id="61"/>
    <w:bookmarkStart w:id="62" w:name="ref-willis2015"/>
    <w:p>
      <w:pPr>
        <w:pStyle w:val="Bibliography"/>
      </w:pPr>
      <w:r>
        <w:t xml:space="preserve">26. Willis A, Bunge J. Estimating diversity via frequency ratios. Biometrics. 2015;71(4):1042–9.</w:t>
      </w:r>
      <w:r>
        <w:t xml:space="preserve"> </w:t>
      </w:r>
    </w:p>
    <w:bookmarkEnd w:id="62"/>
    <w:bookmarkStart w:id="63" w:name="ref-aitchison1982"/>
    <w:p>
      <w:pPr>
        <w:pStyle w:val="Bibliography"/>
      </w:pPr>
      <w:r>
        <w:t xml:space="preserve">27. Aitchison J. The Statistical Analysis of Compositional Data. Journal of the Royal Statistical Society: Series B (Methodological). 1982;44(2):139–60.</w:t>
      </w:r>
      <w:r>
        <w:t xml:space="preserve"> </w:t>
      </w:r>
    </w:p>
    <w:bookmarkEnd w:id="63"/>
    <w:bookmarkStart w:id="64" w:name="ref-mcardle2001"/>
    <w:p>
      <w:pPr>
        <w:pStyle w:val="Bibliography"/>
      </w:pPr>
      <w:r>
        <w:t xml:space="preserve">28. McArdle BH, Anderson MJ. Fitting Multivariate Models to Community Data: A Comment on Distance-Based Redundancy Analysis. Ecology. 2001;82(1):290–7.</w:t>
      </w:r>
      <w:r>
        <w:t xml:space="preserve"> </w:t>
      </w:r>
    </w:p>
    <w:bookmarkEnd w:id="64"/>
    <w:bookmarkStart w:id="65" w:name="ref-oksanen2019"/>
    <w:p>
      <w:pPr>
        <w:pStyle w:val="Bibliography"/>
      </w:pPr>
      <w:r>
        <w:t xml:space="preserve">29. Oksanen J, Blanchet FG, Friendly M, Kindt R, Legendre P, McGlinn D, et al. Vegan: Community ecology package. 2019.</w:t>
      </w:r>
      <w:r>
        <w:t xml:space="preserve"> </w:t>
      </w:r>
    </w:p>
    <w:bookmarkEnd w:id="65"/>
    <w:bookmarkStart w:id="66" w:name="ref-martin2020"/>
    <w:p>
      <w:pPr>
        <w:pStyle w:val="Bibliography"/>
      </w:pPr>
      <w:r>
        <w:t xml:space="preserve">30. Martin BD, Witten D, Willis AD. Modeling microbial abundances and dysbiosis with beta-binomial regression. The Annals of Applied Statistics. 2020 Mar;14(1):94–115.</w:t>
      </w:r>
      <w:r>
        <w:t xml:space="preserve"> </w:t>
      </w:r>
    </w:p>
    <w:bookmarkEnd w:id="66"/>
    <w:bookmarkStart w:id="67" w:name="ref-hahn2017"/>
    <w:p>
      <w:pPr>
        <w:pStyle w:val="Bibliography"/>
      </w:pPr>
      <w:r>
        <w:t xml:space="preserve">31. Hahn MW, Schmidt J, Koll U, Rohde M, Verbarg S, Pitt A, et al. Silvanigrella aquatica gen. Nov., sp. Nov., isolated from a freshwater lake, description of Silvanigrellaceae fam. Nov. And Silvanigrellales ord. Nov., reclassification of the order Bdellovibrionales in the class Oligoflexia, reclassification of the families Bacteriovoracaceae and Halobacteriovoraceae in the new order Bacteriovoracales ord. Nov., and reclassification of the family Pseudobacteriovoracaceae in the order Oligoflexales. International Journal of Systematic and Evolutionary Microbiology. 2017;67(8):2555–68.</w:t>
      </w:r>
      <w:r>
        <w:t xml:space="preserve"> </w:t>
      </w:r>
    </w:p>
    <w:bookmarkEnd w:id="67"/>
    <w:bookmarkStart w:id="68" w:name="ref-tamaki2011"/>
    <w:p>
      <w:pPr>
        <w:pStyle w:val="Bibliography"/>
      </w:pPr>
      <w:r>
        <w:t xml:space="preserve">32. Tamaki H, Tanaka Y, Matsuzawa H, Muramatsu M, Meng X-Y, Hanada S, et al. Armatimonas rosea gen. Nov., sp. Nov., of a novel bacterial phylum, Armatimonadetes phyl. Nov., formally called the candidate phylum OP10. International Journal of Systematic and Evolutionary Microbiology. 2011;61(6):1442–7.</w:t>
      </w:r>
      <w:r>
        <w:t xml:space="preserve"> </w:t>
      </w:r>
    </w:p>
    <w:bookmarkEnd w:id="68"/>
    <w:bookmarkStart w:id="69" w:name="ref-garrity2005"/>
    <w:p>
      <w:pPr>
        <w:pStyle w:val="Bibliography"/>
      </w:pPr>
      <w:r>
        <w:t xml:space="preserve">33. Garrity GM, Bell JA, Lilburn TG. Class III. Gammaproteobacteria class. Nov., p. 1. In: Brenner DJ, Krieg NR, Staley JT, Garrity GM, editors. Bergey’s manual of systematic bacteriology. Second. New York, NY: Springer; 2005.</w:t>
      </w:r>
      <w:r>
        <w:t xml:space="preserve"> </w:t>
      </w:r>
    </w:p>
    <w:bookmarkEnd w:id="69"/>
    <w:bookmarkStart w:id="70" w:name="ref-freitag2003"/>
    <w:p>
      <w:pPr>
        <w:pStyle w:val="Bibliography"/>
      </w:pPr>
      <w:r>
        <w:t xml:space="preserve">34. Freitag TE, Prosser JI. Community Structure of Ammonia-Oxidizing Bacteria within Anoxic Marine Sediments. Applied and Environmental Microbiology. 2003 Mar;</w:t>
      </w:r>
      <w:r>
        <w:t xml:space="preserve"> </w:t>
      </w:r>
    </w:p>
    <w:bookmarkEnd w:id="70"/>
    <w:bookmarkStart w:id="71" w:name="ref-mcbride2014"/>
    <w:p>
      <w:pPr>
        <w:pStyle w:val="Bibliography"/>
      </w:pPr>
      <w:r>
        <w:t xml:space="preserve">35. McBride MJ, Liu W, Lu X, Zhu Y, Zhang W. The Family Cytophagaceae. In: Rosenberg E, DeLong EF, Lory S, Stackebrandt E, Thompson F, editors. The Prokaryotes: Other Major Lineages of Bacteria and The Archaea. Berlin, Heidelberg: Springer; 2014. pp. 577–93.</w:t>
      </w:r>
      <w:r>
        <w:t xml:space="preserve"> </w:t>
      </w:r>
    </w:p>
    <w:bookmarkEnd w:id="71"/>
    <w:bookmarkStart w:id="72" w:name="ref-bay2021"/>
    <w:p>
      <w:pPr>
        <w:pStyle w:val="Bibliography"/>
      </w:pPr>
      <w:r>
        <w:t xml:space="preserve">36. Bay SK, Dong X, Bradley JA, Leung PM, Grinter R, Jirapanjawat T, et al. Trace gas oxidizers are widespread and active members of soil microbial communities. Nature Microbiology. 2021 Feb;6(2):246–56.</w:t>
      </w:r>
      <w:r>
        <w:t xml:space="preserve"> </w:t>
      </w:r>
    </w:p>
    <w:bookmarkEnd w:id="72"/>
    <w:bookmarkStart w:id="73" w:name="ref-visscher2008"/>
    <w:p>
      <w:pPr>
        <w:pStyle w:val="Bibliography"/>
      </w:pPr>
      <w:r>
        <w:t xml:space="preserve">37. Visscher PM, Hill WG, Wray NR. Heritability in the genomics era concepts and misconceptions. Nature Reviews Genetics. 2008 Apr;9(4):255–66.</w:t>
      </w:r>
      <w:r>
        <w:t xml:space="preserve"> </w:t>
      </w:r>
    </w:p>
    <w:bookmarkEnd w:id="73"/>
    <w:bookmarkStart w:id="74" w:name="ref-conner2003"/>
    <w:p>
      <w:pPr>
        <w:pStyle w:val="Bibliography"/>
      </w:pPr>
      <w:r>
        <w:t xml:space="preserve">38. Conner JK. Artificial Selection: A Powerful Tool for Ecologists. Ecology. 2003;84(7):1650–60.</w:t>
      </w:r>
      <w:r>
        <w:t xml:space="preserve"> </w:t>
      </w:r>
    </w:p>
    <w:bookmarkEnd w:id="74"/>
    <w:bookmarkStart w:id="75" w:name="ref-kerem1989"/>
    <w:p>
      <w:pPr>
        <w:pStyle w:val="Bibliography"/>
      </w:pPr>
      <w:r>
        <w:t xml:space="preserve">39. Kerem B, Rommens JM, Buchanan JA, Markiewicz D, Cox TK, Chakravarti A, et al. Identification of the cystic fibrosis gene: Genetic analysis. Science. 1989 Sep;245(4922):1073–80.</w:t>
      </w:r>
      <w:r>
        <w:t xml:space="preserve"> </w:t>
      </w:r>
    </w:p>
    <w:bookmarkEnd w:id="75"/>
    <w:bookmarkStart w:id="76" w:name="ref-macdonald1992"/>
    <w:p>
      <w:pPr>
        <w:pStyle w:val="Bibliography"/>
      </w:pPr>
      <w:r>
        <w:t xml:space="preserve">40. MacDonald ME, Novelletto A, Lin C, Tagle D, Barnes G, Bates G, et al. The Huntington’s disease candidate region exhibits many different haplotypes. Nature Genetics. 1992 May;1(2):99–103.</w:t>
      </w:r>
      <w:r>
        <w:t xml:space="preserve"> </w:t>
      </w:r>
    </w:p>
    <w:bookmarkEnd w:id="76"/>
    <w:bookmarkStart w:id="77" w:name="ref-reich2001"/>
    <w:p>
      <w:pPr>
        <w:pStyle w:val="Bibliography"/>
      </w:pPr>
      <w:r>
        <w:t xml:space="preserve">41. Reich DE, Lander ES. On the allelic spectrum of human disease. Trends in Genetics. 2001 Sep;17(9):502–10.</w:t>
      </w:r>
      <w:r>
        <w:t xml:space="preserve"> </w:t>
      </w:r>
    </w:p>
    <w:bookmarkEnd w:id="77"/>
    <w:bookmarkStart w:id="78" w:name="ref-hindorff2009"/>
    <w:p>
      <w:pPr>
        <w:pStyle w:val="Bibliography"/>
      </w:pPr>
      <w:r>
        <w:t xml:space="preserve">42. Hindorff LA, Sethupathy P, Junkins HA, Ramos EM, Mehta JP, Collins FS, et al. Potential etiologic and functional implications of genome-wide association loci for human diseases and traits. Proceedings of the National Academy of Sciences. 2009 Jun;106(23):9362–7.</w:t>
      </w:r>
      <w:r>
        <w:t xml:space="preserve"> </w:t>
      </w:r>
    </w:p>
    <w:bookmarkEnd w:id="78"/>
    <w:bookmarkEnd w:id="79"/>
    <w:p>
      <w:pPr>
        <w:pStyle w:val="Heading1"/>
      </w:pPr>
      <w:bookmarkStart w:id="80" w:name="figures"/>
      <w:r>
        <w:t xml:space="preserve">Figures</w:t>
      </w:r>
      <w:bookmarkEnd w:id="80"/>
    </w:p>
    <w:p>
      <w:pPr>
        <w:pStyle w:val="FirstParagraph"/>
      </w:pPr>
      <w:r>
        <w:drawing>
          <wp:inline>
            <wp:extent cx="3696101" cy="2772075"/>
            <wp:effectExtent b="0" l="0" r="0" t="0"/>
            <wp:docPr descr="" title="" id="1" name="Picture"/>
            <a:graphic>
              <a:graphicData uri="http://schemas.openxmlformats.org/drawingml/2006/picture">
                <pic:pic>
                  <pic:nvPicPr>
                    <pic:cNvPr descr="manuscript_files/figure-docx/response-1.png" id="0" name="Picture"/>
                    <pic:cNvPicPr>
                      <a:picLocks noChangeArrowheads="1" noChangeAspect="1"/>
                    </pic:cNvPicPr>
                  </pic:nvPicPr>
                  <pic:blipFill>
                    <a:blip r:embed="rId81"/>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 name="Picture"/>
            <a:graphic>
              <a:graphicData uri="http://schemas.openxmlformats.org/drawingml/2006/picture">
                <pic:pic>
                  <pic:nvPicPr>
                    <pic:cNvPr descr="manuscript_files/figure-docx/herit-1.png" id="0" name="Picture"/>
                    <pic:cNvPicPr>
                      <a:picLocks noChangeArrowheads="1" noChangeAspect="1"/>
                    </pic:cNvPicPr>
                  </pic:nvPicPr>
                  <pic:blipFill>
                    <a:blip r:embed="rId82"/>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drawing>
          <wp:inline>
            <wp:extent cx="4620126" cy="2310063"/>
            <wp:effectExtent b="0" l="0" r="0" t="0"/>
            <wp:docPr descr="" title="" id="1" name="Picture"/>
            <a:graphic>
              <a:graphicData uri="http://schemas.openxmlformats.org/drawingml/2006/picture">
                <pic:pic>
                  <pic:nvPicPr>
                    <pic:cNvPr descr="manuscript_files/figure-docx/beta-1.png" id="0" name="Picture"/>
                    <pic:cNvPicPr>
                      <a:picLocks noChangeArrowheads="1" noChangeAspect="1"/>
                    </pic:cNvPicPr>
                  </pic:nvPicPr>
                  <pic:blipFill>
                    <a:blip r:embed="rId83"/>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Aitchison dissimilarity, which is Euclidean distance after center-log ratio transformation. Colors represent treatment and shapes represent passage number. The ratio of the axes is proportional to the variance explained by each principal component in order to accurately represent the distance between the points.</w:t>
      </w:r>
    </w:p>
    <w:p>
      <w:pPr>
        <w:pStyle w:val="TextBody"/>
      </w:pPr>
      <w:r>
        <w:drawing>
          <wp:inline>
            <wp:extent cx="4620126" cy="3696101"/>
            <wp:effectExtent b="0" l="0" r="0" t="0"/>
            <wp:docPr descr="" title="" id="1" name="Picture"/>
            <a:graphic>
              <a:graphicData uri="http://schemas.openxmlformats.org/drawingml/2006/picture">
                <pic:pic>
                  <pic:nvPicPr>
                    <pic:cNvPr descr="manuscript_files/figure-docx/da-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based on a beta-binomial model. Values on the x-axis are estimates and standard errors of the expected difference in the logit-transformed relative abundance between the two treatments. Positive values are enriched in the Positive treatment and negative values are enriched in the Neutral treatment. Taxa presented here are significant at FDR &lt; 0.5</w:t>
      </w:r>
    </w:p>
    <w:p>
      <w:pPr>
        <w:pStyle w:val="TextBody"/>
      </w:pPr>
      <w:r>
        <w:t xml:space="preserve">Table 1: PERMANOVA on Aitchison and Jaccard dissimilarities.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term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SumOfSqs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Passage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192,687.5912905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0.41932912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34.957336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Treatment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21,430.5165026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0.04663735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3.887919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Pass:Treat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13,888.5630478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0.03022446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2.519660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Residual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231,507.3101917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0.50380907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aitchison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459,513.9810326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Passage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3.6801921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0.47353513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42.509232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Treatment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0.2634443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0.03389772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3.042997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Pass:Treat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0.1919981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0.02470464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2.217735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Residual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3.6361059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0.46786251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jaccard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7.7717403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1.00000000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bl>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320" w:leader="none"/>
        <w:tab w:val="right" w:pos="864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Heading1NoNumber">
    <w:name w:val="Heading 1 No Number"/>
    <w:basedOn w:val="Heading1"/>
    <w:qFormat/>
    <w:pPr/>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2" Target="media/rId82.png" /><Relationship Type="http://schemas.openxmlformats.org/officeDocument/2006/relationships/image" Id="rId81" Target="media/rId81.png" /><Relationship Type="http://schemas.openxmlformats.org/officeDocument/2006/relationships/hyperlink" Id="rId20" Target="mailto:amorris3@uorego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2022-04-07T22:56:17Z</dcterms:created>
  <dcterms:modified xsi:type="dcterms:W3CDTF">2022-04-07T22:56:17Z</dcterms:modified>
</cp:coreProperties>
</file>

<file path=docProps/custom.xml><?xml version="1.0" encoding="utf-8"?>
<Properties xmlns="http://schemas.openxmlformats.org/officeDocument/2006/custom-properties" xmlns:vt="http://schemas.openxmlformats.org/officeDocument/2006/docPropsVTypes"/>
</file>