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95.png" ContentType="image/png"/>
  <Override PartName="/word/media/rId93.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p>
      <w:pPr>
        <w:pStyle w:val="Heading1"/>
      </w:pPr>
      <w:bookmarkStart w:id="21" w:name="abstract"/>
      <w:r>
        <w:t xml:space="preserve">Abstract</w:t>
      </w:r>
      <w:bookmarkEnd w:id="21"/>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p>
      <w:pPr>
        <w:pStyle w:val="Heading1"/>
      </w:pPr>
      <w:bookmarkStart w:id="22" w:name="introduction"/>
      <w:r>
        <w:t xml:space="preserve">Introduction</w:t>
      </w:r>
      <w:bookmarkEnd w:id="22"/>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p>
      <w:pPr>
        <w:pStyle w:val="Heading1"/>
      </w:pPr>
      <w:bookmarkStart w:id="23" w:name="materials-and-methods"/>
      <w:r>
        <w:t xml:space="preserve">Materials and Methods</w:t>
      </w:r>
      <w:bookmarkEnd w:id="23"/>
    </w:p>
    <w:p>
      <w:pPr>
        <w:pStyle w:val="Heading2"/>
      </w:pPr>
      <w:bookmarkStart w:id="24" w:name="experimental-design"/>
      <w:r>
        <w:t xml:space="preserve">Experimental design</w:t>
      </w:r>
      <w:bookmarkEnd w:id="24"/>
    </w:p>
    <w:p>
      <w:pPr>
        <w:pStyle w:val="FirstParagraph"/>
      </w:pPr>
      <w:r>
        <w:t xml:space="preserve">We performed an artificial ecosystem selection experiment</w:t>
      </w:r>
      <w:r>
        <w:t xml:space="preserve"> </w:t>
      </w:r>
      <w:r>
        <w:t xml:space="preserve">(8)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p>
      <w:pPr>
        <w:pStyle w:val="Heading2"/>
      </w:pPr>
      <w:bookmarkStart w:id="25" w:name="methane-oxidation-rate"/>
      <w:r>
        <w:t xml:space="preserve">Methane oxidation rate</w:t>
      </w:r>
      <w:bookmarkEnd w:id="25"/>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p>
      <w:pPr>
        <w:pStyle w:val="Heading2"/>
      </w:pPr>
      <w:bookmarkStart w:id="26" w:name="soil-dna-extraction-and-sequencing"/>
      <w:r>
        <w:t xml:space="preserve">Soil DNA extraction and sequencing</w:t>
      </w:r>
      <w:bookmarkEnd w:id="26"/>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t>∘</m:t>
            </m:r>
          </m:sup>
        </m:sSup>
      </m:oMath>
      <w:r>
        <w:t xml:space="preserve">C for 30 s</w:t>
      </w:r>
      <w:r>
        <w:t xml:space="preserve"> </w:t>
      </w:r>
      <w:r>
        <w:t xml:space="preserve">(initialization); 35 cycles of</w:t>
      </w:r>
      <w:r>
        <w:t xml:space="preserve"> </w:t>
      </w:r>
      <m:oMath>
        <m:sSup>
          <m:e>
            <m:r>
              <m:t>98</m:t>
            </m:r>
          </m:e>
          <m:sup>
            <m:r>
              <m:t>∘</m:t>
            </m:r>
          </m:sup>
        </m:sSup>
      </m:oMath>
      <w:r>
        <w:t xml:space="preserve">C for 10 s (denaturation),</w:t>
      </w:r>
      <w:r>
        <w:t xml:space="preserve"> </w:t>
      </w:r>
      <m:oMath>
        <m:sSup>
          <m:e>
            <m:r>
              <m:t>61</m:t>
            </m:r>
          </m:e>
          <m:sup>
            <m:r>
              <m:t>∘</m:t>
            </m:r>
          </m:sup>
        </m:sSup>
      </m:oMath>
      <w:r>
        <w:t xml:space="preserve">C</w:t>
      </w:r>
      <w:r>
        <w:t xml:space="preserve"> </w:t>
      </w:r>
      <w:r>
        <w:t xml:space="preserve">for 20 s (annealing), and</w:t>
      </w:r>
      <w:r>
        <w:t xml:space="preserve"> </w:t>
      </w:r>
      <m:oMath>
        <m:sSup>
          <m:e>
            <m:r>
              <m:t>72</m:t>
            </m:r>
          </m:e>
          <m:sup>
            <m:r>
              <m:t>∘</m:t>
            </m:r>
          </m:sup>
        </m:sSup>
      </m:oMath>
      <w:r>
        <w:t xml:space="preserve">C for 20 s (extension); and</w:t>
      </w:r>
      <w:r>
        <w:t xml:space="preserve"> </w:t>
      </w:r>
      <m:oMath>
        <m:sSup>
          <m:e>
            <m:r>
              <m:t>72</m:t>
            </m:r>
          </m:e>
          <m:sup>
            <m: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p>
      <w:pPr>
        <w:pStyle w:val="Heading2"/>
      </w:pPr>
      <w:bookmarkStart w:id="27" w:name="bioinformatics"/>
      <w:r>
        <w:t xml:space="preserve">Bioinformatics</w:t>
      </w:r>
      <w:bookmarkEnd w:id="27"/>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w:t>
      </w:r>
      <w:r>
        <w:t xml:space="preserve"> </w:t>
      </w:r>
      <w:r>
        <w:t xml:space="preserve">Decontam identified 16 potential contaminants based</w:t>
      </w:r>
      <w:r>
        <w:t xml:space="preserve"> </w:t>
      </w:r>
      <w:r>
        <w:t xml:space="preserve">on prevalence and frequency. Visual inspection of abundance ~ concentration</w:t>
      </w:r>
      <w:r>
        <w:t xml:space="preserve"> </w:t>
      </w:r>
      <w:r>
        <w:t xml:space="preserve">plots indicated that 9 of these were likely contaminants and these</w:t>
      </w:r>
      <w:r>
        <w:t xml:space="preserve"> </w:t>
      </w:r>
      <w:r>
        <w:t xml:space="preserve">ASVs were removed.</w:t>
      </w:r>
    </w:p>
    <w:p>
      <w:pPr>
        <w:pStyle w:val="Heading2"/>
      </w:pPr>
      <w:bookmarkStart w:id="28" w:name="statistical-analysis"/>
      <w:r>
        <w:t xml:space="preserve">Statistical Analysis</w:t>
      </w:r>
      <w:bookmarkEnd w:id="28"/>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 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the</w:t>
      </w:r>
      <w:r>
        <w:t xml:space="preserve"> </w:t>
      </w:r>
      <w:r>
        <w:t xml:space="preserve">Bray-Curtis dissimilarity by averaging random subsets 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(27,29)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the Welch’s t 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w:t>
      </w:r>
    </w:p>
    <w:p>
      <w:pPr>
        <w:pStyle w:val="Heading1"/>
      </w:pPr>
      <w:bookmarkStart w:id="29" w:name="results"/>
      <w:r>
        <w:t xml:space="preserve">Results</w:t>
      </w:r>
      <w:bookmarkEnd w:id="29"/>
    </w:p>
    <w:p>
      <w:pPr>
        <w:pStyle w:val="Heading2"/>
      </w:pPr>
      <w:bookmarkStart w:id="30" w:name="Xc2d21a0d19c3188cf98e037054740438f3ba714"/>
      <w:r>
        <w:t xml:space="preserve">Response to selection on methane oxidation rate</w:t>
      </w:r>
      <w:bookmarkEnd w:id="30"/>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3.85,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Heading2"/>
      </w:pPr>
      <w:bookmarkStart w:id="31" w:name="heritability-of-methane-oxidation"/>
      <w:r>
        <w:t xml:space="preserve">Heritability of methane oxidation</w:t>
      </w:r>
      <w:bookmarkEnd w:id="31"/>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Heading2"/>
      </w:pPr>
      <w:bookmarkStart w:id="32" w:name="taxonomic-richness"/>
      <w:r>
        <w:t xml:space="preserve">Taxonomic richness</w:t>
      </w:r>
      <w:bookmarkEnd w:id="32"/>
    </w:p>
    <w:p>
      <w:pPr>
        <w:pStyle w:val="FirstParagraph"/>
      </w:pPr>
      <w:r>
        <w:t xml:space="preserve">Richness of ASVs decreased from 3427.0 (783.8) in Passage 2 to 1579.0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(Spearman’s rho = 0.1, p = 0.7).</w:t>
      </w:r>
    </w:p>
    <w:p>
      <w:pPr>
        <w:pStyle w:val="Heading2"/>
      </w:pPr>
      <w:bookmarkStart w:id="33" w:name="community-dissimilarity"/>
      <w:r>
        <w:t xml:space="preserve">Community dissimilarity</w:t>
      </w:r>
      <w:bookmarkEnd w:id="33"/>
    </w:p>
    <w:p>
      <w:pPr>
        <w:pStyle w:val="FirstParagraph"/>
      </w:pPr>
      <w:r>
        <w:t xml:space="preserve">Bray-Curtis dissimilarity of the soil microbiome varied strongly by passage and</w:t>
      </w:r>
      <w:r>
        <w:t xml:space="preserve"> </w:t>
      </w:r>
      <w:r>
        <w:t xml:space="preserve">weakly by treatment with an interaction between passage and treatment (Figure 3; Table 1).</w:t>
      </w:r>
      <w:r>
        <w:t xml:space="preserve"> </w:t>
      </w:r>
      <w:r>
        <w:t xml:space="preserve">Passage explained 55.8% of the</w:t>
      </w:r>
      <w:r>
        <w:t xml:space="preserve"> </w:t>
      </w:r>
      <w:r>
        <w:t xml:space="preserve">variation in Bray-Curtis dissimilarity, treatment explained</w:t>
      </w:r>
      <w:r>
        <w:t xml:space="preserve"> </w:t>
      </w:r>
      <w:r>
        <w:t xml:space="preserve">5.9%</w:t>
      </w:r>
      <w:r>
        <w:t xml:space="preserve"> </w:t>
      </w:r>
      <w:r>
        <w:t xml:space="preserve">of the variation, and the interaction</w:t>
      </w:r>
      <w:r>
        <w:t xml:space="preserve"> </w:t>
      </w:r>
      <w:r>
        <w:t xml:space="preserve">between treatment and passage explained</w:t>
      </w:r>
      <w:r>
        <w:t xml:space="preserve"> </w:t>
      </w:r>
      <w:r>
        <w:t xml:space="preserve">4.7% of the variation. We found there was</w:t>
      </w:r>
      <w:r>
        <w:t xml:space="preserve"> </w:t>
      </w:r>
      <w:r>
        <w:t xml:space="preserve">no difference in dispersion between treatments or passages (F</w:t>
      </w:r>
      <w:r>
        <w:rPr>
          <w:vertAlign w:val="subscript"/>
        </w:rPr>
        <w:t xml:space="preserve">3,44</w:t>
      </w:r>
      <w:r>
        <w:t xml:space="preserve"> </w:t>
      </w:r>
      <w:r>
        <w:t xml:space="preserve">= 0.91, p = 0.45).</w:t>
      </w:r>
    </w:p>
    <w:p>
      <w:pPr>
        <w:pStyle w:val="TextBody"/>
      </w:pPr>
      <w:r>
        <w:t xml:space="preserve">Community dissimilarity also correlated with CH</w:t>
      </w:r>
      <w:r>
        <w:rPr>
          <w:vertAlign w:val="subscript"/>
        </w:rPr>
        <w:t xml:space="preserve">4</w:t>
      </w:r>
      <w:r>
        <w:t xml:space="preserve"> </w:t>
      </w:r>
      <w:r>
        <w:t xml:space="preserve">oxidation rate. In Passage 2, there was no correlation between CH</w:t>
      </w:r>
      <w:r>
        <w:rPr>
          <w:vertAlign w:val="subscript"/>
        </w:rPr>
        <w:t xml:space="preserve">4</w:t>
      </w:r>
      <w:r>
        <w:t xml:space="preserve"> </w:t>
      </w:r>
      <w:r>
        <w:t xml:space="preserve">oxidation rate and Bray-Curtis dissimilarity</w:t>
      </w:r>
      <w:r>
        <w:t xml:space="preserve"> </w:t>
      </w:r>
      <w:r>
        <w:t xml:space="preserve">(dbRDA: F</w:t>
      </w:r>
      <w:r>
        <w:rPr>
          <w:vertAlign w:val="subscript"/>
        </w:rPr>
        <w:t xml:space="preserve">1,22</w:t>
      </w:r>
      <w:r>
        <w:t xml:space="preserve"> </w:t>
      </w:r>
      <w:r>
        <w:t xml:space="preserve">= 1.12, p = 0.305). However, in Passage 5, CH</w:t>
      </w:r>
      <w:r>
        <w:rPr>
          <w:vertAlign w:val="subscript"/>
        </w:rPr>
        <w:t xml:space="preserve">4</w:t>
      </w:r>
      <w:r>
        <w:t xml:space="preserve"> </w:t>
      </w:r>
      <w:r>
        <w:t xml:space="preserve">oxidation rate explained 9.6 % of the variation in Bray-Curtis dissimilarity (dbRDA: F</w:t>
      </w:r>
      <w:r>
        <w:rPr>
          <w:vertAlign w:val="subscript"/>
        </w:rPr>
        <w:t xml:space="preserve">1,22</w:t>
      </w:r>
      <w:r>
        <w:t xml:space="preserve"> </w:t>
      </w:r>
      <w:r>
        <w:t xml:space="preserve">= 2.35, p = 0.01).</w:t>
      </w:r>
    </w:p>
    <w:p>
      <w:pPr>
        <w:pStyle w:val="Heading2"/>
      </w:pPr>
      <w:bookmarkStart w:id="34" w:name="taxa-that-responded-to-selection"/>
      <w:r>
        <w:t xml:space="preserve">Taxa that responded to selection</w:t>
      </w:r>
      <w:bookmarkEnd w:id="34"/>
    </w:p>
    <w:p>
      <w:pPr>
        <w:pStyle w:val="FirstParagraph"/>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rPr>
          <w:i/>
        </w:rPr>
        <w:t xml:space="preserve">Silvanigrellaceae</w:t>
      </w:r>
      <w:r>
        <w:t xml:space="preserve">, a newly described family placed in its own order. This family</w:t>
      </w:r>
      <w:r>
        <w:t xml:space="preserve"> </w:t>
      </w:r>
      <w:r>
        <w:t xml:space="preserve">was present in all 12 samples and had a median abundance of 8 reads.</w:t>
      </w:r>
      <w:r>
        <w:t xml:space="preserve"> </w:t>
      </w:r>
      <w:r>
        <w:rPr>
          <w:i/>
        </w:rPr>
        <w:t xml:space="preserve">Silvanigrella</w:t>
      </w:r>
      <w:r>
        <w:t xml:space="preserve"> </w:t>
      </w:r>
      <w:r>
        <w:t xml:space="preserve">is the only cultivated member of</w:t>
      </w:r>
      <w:r>
        <w:t xml:space="preserve"> </w:t>
      </w:r>
      <w:r>
        <w:rPr>
          <w:i/>
        </w:rPr>
        <w:t xml:space="preserve">Silvanigrellaceae</w:t>
      </w:r>
      <w:r>
        <w:t xml:space="preserve"> </w:t>
      </w:r>
      <w:r>
        <w:t xml:space="preserve">and was isolated from a temperate fresh water lake</w:t>
      </w:r>
      <w:r>
        <w:t xml:space="preserve"> </w:t>
      </w:r>
      <w:r>
        <w:t xml:space="preserve">(34)</w:t>
      </w:r>
      <w:r>
        <w:t xml:space="preserve">. Of the families unique to the Neutral treatment, only one had a</w:t>
      </w:r>
      <w:r>
        <w:t xml:space="preserve"> </w:t>
      </w:r>
      <w:r>
        <w:t xml:space="preserve">prevalence greater than 2/12. This family,</w:t>
      </w:r>
      <w:r>
        <w:t xml:space="preserve"> </w:t>
      </w:r>
      <w:r>
        <w:rPr>
          <w:i/>
        </w:rPr>
        <w:t xml:space="preserve">Armatimonadaceae</w:t>
      </w:r>
      <w:r>
        <w:t xml:space="preserve">, was present in half</w:t>
      </w:r>
      <w:r>
        <w:t xml:space="preserve"> </w:t>
      </w:r>
      <w:r>
        <w:t xml:space="preserve">of the Neutral samples (prevalence = 6/12). The type strain for</w:t>
      </w:r>
      <w:r>
        <w:t xml:space="preserve"> </w:t>
      </w:r>
      <w:r>
        <w:rPr>
          <w:i/>
        </w:rPr>
        <w:t xml:space="preserve">Armatimonadaceae</w:t>
      </w:r>
      <w:r>
        <w:t xml:space="preserve"> </w:t>
      </w:r>
      <w:r>
        <w:t xml:space="preserve">was isolated from</w:t>
      </w:r>
      <w:r>
        <w:t xml:space="preserve"> </w:t>
      </w:r>
      <w:r>
        <w:t xml:space="preserve">the rhizosphere of</w:t>
      </w:r>
      <w:r>
        <w:t xml:space="preserve"> </w:t>
      </w:r>
      <w:r>
        <w:rPr>
          <w:i/>
        </w:rPr>
        <w:t xml:space="preserve">Phragmites australis</w:t>
      </w:r>
      <w:r>
        <w:t xml:space="preserve"> </w:t>
      </w:r>
      <w:r>
        <w:t xml:space="preserve">(35)</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rPr>
          <w:i/>
        </w:rPr>
        <w:t xml:space="preserve">Methylococcaceae.</w:t>
      </w:r>
      <w:r>
        <w:t xml:space="preserve"> </w:t>
      </w:r>
      <w:r>
        <w:t xml:space="preserve">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(36)</w:t>
      </w:r>
      <w:r>
        <w:t xml:space="preserve">.</w:t>
      </w:r>
      <w:r>
        <w:t xml:space="preserve"> </w:t>
      </w:r>
      <w:r>
        <w:t xml:space="preserve">The next family</w:t>
      </w:r>
      <w:r>
        <w:t xml:space="preserve"> </w:t>
      </w:r>
      <w:r>
        <w:t xml:space="preserve">was</w:t>
      </w:r>
      <w:r>
        <w:t xml:space="preserve"> </w:t>
      </w:r>
      <w:r>
        <w:rPr>
          <w:i/>
        </w:rPr>
        <w:t xml:space="preserve">Puniceicoccaceae</w:t>
      </w:r>
      <w:r>
        <w:t xml:space="preserv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(37)</w:t>
      </w:r>
      <w:r>
        <w:t xml:space="preserve">.</w:t>
      </w:r>
      <w:r>
        <w:t xml:space="preserve"> </w:t>
      </w:r>
      <w:r>
        <w:t xml:space="preserve">An ASV from the order Armatimonadales was also enriched in the Positive treatment.</w:t>
      </w:r>
      <w:r>
        <w:t xml:space="preserve"> </w:t>
      </w:r>
      <w:r>
        <w:t xml:space="preserve">This order also contains the family</w:t>
      </w:r>
      <w:r>
        <w:t xml:space="preserve"> </w:t>
      </w:r>
      <w:r>
        <w:rPr>
          <w:i/>
        </w:rPr>
        <w:t xml:space="preserve">Armatimonadaceae</w:t>
      </w:r>
      <w:r>
        <w:t xml:space="preserve">, which was</w:t>
      </w:r>
      <w:r>
        <w:t xml:space="preserve"> </w:t>
      </w:r>
      <w:r>
        <w:t xml:space="preserve">found to be unique to the Neutral treatment.</w:t>
      </w:r>
      <w:r>
        <w:t xml:space="preserve"> </w:t>
      </w:r>
      <w:r>
        <w:rPr>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(38)</w:t>
      </w:r>
      <w:r>
        <w:t xml:space="preserve">. Notably, the family</w:t>
      </w:r>
      <w:r>
        <w:t xml:space="preserve"> </w:t>
      </w:r>
      <w:r>
        <w:rPr>
          <w:i/>
        </w:rPr>
        <w:t xml:space="preserve">Gemmatimonadaceae</w:t>
      </w:r>
      <w:r>
        <w:t xml:space="preserve"> </w:t>
      </w:r>
      <w:r>
        <w:t xml:space="preserve">has a single bacterial bin, Candidatus</w:t>
      </w:r>
      <w:r>
        <w:t xml:space="preserve"> </w:t>
      </w:r>
      <w:r>
        <w:t xml:space="preserve">‘</w:t>
      </w:r>
      <w:r>
        <w:rPr>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(39)</w:t>
      </w:r>
      <w:r>
        <w:t xml:space="preserve">.</w:t>
      </w:r>
    </w:p>
    <w:p>
      <w:pPr>
        <w:pStyle w:val="Heading1"/>
      </w:pPr>
      <w:bookmarkStart w:id="35" w:name="new-discussion"/>
      <w:r>
        <w:t xml:space="preserve">New Discussion</w:t>
      </w:r>
      <w:bookmarkEnd w:id="35"/>
    </w:p>
    <w:p>
      <w:pPr>
        <w:pStyle w:val="FirstParagraph"/>
      </w:pPr>
      <w:r>
        <w:t xml:space="preserve">We observed a response to selection on whole-ecosystem soil methane oxidation rate, which demonstrates that variation in the microbiome generates variation in the rate of ecosystem function independent of the underlying abiotic conditions. While it is well understood that the microbiome mediates both host functions and environmental functions, a fundamental question in microbial ecology is whether we need to understand variation in the composition of microbiomes to understand variation in the rate of ecosystem functions. To address that question, we performed artificial ecosystem selection on soil microbiomes by selecting for ecosystems with high methane oxidation rates. We found that there was a significant increase in methane oxidation rate as a response to selection. Each generation of soil ecosystems was generated from the same pool of sterile soil substrate and a small inoculum from the previous generation. Therefore, it is unlikely that this response to selection was due to changes in the abiotic conditions of the environment. In addition, the response was only observed in the positive selection treatment and not in the neutral selection treatment, which shows that this was not a side effect of passaging in jars. Therefore, we conclude that variation in the microbiome can generate variation in ecosystem functions independent of the abiotic environmental conditions.</w:t>
      </w:r>
    </w:p>
    <w:p>
      <w:pPr>
        <w:pStyle w:val="TextBody"/>
      </w:pPr>
      <w:r>
        <w:t xml:space="preserve">In addition, we observed a large heritability for methane oxidation rate, which suggests that microbiome variation explains a large portion of the variation in methane oxidation rate relative to environmental variation in this system.</w:t>
      </w:r>
      <w:r>
        <w:t xml:space="preserve"> </w:t>
      </w:r>
      <w:r>
        <w:t xml:space="preserve">To estimate how much of the variation in methane oxidation rate can be explained by the presence, absence, and relative abundances of specific microbial taxa, we calculated the narrow-sense heritability of methane oxidation rate in this experiment. We found that the heritability was 1.08 (95% CI</w:t>
      </w:r>
      <w:r>
        <w:t xml:space="preserve"> </w:t>
      </w:r>
      <w:r>
        <w:t xml:space="preserve">[0.40, 1.75]). Heritability is theoretically bounded by 0 and 1 and, in a genomic context, a heritability of 1 would indicate that a trait is entirely genetically determined and thus offspring would have the exact same value of that trait as their parents. A heritability greater than 1 would indicate that offspring exceed the value of their parents. This is unlikely in the context of a genomic trait, but microbiomes are not limited by the constraints of genomes because microbes are not alleles and communities are not chromosomes. Therefore, it is entirely possible that complementarity within a microbial community could lead the shuffling of microbes to generate communities that exceed the trait values of their</w:t>
      </w:r>
      <w:r>
        <w:t xml:space="preserve"> </w:t>
      </w:r>
      <w:r>
        <w:t xml:space="preserve">“</w:t>
      </w:r>
      <w:r>
        <w:t xml:space="preserve">parent</w:t>
      </w:r>
      <w:r>
        <w:t xml:space="preserve">”</w:t>
      </w:r>
      <w:r>
        <w:t xml:space="preserve"> </w:t>
      </w:r>
      <w:r>
        <w:t xml:space="preserve">ecosystems. This could be considered an</w:t>
      </w:r>
      <w:r>
        <w:t xml:space="preserve"> </w:t>
      </w:r>
      <w:r>
        <w:t xml:space="preserve">“</w:t>
      </w:r>
      <w:r>
        <w:t xml:space="preserve">emergent property</w:t>
      </w:r>
      <w:r>
        <w:t xml:space="preserve">”</w:t>
      </w:r>
      <w:r>
        <w:t xml:space="preserve"> </w:t>
      </w:r>
      <w:r>
        <w:t xml:space="preserve">where a particular combination of microbes can lead to ecosystem-level trait values that exceed the sum of the trait value of each individual microbe. In any case, the large heritability we observed indicates that microbiome variation is a large contributor to the variation in methane oxidation in this experimental system.</w:t>
      </w:r>
    </w:p>
    <w:p>
      <w:pPr>
        <w:pStyle w:val="TextBody"/>
      </w:pPr>
      <w:r>
        <w:t xml:space="preserve">Notably, the Neutral selection treatment displayed a negative heritability of -0.58 (0.20). Negative heratibility estimates are common in artificial selection experiments with a random selection treatment. One explanation for this phenomenon is that traits that are favored experimental conditions are negatively correlated with the trait under study. In the case of this experiment, methane oxidation rate could be negatively correlated with traits that favor persistence in jars. This tradeoff would result in a negative heritability</w:t>
      </w:r>
    </w:p>
    <w:p>
      <w:pPr>
        <w:pStyle w:val="TextBody"/>
      </w:pPr>
      <w:r>
        <w:t xml:space="preserve">Next we wanted to address what aspects of the microbiome, in terms of alpha diversity, beta diversity, or individual taxa, explain this contribution of the microbiome to variation in methane oxidation rate. There are three ways that the microbiome could respond to selection in this experiment: gain or loss of species, changes in the relative abundances of species, or changes within the genomes of the constituent species. This of course assumes that there is no change in the absolute abundance or biomass of the entire microbiome, but since we are unable to measure absolute microbial biomass in soil we must make the simplifying assumption that biomass is constant across the jars. This is not an unreasonable assumption, given that most microbes in soil are heterotrophs and that those heterotrophs would drive overall biomass in the soil microbiome whereas autotrophs involved in the cycling of nutrients and the metabolism of C1 compounds would make up a relatively small fraction of the overall biomass.</w:t>
      </w:r>
    </w:p>
    <w:p>
      <w:pPr>
        <w:pStyle w:val="TextBody"/>
      </w:pPr>
      <w:r>
        <w:t xml:space="preserve">Richness at the ASV level did not vary between the two treatments and there were relatively few taxa gained or lost in the Positive selection treatment and none of these were prevalent across the 12 jars in passage 5. Therefore, the gain or loss of species is unlikely to explain the increase in methane oxidation rate. There were 13 taxa that were differentially abundant between the Positive and Neutral treatments; 9 were enriched in the Positive treatment and 4 were depleted in the Positive treatment. Of these taxa, only one is a clade known to contain methanotrophs. This group did not have a Family-level taxonomic assignment, but was placed within the Gammaproteobacteria. The Gammaproteobacteria include the type ??? methanotrophs in the family ???. However, the Gammaproteobacteria are one of the most diverse clades of bacteria and so this is not strong evidence for an increase in methanotrophs. We are unable to address whether taxa in this experiment could have evolved changes in their genomes as a result of selection because 16S rRNA gene sequences are unable to resolve these changes.</w:t>
      </w:r>
    </w:p>
    <w:p>
      <w:pPr>
        <w:pStyle w:val="TextBody"/>
      </w:pPr>
      <w:r>
        <w:t xml:space="preserve">Caveats and future directions.</w:t>
      </w:r>
    </w:p>
    <w:p>
      <w:pPr>
        <w:pStyle w:val="TextBody"/>
      </w:pPr>
      <w:r>
        <w:t xml:space="preserve">One caveat of this experimental design is that we intentionally eliminated as much environmental variation as possible. This was intentional, because we wanted to determine whether it was possible for variation in the microbiome to generate variation in methane oxidation rate independent of the environment. As a result, our heritability estimates are likely to be greater in this system than they would be in natural ecosystems with greater environmental variation. Future work could estimate heritability in experimental systems that manipulate environmental variation to evaluate how much of the variation in ecosystem function can be explained by microbiome variation outside the lab. This experiment also had a relatively small sample size which resulted in heritability estimates with wide error bars. Increasing replication would help us more accuaretly estimate this parameter. Lastly, using 16S rRNA gene sequencing we are unable to resolve genomic changes within taxa that may have undergone evolution. Future work could analyze an artificial ecosystem selection experiment using genome-resolved metagenomics to try to detect strain-level changes in the constituent taxa. This would help evaluate whether certain metabolic functions are gained or lost or whether existing functions changed in their efficiency.</w:t>
      </w:r>
    </w:p>
    <w:p>
      <w:pPr>
        <w:pStyle w:val="Heading1"/>
      </w:pPr>
      <w:bookmarkStart w:id="36" w:name="discussion"/>
      <w:r>
        <w:t xml:space="preserve">Discussion</w:t>
      </w:r>
      <w:bookmarkEnd w:id="36"/>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(40)</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(41)</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(41)</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(42,43)</w:t>
      </w:r>
      <w:r>
        <w:t xml:space="preserve">. This results in the use of polygenic risk scores for predicting</w:t>
      </w:r>
      <w:r>
        <w:t xml:space="preserve"> </w:t>
      </w:r>
      <w:r>
        <w:t xml:space="preserve">phenotype or disease risk in humans</w:t>
      </w:r>
      <w:r>
        <w:t xml:space="preserve"> </w:t>
      </w:r>
      <w:r>
        <w:t xml:space="preserve">(44,45)</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Heading1"/>
      </w:pPr>
      <w:bookmarkStart w:id="37" w:name="conclusion"/>
      <w:r>
        <w:t xml:space="preserve">Conclusion</w:t>
      </w:r>
      <w:bookmarkEnd w:id="37"/>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p>
      <w:pPr>
        <w:pStyle w:val="Heading1"/>
      </w:pPr>
      <w:bookmarkStart w:id="38" w:name="acknowledgments"/>
      <w:r>
        <w:t xml:space="preserve">Acknowledgments</w:t>
      </w:r>
      <w:bookmarkEnd w:id="38"/>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9" w:name="competing-interests"/>
      <w:r>
        <w:t xml:space="preserve">Competing Interests</w:t>
      </w:r>
      <w:bookmarkEnd w:id="39"/>
    </w:p>
    <w:p>
      <w:pPr>
        <w:pStyle w:val="FirstParagraph"/>
      </w:pPr>
      <w:r>
        <w:t xml:space="preserve">We declare we have no competing interests.</w:t>
      </w:r>
    </w:p>
    <w:p>
      <w:pPr>
        <w:pStyle w:val="Heading1"/>
      </w:pPr>
      <w:bookmarkStart w:id="40" w:name="data-availability-statement"/>
      <w:r>
        <w:t xml:space="preserve">Data Availability Statement</w:t>
      </w:r>
      <w:bookmarkEnd w:id="40"/>
    </w:p>
    <w:p>
      <w:pPr>
        <w:pStyle w:val="FirstParagraph"/>
      </w:pPr>
      <w:r>
        <w:t xml:space="preserve">The 16S rRNA sequencing data generated during the current study are available in the NCBI Sequence Read Archive (SRA) under BioProject accession number PRJNA832314,</w:t>
      </w:r>
      <w:r>
        <w:t xml:space="preserve"> </w:t>
      </w:r>
      <w:hyperlink r:id="rId41">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2">
        <w:r>
          <w:rPr>
            <w:rStyle w:val="InternetLink"/>
          </w:rPr>
          <w:t xml:space="preserve">https://github.com/amorris28/artificial_ecosystem_selection</w:t>
        </w:r>
      </w:hyperlink>
      <w:r>
        <w:t xml:space="preserve">.</w:t>
      </w:r>
    </w:p>
    <w:p>
      <w:pPr>
        <w:pStyle w:val="Heading1"/>
      </w:pPr>
      <w:bookmarkStart w:id="43" w:name="supplement"/>
      <w:r>
        <w:t xml:space="preserve">Supplement</w:t>
      </w:r>
      <w:bookmarkEnd w:id="43"/>
    </w:p>
    <w:p>
      <w:pPr>
        <w:pStyle w:val="Heading1"/>
      </w:pPr>
      <w:bookmarkStart w:id="44" w:name="references"/>
      <w:r>
        <w:t xml:space="preserve">References</w:t>
      </w:r>
      <w:bookmarkEnd w:id="44"/>
    </w:p>
    <w:bookmarkStart w:id="90" w:name="refs"/>
    <w:bookmarkStart w:id="45" w:name="ref-crowther2019"/>
    <w:p>
      <w:pPr>
        <w:pStyle w:val="Bibliography"/>
      </w:pPr>
      <w:r>
        <w:t xml:space="preserve">1. Crowther TW, Hoogen J van den, Wan J, Mayes MA, Keiser AD, Mo L, et al. The global soil community and its influence on biogeochemistry. Science. 2019 Aug;365(6455).</w:t>
      </w:r>
      <w:r>
        <w:t xml:space="preserve"> </w:t>
      </w:r>
    </w:p>
    <w:bookmarkEnd w:id="45"/>
    <w:bookmarkStart w:id="46" w:name="ref-cardinale2006"/>
    <w:p>
      <w:pPr>
        <w:pStyle w:val="Bibliography"/>
      </w:pPr>
      <w:r>
        <w:t xml:space="preserve">2. Cardinale BJ, Srivastava DS, Emmett Duffy J, Wright JP, Downing AL, Sankaran M, et al. Effects of biodiversity on the functioning of trophic groups and ecosystems. Nature. 2006 Oct;443(7114):989–92.</w:t>
      </w:r>
      <w:r>
        <w:t xml:space="preserve"> </w:t>
      </w:r>
    </w:p>
    <w:bookmarkEnd w:id="46"/>
    <w:bookmarkStart w:id="47" w:name="ref-hooper2012"/>
    <w:p>
      <w:pPr>
        <w:pStyle w:val="Bibliography"/>
      </w:pPr>
      <w:r>
        <w:t xml:space="preserve">3. Hooper DU, Adair EC, Cardinale BJ, Byrnes JEK, Hungate BA, Matulich KL, et al. A global synthesis reveals biodiversity loss as a major driver of ecosystem change. Nature. 2012 Jun;486(7401):105–8.</w:t>
      </w:r>
      <w:r>
        <w:t xml:space="preserve"> </w:t>
      </w:r>
    </w:p>
    <w:bookmarkEnd w:id="47"/>
    <w:bookmarkStart w:id="48" w:name="ref-gamfeldt2015"/>
    <w:p>
      <w:pPr>
        <w:pStyle w:val="Bibliography"/>
      </w:pPr>
      <w:r>
        <w:t xml:space="preserve">4. Gamfeldt L, Lefcheck JS, Byrnes JEK, Cardinale BJ, Duffy JE, Griffin JN. Marine biodiversity and ecosystem functioning: What’s known and what’s next? Oikos. 2015;124(3):252–65.</w:t>
      </w:r>
      <w:r>
        <w:t xml:space="preserve"> </w:t>
      </w:r>
    </w:p>
    <w:bookmarkEnd w:id="48"/>
    <w:bookmarkStart w:id="49" w:name="ref-rocca2015"/>
    <w:p>
      <w:pPr>
        <w:pStyle w:val="Bibliography"/>
      </w:pPr>
      <w:r>
        <w:t xml:space="preserve">5. Rocca JD, Hall EK, Lennon JT, Evans SE, Waldrop MP, Cotner JB, et al. Relationships between protein-encoding gene abundance and corresponding process are commonly assumed yet rarely observed. The ISME Journal. 2015 Aug;9(8):1693–9.</w:t>
      </w:r>
      <w:r>
        <w:t xml:space="preserve"> </w:t>
      </w:r>
    </w:p>
    <w:bookmarkEnd w:id="49"/>
    <w:bookmarkStart w:id="50" w:name="ref-graham2016"/>
    <w:p>
      <w:pPr>
        <w:pStyle w:val="Bibliography"/>
      </w:pPr>
      <w:r>
        <w:t xml:space="preserve">6.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50"/>
    <w:bookmarkStart w:id="51" w:name="ref-morris2020"/>
    <w:p>
      <w:pPr>
        <w:pStyle w:val="Bibliography"/>
      </w:pPr>
      <w:r>
        <w:t xml:space="preserve">7.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51"/>
    <w:bookmarkStart w:id="52" w:name="ref-swenson2000"/>
    <w:p>
      <w:pPr>
        <w:pStyle w:val="Bibliography"/>
      </w:pPr>
      <w:r>
        <w:t xml:space="preserve">8. Swenson W, Wilson DS, Elias R. Artificial ecosystem selection. Proceedings of the National Academy of Sciences. 2000 Aug;97(16):9110–4.</w:t>
      </w:r>
      <w:r>
        <w:t xml:space="preserve"> </w:t>
      </w:r>
    </w:p>
    <w:bookmarkEnd w:id="52"/>
    <w:bookmarkStart w:id="53" w:name="ref-panke-buisse2015"/>
    <w:p>
      <w:pPr>
        <w:pStyle w:val="Bibliography"/>
      </w:pPr>
      <w:r>
        <w:t xml:space="preserve">9. Panke-Buisse K, Poole AC, Goodrich JK, Ley RE, Kao-Kniffin J. Selection on soil microbiomes reveals reproducible impacts on plant function. The ISME journal. 2015 Mar;9(4):980–9.</w:t>
      </w:r>
      <w:r>
        <w:t xml:space="preserve"> </w:t>
      </w:r>
    </w:p>
    <w:bookmarkEnd w:id="53"/>
    <w:bookmarkStart w:id="54" w:name="ref-goodnight2000"/>
    <w:p>
      <w:pPr>
        <w:pStyle w:val="Bibliography"/>
      </w:pPr>
      <w:r>
        <w:t xml:space="preserve">10. Goodnight CJ. Heritability at the ecosystem level. Proceedings of the National Academy of Sciences. 2000 Aug;97(17):9365–6.</w:t>
      </w:r>
      <w:r>
        <w:t xml:space="preserve"> </w:t>
      </w:r>
    </w:p>
    <w:bookmarkEnd w:id="54"/>
    <w:bookmarkStart w:id="55" w:name="ref-arias-sanchez2019"/>
    <w:p>
      <w:pPr>
        <w:pStyle w:val="Bibliography"/>
      </w:pPr>
      <w:r>
        <w:t xml:space="preserve">11. Arias-Sánchez FI, Vessman B, Mitri S. Artificially selecting microbial communities: If we can breed dogs, why not microbiomes? PLOS Biology. 2019 Aug;17(8):e3000356.</w:t>
      </w:r>
      <w:r>
        <w:t xml:space="preserve"> </w:t>
      </w:r>
    </w:p>
    <w:bookmarkEnd w:id="55"/>
    <w:bookmarkStart w:id="56" w:name="ref-fuhrman2009"/>
    <w:p>
      <w:pPr>
        <w:pStyle w:val="Bibliography"/>
      </w:pPr>
      <w:r>
        <w:t xml:space="preserve">12. Fuhrman JA. Microbial community structure and its functional implications. Nature. 2009 May;459(7244):193–9.</w:t>
      </w:r>
      <w:r>
        <w:t xml:space="preserve"> </w:t>
      </w:r>
    </w:p>
    <w:bookmarkEnd w:id="56"/>
    <w:bookmarkStart w:id="57" w:name="ref-schimel1998"/>
    <w:p>
      <w:pPr>
        <w:pStyle w:val="Bibliography"/>
      </w:pPr>
      <w:r>
        <w:t xml:space="preserve">13. Schimel JP, Gulledge J. Microbial community structure and global trace gases. Global Change Biology. 1998;4(7):745–58.</w:t>
      </w:r>
      <w:r>
        <w:t xml:space="preserve"> </w:t>
      </w:r>
    </w:p>
    <w:bookmarkEnd w:id="57"/>
    <w:bookmarkStart w:id="58" w:name="ref-freitag2009"/>
    <w:p>
      <w:pPr>
        <w:pStyle w:val="Bibliography"/>
      </w:pPr>
      <w:r>
        <w:t xml:space="preserve">14. Freitag TE, Prosser JI. Correlation of Methane Production and Functional Gene Transcriptional Activity in a Peat Soil. Applied and Environmental Microbiology. 2009 Nov;75(21):6679–87.</w:t>
      </w:r>
      <w:r>
        <w:t xml:space="preserve"> </w:t>
      </w:r>
    </w:p>
    <w:bookmarkEnd w:id="58"/>
    <w:bookmarkStart w:id="59" w:name="ref-freitag2010"/>
    <w:p>
      <w:pPr>
        <w:pStyle w:val="Bibliography"/>
      </w:pPr>
      <w:r>
        <w:t xml:space="preserve">15. Freitag TE, Toet S, Ineson P, Prosser JI. Links between methane flux and transcriptional activities of methanogens and methane oxidizers in a blanket peat bog. FEMS Microbiology Ecology. 2010 Jul;73(1):157–65.</w:t>
      </w:r>
      <w:r>
        <w:t xml:space="preserve"> </w:t>
      </w:r>
    </w:p>
    <w:bookmarkEnd w:id="59"/>
    <w:bookmarkStart w:id="60" w:name="ref-meyer2020"/>
    <w:p>
      <w:pPr>
        <w:pStyle w:val="Bibliography"/>
      </w:pPr>
      <w:r>
        <w:t xml:space="preserve">16. Meyer KM, Morris AH, Webster K, Klein AM, Kroeger ME, Meredith LK, et al. Belowground changes to community structure alter methane-cycling dynamics in Amazonia. Environment International. 2020 Dec;145:106131.</w:t>
      </w:r>
      <w:r>
        <w:t xml:space="preserve"> </w:t>
      </w:r>
    </w:p>
    <w:bookmarkEnd w:id="60"/>
    <w:bookmarkStart w:id="61" w:name="ref-martiny2013"/>
    <w:p>
      <w:pPr>
        <w:pStyle w:val="Bibliography"/>
      </w:pPr>
      <w:r>
        <w:t xml:space="preserve">17. Martiny AC, Treseder K, Pusch G. Phylogenetic conservatism of functional traits in microorganisms. The ISME Journal. 2013 Apr;7(4):830–8.</w:t>
      </w:r>
      <w:r>
        <w:t xml:space="preserve"> </w:t>
      </w:r>
    </w:p>
    <w:bookmarkEnd w:id="61"/>
    <w:bookmarkStart w:id="62" w:name="ref-caporaso2011"/>
    <w:p>
      <w:pPr>
        <w:pStyle w:val="Bibliography"/>
      </w:pPr>
      <w:r>
        <w:t xml:space="preserve">18.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2"/>
    <w:bookmarkStart w:id="63" w:name="ref-fadrosh2014"/>
    <w:p>
      <w:pPr>
        <w:pStyle w:val="Bibliography"/>
      </w:pPr>
      <w:r>
        <w:t xml:space="preserve">19. Fadrosh DW, Ma B, Gajer P, Sengamalay N, Ott S, Brotman RM, et al. An improved dual-indexing approach for multiplexed 16S rRNA gene sequencing on the Illumina MiSeq platform. Microbiome. 2014 Feb;2(1):6.</w:t>
      </w:r>
      <w:r>
        <w:t xml:space="preserve"> </w:t>
      </w:r>
    </w:p>
    <w:bookmarkEnd w:id="63"/>
    <w:bookmarkStart w:id="64" w:name="ref-kozich2013"/>
    <w:p>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64"/>
    <w:bookmarkStart w:id="65" w:name="ref-rcoreteam2018"/>
    <w:p>
      <w:pPr>
        <w:pStyle w:val="Bibliography"/>
      </w:pPr>
      <w:r>
        <w:t xml:space="preserve">21. R Core Team. R: A language and environment for statistical computing. Vienna, Austria: R Foundation for Statistical Computing; 2018.</w:t>
      </w:r>
      <w:r>
        <w:t xml:space="preserve"> </w:t>
      </w:r>
    </w:p>
    <w:bookmarkEnd w:id="65"/>
    <w:bookmarkStart w:id="66" w:name="ref-callahan2016"/>
    <w:p>
      <w:pPr>
        <w:pStyle w:val="Bibliography"/>
      </w:pPr>
      <w:r>
        <w:t xml:space="preserve">22. Callahan BJ, McMurdie PJ, Rosen MJ, Han AW, Johnson AJA, Holmes SP. DADA2: High-resolution sample inference from Illumina amplicon data. Nature Methods. 2016 Jul;13(7):581–3.</w:t>
      </w:r>
      <w:r>
        <w:t xml:space="preserve"> </w:t>
      </w:r>
    </w:p>
    <w:bookmarkEnd w:id="66"/>
    <w:bookmarkStart w:id="67" w:name="ref-wang2007"/>
    <w:p>
      <w:pPr>
        <w:pStyle w:val="Bibliography"/>
      </w:pPr>
      <w:r>
        <w:t xml:space="preserve">23. Wang Q, Garrity GM, Tiedje JM, Cole JR. Naïve Bayesian Classifier for Rapid Assignment of rRNA Sequences into the New Bacterial Taxonomy. Applied and Environmental Microbiology. 2007 Aug;73(16):5261–7.</w:t>
      </w:r>
      <w:r>
        <w:t xml:space="preserve"> </w:t>
      </w:r>
    </w:p>
    <w:bookmarkEnd w:id="67"/>
    <w:bookmarkStart w:id="68" w:name="ref-davis2018"/>
    <w:p>
      <w:pPr>
        <w:pStyle w:val="Bibliography"/>
      </w:pPr>
      <w:r>
        <w:t xml:space="preserve">24. Davis NM, Proctor DM, Holmes SP, Relman DA, Callahan BJ. Simple statistical identification and removal of contaminant sequences in marker-gene and metagenomics data. Microbiome. 2018 Dec;6(1):226.</w:t>
      </w:r>
      <w:r>
        <w:t xml:space="preserve"> </w:t>
      </w:r>
    </w:p>
    <w:bookmarkEnd w:id="68"/>
    <w:bookmarkStart w:id="69" w:name="ref-falconer1996"/>
    <w:p>
      <w:pPr>
        <w:pStyle w:val="Bibliography"/>
      </w:pPr>
      <w:r>
        <w:t xml:space="preserve">25. Falconer DS(S, MacKay TFC. Introduction to quantitative genetics. Harlow : Prentice Hall; 1996.</w:t>
      </w:r>
      <w:r>
        <w:t xml:space="preserve"> </w:t>
      </w:r>
    </w:p>
    <w:bookmarkEnd w:id="69"/>
    <w:bookmarkStart w:id="70" w:name="ref-hurlbert1971"/>
    <w:p>
      <w:pPr>
        <w:pStyle w:val="Bibliography"/>
      </w:pPr>
      <w:r>
        <w:t xml:space="preserve">26. Hurlbert SH. The Nonconcept of Species Diversity: A Critique and Alternative Parameters. Ecology. 1971;52(4):577–86.</w:t>
      </w:r>
      <w:r>
        <w:t xml:space="preserve"> </w:t>
      </w:r>
    </w:p>
    <w:bookmarkEnd w:id="70"/>
    <w:bookmarkStart w:id="71" w:name="ref-oksanen2019"/>
    <w:p>
      <w:pPr>
        <w:pStyle w:val="Bibliography"/>
      </w:pPr>
      <w:r>
        <w:t xml:space="preserve">27. Oksanen J, Blanchet FG, Friendly M, Kindt R, Legendre P, McGlinn D, et al. Vegan: Community ecology package. 2019.</w:t>
      </w:r>
      <w:r>
        <w:t xml:space="preserve"> </w:t>
      </w:r>
    </w:p>
    <w:bookmarkEnd w:id="71"/>
    <w:bookmarkStart w:id="72" w:name="ref-bray1957"/>
    <w:p>
      <w:pPr>
        <w:pStyle w:val="Bibliography"/>
      </w:pPr>
      <w:r>
        <w:t xml:space="preserve">28. Bray JR, Curtis JT. An Ordination of the Upland Forest Communities of Southern Wisconsin. Ecological Monographs. 1957;27(4):325–49.</w:t>
      </w:r>
      <w:r>
        <w:t xml:space="preserve"> </w:t>
      </w:r>
    </w:p>
    <w:bookmarkEnd w:id="72"/>
    <w:bookmarkStart w:id="73" w:name="ref-mcardle2001"/>
    <w:p>
      <w:pPr>
        <w:pStyle w:val="Bibliography"/>
      </w:pPr>
      <w:r>
        <w:t xml:space="preserve">29. McArdle BH, Anderson MJ. Fitting Multivariate Models to Community Data: A Comment on Distance-Based Redundancy Analysis. Ecology. 2001;82(1):290–7.</w:t>
      </w:r>
      <w:r>
        <w:t xml:space="preserve"> </w:t>
      </w:r>
    </w:p>
    <w:bookmarkEnd w:id="73"/>
    <w:bookmarkStart w:id="74" w:name="ref-kaul2017"/>
    <w:p>
      <w:pPr>
        <w:pStyle w:val="Bibliography"/>
      </w:pPr>
      <w:r>
        <w:t xml:space="preserve">30. Kaul A, Mandal S, Davidov O, Peddada SD. Analysis of Microbiome Data in the Presence of Excess Zeros. Frontiers in Microbiology. 2017 Nov;8:2114.</w:t>
      </w:r>
      <w:r>
        <w:t xml:space="preserve"> </w:t>
      </w:r>
    </w:p>
    <w:bookmarkEnd w:id="74"/>
    <w:bookmarkStart w:id="75" w:name="ref-lin2020"/>
    <w:p>
      <w:pPr>
        <w:pStyle w:val="Bibliography"/>
      </w:pPr>
      <w:r>
        <w:t xml:space="preserve">31. Lin H, Peddada SD. Analysis of compositions of microbiomes with bias correction. Nature Communications. 2020 Jul;11(1):3514.</w:t>
      </w:r>
      <w:r>
        <w:t xml:space="preserve"> </w:t>
      </w:r>
    </w:p>
    <w:bookmarkEnd w:id="75"/>
    <w:bookmarkStart w:id="76" w:name="ref-fernandes2014"/>
    <w:p>
      <w:pPr>
        <w:pStyle w:val="Bibliography"/>
      </w:pPr>
      <w:r>
        <w:t xml:space="preserve">32.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6"/>
    <w:bookmarkStart w:id="77" w:name="ref-martin2020"/>
    <w:p>
      <w:pPr>
        <w:pStyle w:val="Bibliography"/>
      </w:pPr>
      <w:r>
        <w:t xml:space="preserve">33. Martin BD, Witten D, Willis AD. Modeling microbial abundances and dysbiosis with beta-binomial regression. The Annals of Applied Statistics. 2020 Mar;14(1):94–115.</w:t>
      </w:r>
      <w:r>
        <w:t xml:space="preserve"> </w:t>
      </w:r>
    </w:p>
    <w:bookmarkEnd w:id="77"/>
    <w:bookmarkStart w:id="78" w:name="ref-hahn2017"/>
    <w:p>
      <w:pPr>
        <w:pStyle w:val="Bibliography"/>
      </w:pPr>
      <w:r>
        <w:t xml:space="preserve">34. Hahn MW, Schmidt J, Koll U, Rohde M, Verbarg S, Pitt A, et al. Silvanigrella aquatica gen. Nov., sp. Nov., isolated from a freshwater lake, description of Silvanigrellaceae fam. Nov. And Silvanigrellales ord. Nov., reclassification of the order Bdellovibrionales in the class Oligoflexia, reclassification of the families Bacteriovoracaceae and Halobacteriovoraceae in the new order Bacteriovoracales ord. Nov., and reclassification of the family Pseudobacteriovoracaceae in the order Oligoflexales. International Journal of Systematic and Evolutionary Microbiology. 2017;67(8):2555–68.</w:t>
      </w:r>
      <w:r>
        <w:t xml:space="preserve"> </w:t>
      </w:r>
    </w:p>
    <w:bookmarkEnd w:id="78"/>
    <w:bookmarkStart w:id="79" w:name="ref-tamaki2011"/>
    <w:p>
      <w:pPr>
        <w:pStyle w:val="Bibliography"/>
      </w:pPr>
      <w:r>
        <w:t xml:space="preserve">35. Tamaki H, Tanaka Y, Matsuzawa H, Muramatsu M, Meng X-Y, Hanada S, et al. Armatimonas rosea gen. Nov., sp. Nov., of a novel bacterial phylum, Armatimonadetes phyl. Nov., formally called the candidate phylum OP10. International Journal of Systematic and Evolutionary Microbiology. 2011;61(6):1442–7.</w:t>
      </w:r>
      <w:r>
        <w:t xml:space="preserve"> </w:t>
      </w:r>
    </w:p>
    <w:bookmarkEnd w:id="79"/>
    <w:bookmarkStart w:id="80" w:name="ref-garrity2005"/>
    <w:p>
      <w:pPr>
        <w:pStyle w:val="Bibliography"/>
      </w:pPr>
      <w:r>
        <w:t xml:space="preserve">36. Garrity GM, Bell JA, Lilburn TG. Class III. Gammaproteobacteria class. Nov., p. 1. In: Brenner DJ, Krieg NR, Staley JT, Garrity GM, editors. Bergey’s manual of systematic bacteriology. Second. New York, NY: Springer; 2005.</w:t>
      </w:r>
      <w:r>
        <w:t xml:space="preserve"> </w:t>
      </w:r>
    </w:p>
    <w:bookmarkEnd w:id="80"/>
    <w:bookmarkStart w:id="81" w:name="ref-freitag2003"/>
    <w:p>
      <w:pPr>
        <w:pStyle w:val="Bibliography"/>
      </w:pPr>
      <w:r>
        <w:t xml:space="preserve">37. Freitag TE, Prosser JI. Community Structure of Ammonia-Oxidizing Bacteria within Anoxic Marine Sediments. Applied and Environmental Microbiology. 2003 Mar;</w:t>
      </w:r>
      <w:r>
        <w:t xml:space="preserve"> </w:t>
      </w:r>
    </w:p>
    <w:bookmarkEnd w:id="81"/>
    <w:bookmarkStart w:id="82" w:name="ref-mcbride2014"/>
    <w:p>
      <w:pPr>
        <w:pStyle w:val="Bibliography"/>
      </w:pPr>
      <w:r>
        <w:t xml:space="preserve">38.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2"/>
    <w:bookmarkStart w:id="83" w:name="ref-bay2021"/>
    <w:p>
      <w:pPr>
        <w:pStyle w:val="Bibliography"/>
      </w:pPr>
      <w:r>
        <w:t xml:space="preserve">39. Bay SK, Dong X, Bradley JA, Leung PM, Grinter R, Jirapanjawat T, et al. Trace gas oxidizers are widespread and active members of soil microbial communities. Nature Microbiology. 2021 Feb;6(2):246–56.</w:t>
      </w:r>
      <w:r>
        <w:t xml:space="preserve"> </w:t>
      </w:r>
    </w:p>
    <w:bookmarkEnd w:id="83"/>
    <w:bookmarkStart w:id="84" w:name="ref-visscher2008"/>
    <w:p>
      <w:pPr>
        <w:pStyle w:val="Bibliography"/>
      </w:pPr>
      <w:r>
        <w:t xml:space="preserve">40. Visscher PM, Hill WG, Wray NR. Heritability in the genomics era concepts and misconceptions. Nature Reviews Genetics. 2008 Apr;9(4):255–66.</w:t>
      </w:r>
      <w:r>
        <w:t xml:space="preserve"> </w:t>
      </w:r>
    </w:p>
    <w:bookmarkEnd w:id="84"/>
    <w:bookmarkStart w:id="85" w:name="ref-conner2003"/>
    <w:p>
      <w:pPr>
        <w:pStyle w:val="Bibliography"/>
      </w:pPr>
      <w:r>
        <w:t xml:space="preserve">41. Conner JK. Artificial Selection: A Powerful Tool for Ecologists. Ecology. 2003;84(7):1650–60.</w:t>
      </w:r>
      <w:r>
        <w:t xml:space="preserve"> </w:t>
      </w:r>
    </w:p>
    <w:bookmarkEnd w:id="85"/>
    <w:bookmarkStart w:id="86" w:name="ref-kerem1989"/>
    <w:p>
      <w:pPr>
        <w:pStyle w:val="Bibliography"/>
      </w:pPr>
      <w:r>
        <w:t xml:space="preserve">42. Kerem B, Rommens JM, Buchanan JA, Markiewicz D, Cox TK, Chakravarti A, et al. Identification of the cystic fibrosis gene: Genetic analysis. Science. 1989 Sep;245(4922):1073–80.</w:t>
      </w:r>
      <w:r>
        <w:t xml:space="preserve"> </w:t>
      </w:r>
    </w:p>
    <w:bookmarkEnd w:id="86"/>
    <w:bookmarkStart w:id="87" w:name="ref-macdonald1992"/>
    <w:p>
      <w:pPr>
        <w:pStyle w:val="Bibliography"/>
      </w:pPr>
      <w:r>
        <w:t xml:space="preserve">43. MacDonald ME, Novelletto A, Lin C, Tagle D, Barnes G, Bates G, et al. The Huntington’s disease candidate region exhibits many different haplotypes. Nature Genetics. 1992 May;1(2):99–103.</w:t>
      </w:r>
      <w:r>
        <w:t xml:space="preserve"> </w:t>
      </w:r>
    </w:p>
    <w:bookmarkEnd w:id="87"/>
    <w:bookmarkStart w:id="88" w:name="ref-reich2001"/>
    <w:p>
      <w:pPr>
        <w:pStyle w:val="Bibliography"/>
      </w:pPr>
      <w:r>
        <w:t xml:space="preserve">44. Reich DE, Lander ES. On the allelic spectrum of human disease. Trends in Genetics. 2001 Sep;17(9):502–10.</w:t>
      </w:r>
      <w:r>
        <w:t xml:space="preserve"> </w:t>
      </w:r>
    </w:p>
    <w:bookmarkEnd w:id="88"/>
    <w:bookmarkStart w:id="89" w:name="ref-hindorff2009"/>
    <w:p>
      <w:pPr>
        <w:pStyle w:val="Bibliography"/>
      </w:pPr>
      <w:r>
        <w:t xml:space="preserve">45. Hindorff LA, Sethupathy P, Junkins HA, Ramos EM, Mehta JP, Collins FS, et al. Potential etiologic and functional implications of genome-wide association loci for human diseases and traits. Proceedings of the National Academy of Sciences. 2009 Jun;106(23):9362–7.</w:t>
      </w:r>
      <w:r>
        <w:t xml:space="preserve"> </w:t>
      </w:r>
    </w:p>
    <w:bookmarkEnd w:id="89"/>
    <w:bookmarkEnd w:id="90"/>
    <w:p>
      <w:pPr>
        <w:pStyle w:val="Heading1"/>
      </w:pPr>
      <w:bookmarkStart w:id="91" w:name="figures"/>
      <w:r>
        <w:t xml:space="preserve">Figures</w:t>
      </w:r>
      <w:bookmarkEnd w:id="91"/>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92"/>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93"/>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94"/>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p>
      <w:pPr>
        <w:pStyle w:val="TextBody"/>
      </w:pPr>
      <w:r>
        <w:t xml:space="preserve">Table 1: PERMANOVA on Bray-Curtis dissimilarities.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SumOfSqs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p.value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3.4416620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0.55838191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73.268205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0.3654192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0.05928632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7.779267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passage:treat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0.2897205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0.04700482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6.167748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0.005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Residual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2.0668328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0.33532695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6.1636345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1.00000000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bl>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hyperlink" Id="rId42" Target="https://github.com/amorris28/artificial_ecosystem_selection" TargetMode="External" /><Relationship Type="http://schemas.openxmlformats.org/officeDocument/2006/relationships/hyperlink" Id="rId41"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amorris28/artificial_ecosystem_selection" TargetMode="External" /><Relationship Type="http://schemas.openxmlformats.org/officeDocument/2006/relationships/hyperlink" Id="rId41"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2022-07-14T01:02:58Z</dcterms:created>
  <dcterms:modified xsi:type="dcterms:W3CDTF">2022-07-14T01:02:58Z</dcterms:modified>
</cp:coreProperties>
</file>

<file path=docProps/custom.xml><?xml version="1.0" encoding="utf-8"?>
<Properties xmlns="http://schemas.openxmlformats.org/officeDocument/2006/custom-properties" xmlns:vt="http://schemas.openxmlformats.org/officeDocument/2006/docPropsVTypes"/>
</file>