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8.png" ContentType="image/png"/>
  <Override PartName="/word/media/rId141.png" ContentType="image/png"/>
  <Override PartName="/word/media/rId135.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it is difficult to</w:t>
      </w:r>
      <w:r>
        <w:t xml:space="preserve"> </w:t>
      </w:r>
      <w:r>
        <w:t xml:space="preserve">manipulate microbiome composition directly, we cannot know a priori which members of the</w:t>
      </w:r>
      <w:r>
        <w:t xml:space="preserve"> </w:t>
      </w:r>
      <w:r>
        <w:t xml:space="preserve">microbiome limit the rate of an ecosystem function, and microbiomes covary with</w:t>
      </w:r>
      <w:r>
        <w:t xml:space="preserve"> </w:t>
      </w:r>
      <w:r>
        <w:t xml:space="preserve">the environment.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to 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responded to selection included 13</w:t>
      </w:r>
      <w:r>
        <w:t xml:space="preserve"> </w:t>
      </w:r>
      <w:r>
        <w:t xml:space="preserve">families such as</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variation in microbiome composition can contribute to</w:t>
      </w:r>
      <w:r>
        <w:t xml:space="preserve"> </w:t>
      </w:r>
      <w:r>
        <w:t xml:space="preserve">variation in the rate of ecosystem function.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importance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our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we</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We applied artificial ecosystem selection on soil microbiomes by selecting on</w:t>
      </w:r>
      <w:r>
        <w:t xml:space="preserve"> </w:t>
      </w:r>
      <w:r>
        <w:t xml:space="preserve">the ecosystem-scale CH</w:t>
      </w:r>
      <w:r>
        <w:rPr>
          <w:vertAlign w:val="subscript"/>
        </w:rPr>
        <w:t xml:space="preserve">4</w:t>
      </w:r>
      <w:r>
        <w:t xml:space="preserve"> </w:t>
      </w:r>
      <w:r>
        <w:t xml:space="preserve">oxidation rate. Using this approach, we were able to</w:t>
      </w:r>
      <w:r>
        <w:t xml:space="preserve"> </w:t>
      </w:r>
      <w:r>
        <w:t xml:space="preserve">estimate how much of the variation in CH</w:t>
      </w:r>
      <w:r>
        <w:rPr>
          <w:vertAlign w:val="subscript"/>
        </w:rPr>
        <w:t xml:space="preserve">4</w:t>
      </w:r>
      <w:r>
        <w:t xml:space="preserve"> </w:t>
      </w:r>
      <w:r>
        <w:t xml:space="preserve">oxidation rate was associated with</w:t>
      </w:r>
      <w:r>
        <w:t xml:space="preserve"> </w:t>
      </w:r>
      <w:r>
        <w:t xml:space="preserve">variation in the microbiome. To identify which microorganisms could be markers</w:t>
      </w:r>
      <w:r>
        <w:t xml:space="preserve"> </w:t>
      </w:r>
      <w:r>
        <w:t xml:space="preserve">of CH</w:t>
      </w:r>
      <w:r>
        <w:rPr>
          <w:vertAlign w:val="subscript"/>
        </w:rPr>
        <w:t xml:space="preserve">4</w:t>
      </w:r>
      <w:r>
        <w:t xml:space="preserve"> </w:t>
      </w:r>
      <w:r>
        <w:t xml:space="preserve">oxidation rate, we compared the composition of the artificially</w:t>
      </w:r>
      <w:r>
        <w:t xml:space="preserve"> </w:t>
      </w:r>
      <w:r>
        <w:t xml:space="preserve">selected microbiomes to a control set of microbiomes without selection. We</w:t>
      </w:r>
      <w:r>
        <w:t xml:space="preserve"> </w:t>
      </w:r>
      <w:r>
        <w:t xml:space="preserve">then evaluated whether these markers met our underlying assumptions about</w:t>
      </w:r>
      <w:r>
        <w:t xml:space="preserve"> </w:t>
      </w:r>
      <w:r>
        <w:t xml:space="preserve">which taxa limit the rate of ecosystem 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(24)</w:t>
      </w:r>
      <w:r>
        <w:t xml:space="preserve">.</w:t>
      </w:r>
      <w:r>
        <w:t xml:space="preserve"> </w:t>
      </w:r>
      <w:r>
        <w:t xml:space="preserve">Decontam identified 16 potential contaminants based</w:t>
      </w:r>
      <w:r>
        <w:t xml:space="preserve"> </w:t>
      </w:r>
      <w:r>
        <w:t xml:space="preserve">on prevalence and frequency. Visual inspection of abundance-concentration</w:t>
      </w:r>
      <w:r>
        <w:t xml:space="preserve"> </w:t>
      </w:r>
      <w:r>
        <w:t xml:space="preserve">plots indicated that 9 of these were likely contaminants and these</w:t>
      </w:r>
      <w:r>
        <w:t xml:space="preserve"> </w:t>
      </w:r>
      <w:r>
        <w:t xml:space="preserve">ASVs were removed.</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w:t>
      </w:r>
      <w:r>
        <w:t xml:space="preserve"> </w:t>
      </w:r>
      <w:r>
        <w:t xml:space="preserve">response to selection, we tested a difference in slopes between the positive</w:t>
      </w:r>
      <w:r>
        <w:t xml:space="preserve"> </w:t>
      </w:r>
      <w:r>
        <w:t xml:space="preserve">and neutral 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nested models with and without treatment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w:t>
      </w:r>
      <w:r>
        <w:t xml:space="preserve"> </w:t>
      </w:r>
      <w:r>
        <w:t xml:space="preserve">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(27,29)</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(27,29)</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 Lastly, to test differentially abundant methanotrophs, we subset all ASVs within methanotrophic families and tested their differential abundance aggregated at the family and genus level using</w:t>
      </w:r>
      <w:r>
        <w:t xml:space="preserve"> </w:t>
      </w:r>
      <w:r>
        <w:t xml:space="preserve">‘</w:t>
      </w:r>
      <w:r>
        <w:t xml:space="preserve">corncob</w:t>
      </w:r>
      <w:r>
        <w:t xml:space="preserve">’</w:t>
      </w:r>
      <w:r>
        <w:t xml:space="preserve">.</w:t>
      </w:r>
    </w:p>
    <w:bookmarkEnd w:id="27"/>
    <w:bookmarkEnd w:id="28"/>
    <w:bookmarkStart w:id="34"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3.85,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bookmarkEnd w:id="29"/>
    <w:bookmarkStart w:id="30" w:name="heritability-of-methane-oxidation"/>
    <w:p>
      <w:pPr>
        <w:pStyle w:val="Heading2"/>
      </w:pPr>
      <w:r>
        <w:t xml:space="preserve">Heritability of methane oxidation</w:t>
      </w:r>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w:t>
      </w:r>
    </w:p>
    <w:bookmarkEnd w:id="30"/>
    <w:bookmarkStart w:id="31" w:name="taxonomic-richness"/>
    <w:p>
      <w:pPr>
        <w:pStyle w:val="Heading2"/>
      </w:pPr>
      <w:r>
        <w:t xml:space="preserve">Taxonomic richness</w:t>
      </w:r>
    </w:p>
    <w:p>
      <w:pPr>
        <w:pStyle w:val="FirstParagraph"/>
      </w:pPr>
      <w:r>
        <w:t xml:space="preserve">Median ASV richness decreased from 3427.0 (783.8) in Passage 2 to 1579.0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1"/>
    <w:bookmarkStart w:id="32"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0.002),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0.002).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0.015)</w:t>
      </w:r>
    </w:p>
    <w:bookmarkEnd w:id="32"/>
    <w:bookmarkStart w:id="33"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(34)</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(35)</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(36)</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(37)</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(38)</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(40)</w:t>
      </w:r>
      <w:r>
        <w:t xml:space="preserve">. Based on this analysis,</w:t>
      </w:r>
      <w:r>
        <w:t xml:space="preserve"> </w:t>
      </w:r>
      <w:r>
        <w:t xml:space="preserve">it appears that no methanotrophs were enriched in the Positive treatment.</w:t>
      </w:r>
    </w:p>
    <w:bookmarkEnd w:id="33"/>
    <w:bookmarkEnd w:id="34"/>
    <w:bookmarkStart w:id="35" w:name="new-discussion"/>
    <w:p>
      <w:pPr>
        <w:pStyle w:val="Heading1"/>
      </w:pPr>
      <w:r>
        <w:t xml:space="preserve">New Discussion</w:t>
      </w:r>
    </w:p>
    <w:p>
      <w:pPr>
        <w:pStyle w:val="FirstParagraph"/>
      </w:pPr>
      <w:r>
        <w:t xml:space="preserve">We observed a response to selection on whole-ecosystem soil methane oxidation rate, which demonstrates that variation in the microbiome can generate variation in the rate of ecosystem function independent of the underlying environmental conditions. While it is well understood that the microbiome mediates a variety of ecosystem functions, a fundamental question in microbial ecology is whether we need to understand variation in the composition of microbiomes to understand variation in the rate of ecosystem functions. To address that question, we performed artificial ecosystem selection on soil microbiomes by selecting for ecosystems with high methane oxidation rates. We found that there was a significant increase in methane oxidation rate as a response to selection. Each generation of soil ecosystems was created from the same pool of sterile soil substrate and a small inoculum from the previous generation. Therefore, it is unlikely that this response to selection was due to changes in the abiotic conditions of the ecosystem. In addition, the response was only observed in the Positive treatment and not in the Neutral treatment, which shows that this was not a side effect of passaging in jars. Therefore, we conclude that variation in the microbiome can generate variation in ecosystem functions independent of the environment.</w:t>
      </w:r>
    </w:p>
    <w:p>
      <w:pPr>
        <w:pStyle w:val="TextBody"/>
      </w:pPr>
      <w:r>
        <w:t xml:space="preserve">In addition, we observed a large heritability for methane oxidation rate, which suggests that microbiome variation explains a large portion of the variation in methane oxidation rate relative to environmental variation in this system.</w:t>
      </w:r>
      <w:r>
        <w:t xml:space="preserve"> </w:t>
      </w:r>
      <w:r>
        <w:t xml:space="preserve">To estimate how much of the variation in methane oxidation rate can be explained by the presence, absence, and relative abundances of specific microbial taxa, we calculated the narrow-sense heritability of methane oxidation rate, which was 1.08 for the Positive treatment. A heritability of 1 would indicate that a trait is entirely genetically determined and thus offspring would have the exact same value of that trait as their parents. A heritability greater than 1 indicates that offspring exceed the value of their parents. This is unlikely in the context of a genomic trait, but microbiomes are not limited by the constraints of genomes because microbes are not alleles and communities are not chromosomes. Therefore, complementarity within a microbial community could result in offspring communities that exceed the trait values of their</w:t>
      </w:r>
      <w:r>
        <w:t xml:space="preserve"> </w:t>
      </w:r>
      <w:r>
        <w:t xml:space="preserve">“</w:t>
      </w:r>
      <w:r>
        <w:t xml:space="preserve">parent</w:t>
      </w:r>
      <w:r>
        <w:t xml:space="preserve">”</w:t>
      </w:r>
      <w:r>
        <w:t xml:space="preserve"> </w:t>
      </w:r>
      <w:r>
        <w:t xml:space="preserve">ecosystems. The large heritability we observed indicates that microbiome variation is a large contributor to the variation in methane oxidation in this experimental system.</w:t>
      </w:r>
    </w:p>
    <w:p>
      <w:pPr>
        <w:pStyle w:val="TextBody"/>
      </w:pPr>
      <w:r>
        <w:t xml:space="preserve">Next, we wanted to address what aspects of the microbiome, in terms of alpha diversity, beta diversity, or individual taxa, explain this contribution of the microbiome to variation in methane oxidation rate. There are three ways that the microbiome could respond to selection in this experiment: gain or loss of species, changes in the relative abundances of species, or changes within the genomes of the constituent species. Using 16S rRNA gene sequences, we are unable to address the third possibility of whether taxa in this experiment could have evolved changes in their genomes as a result of selection. Therefore, we will focus on the first two possibilities.</w:t>
      </w:r>
    </w:p>
    <w:p>
      <w:pPr>
        <w:pStyle w:val="TextBody"/>
      </w:pPr>
      <w:r>
        <w:t xml:space="preserve">Richness at the ASV level did not vary between the two treatments and there were relatively few taxa gained or lost in the Positive selection treatment and none of these were prevalent across the 12 jars in passage 5. Therefore, the gain or loss of species is unlikely to explain the increase in methane oxidation rate. However, we found that Bray-Curtis dissimilarity was greater between the two treatments in Passage 5 than within each treatment and was correlated with methane oxidation rate, which suggests that changes in the relative abundance of taxa could explain the response to selection. A difference in composition between the two treatments could be a direct result of selection for organisms that contribute to CH</w:t>
      </w:r>
      <w:r>
        <w:rPr>
          <w:vertAlign w:val="subscript"/>
        </w:rPr>
        <w:t xml:space="preserve">4</w:t>
      </w:r>
      <w:r>
        <w:t xml:space="preserve"> </w:t>
      </w:r>
      <w:r>
        <w:t xml:space="preserve">oxidation or a result of ecological drift over the course of the experiment. In the former case, that would suggest that changes in the relative abundance of specific microbial taxa could explain the response to selection on CH</w:t>
      </w:r>
      <w:r>
        <w:rPr>
          <w:vertAlign w:val="subscript"/>
        </w:rPr>
        <w:t xml:space="preserve">4</w:t>
      </w:r>
      <w:r>
        <w:t xml:space="preserve"> </w:t>
      </w:r>
      <w:r>
        <w:t xml:space="preserve">oxidation rate.</w:t>
      </w:r>
    </w:p>
    <w:p>
      <w:pPr>
        <w:pStyle w:val="TextBody"/>
      </w:pPr>
      <w:r>
        <w:t xml:space="preserve">Even though we observed an increase in methane oxidation rate in the Positive treatment and a difference in composition between the two treatments, we did not observe an increase in the relative abundance of methanotrophs. This contrasts with the usual assumption that the final step in a metabolic pathway is the rate-limiting step (citation?). In certain ecosystems, methane oxidation rate is correlated with the abundance of methanotrophs as estimated from marker genes (Cite. I know that one methanogenesis paper, not sure about methanotrophy). However, it does not appear generally true that the rate of an ecosystem function is limited by the abundance of the gene that encodes the final step in that pathway (cite rocca, maybe some of the methane work.) Since we did not observe an increase in the relative abundance of methanotrophs in the treatment that displayed an increase in methane oxidation rate, we may have to consider other microbial functional groups within an ecosystem to understand what drives changes in the rate of ecosystem functions.</w:t>
      </w:r>
    </w:p>
    <w:p>
      <w:pPr>
        <w:pStyle w:val="TextBody"/>
      </w:pPr>
      <w:r>
        <w:t xml:space="preserve">One of the goals of this study was to determine how much of the variation in ecosystem function is due to variation in the microbiome. In this experiment, we eliminated as much environmental variation as possible. This was intentional, because we wanted to determine whether it was possible for variation in the microbiome to generate variation in methane oxidation rate independent of the environment. As a result, our heritability estimates are likely to be greater than they would be in natural ecosystems with greater environmental variation. Future work could estimate heritability in experimental systems that manipulate environmental variation or across natural ecosystems to evaluate how much of the variation in ecosystem function can be explained by microbiome variation outside the lab. This experiment also had a relatively small sample size which resulted in heritability estimates with wide error bars. Increasing replication would help us more accurately estimate this parameter and give us a better understanding of the relative importance of environmental variation and microbiome variation in the rate of microbiome-mediated ecosystem functions.</w:t>
      </w:r>
    </w:p>
    <w:p>
      <w:pPr>
        <w:pStyle w:val="TextBody"/>
      </w:pPr>
      <w:r>
        <w:t xml:space="preserve">Another important question is whether selection at the ecosystem scale resulted in within-strain evolution. Using 16S rRNA gene sequencing we are unable to resolve genomic changes within taxa that may have undergone evolution. Future work could analyze an artificial ecosystem selection experiment using genome-resolved metagenomics to try to detect strain-level changes in the constituent taxa. This would help evaluate whether certain metabolic pathways were enriched in the positive selection treatment or if functional genes changed in frequency within the microbiome.</w:t>
      </w:r>
    </w:p>
    <w:p>
      <w:pPr>
        <w:pStyle w:val="TextBody"/>
      </w:pPr>
      <w:r>
        <w:t xml:space="preserve">As more is understood about the role of the microbiome in regulating ecosystem functions and the specific taxa involved, more detailed experiments could selectively add or remove important taxa or manipulate their relative abundance to start to estimate the quantitative relationship between specific taxa and the rate of an ecosystem function. Both our differential abundance analysis and this reductionist approach to manipulating individual taxa assumes that taxa act individually on ecosystem function. However, it is much more likely that the microbiome affects the rate of ecosystem function through the interactions of multiple taxa and future analyses with greater replication should test the role of multiple taxa simultaneously by, for example, using machine learning methods</w:t>
      </w:r>
      <w:r>
        <w:t xml:space="preserve"> </w:t>
      </w:r>
      <w:r>
        <w:t xml:space="preserve">(41)</w:t>
      </w:r>
    </w:p>
    <w:p>
      <w:pPr>
        <w:pStyle w:val="TextBody"/>
      </w:pPr>
      <w:r>
        <w:t xml:space="preserve">A fundamental question in microbial ecology is whether variation in the microbiome contributes to variation in ecosystem function. We performed artificial ecosystem selection on soil methane oxidation rate to test the relationship between microbiome variation and soil methane oxidation rate. We observed a response to selection on soil methane oxidation rate and found a high heritability for methane oxidation, which suggests that variation in the microbiome contributes to variation in soil methane oxidation rate. Surprisingly, we did not observe an increase in the relative of abundance of methanotrophs as a response to selection. Future research could estimate heritability under greater environmental variation to understand how much of the variation in methane oxidation rate is due to variation in the microbiome in a natural ecosystem. In addition, future selection experiments could use genome-resolved metagenomics to observe within-strain evolution and test changes in the functional pathways of the microbiome as a response to selection to determine what aspects of the microbiome explain this increase in oxidation rate. This study demonstrates that soil methane oxidation rate can vary greatly with variation in the microbiome and opens up future research opportunities to establish a more detailed understanding of the relationship between the microbiome and ecosystem function.</w:t>
      </w:r>
    </w:p>
    <w:bookmarkEnd w:id="35"/>
    <w:bookmarkStart w:id="36" w:name="old-discussion"/>
    <w:p>
      <w:pPr>
        <w:pStyle w:val="Heading1"/>
      </w:pPr>
      <w:r>
        <w:t xml:space="preserve">Old Discussion</w:t>
      </w:r>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(42)</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(43)</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(43)</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(44,45)</w:t>
      </w:r>
      <w:r>
        <w:t xml:space="preserve">. This results in the use of polygenic risk scores for predicting</w:t>
      </w:r>
      <w:r>
        <w:t xml:space="preserve"> </w:t>
      </w:r>
      <w:r>
        <w:t xml:space="preserve">phenotype or disease risk in humans</w:t>
      </w:r>
      <w:r>
        <w:t xml:space="preserve"> </w:t>
      </w:r>
      <w:r>
        <w:t xml:space="preserve">(46,47)</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TextBody"/>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bookmarkEnd w:id="36"/>
    <w:bookmarkStart w:id="37"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7"/>
    <w:bookmarkStart w:id="38" w:name="competing-interests"/>
    <w:p>
      <w:pPr>
        <w:pStyle w:val="Heading1"/>
      </w:pPr>
      <w:r>
        <w:t xml:space="preserve">Competing Interests</w:t>
      </w:r>
    </w:p>
    <w:p>
      <w:pPr>
        <w:pStyle w:val="FirstParagraph"/>
      </w:pPr>
      <w:r>
        <w:t xml:space="preserve">We declare we have no competing interests.</w:t>
      </w:r>
    </w:p>
    <w:bookmarkEnd w:id="38"/>
    <w:bookmarkStart w:id="41" w:name="data-availability-statement"/>
    <w:p>
      <w:pPr>
        <w:pStyle w:val="Heading1"/>
      </w:pPr>
      <w:r>
        <w:t xml:space="preserve">Data Availability Statement</w:t>
      </w:r>
    </w:p>
    <w:p>
      <w:pPr>
        <w:pStyle w:val="FirstParagraph"/>
      </w:pPr>
      <w:r>
        <w:t xml:space="preserve">The 16S rRNA sequencing data generated during the current study are available in the NCBI Sequence Read Archive (SRA) under BioProject accession number PRJNA832314,</w:t>
      </w:r>
      <w:r>
        <w:t xml:space="preserve"> </w:t>
      </w:r>
      <w:hyperlink r:id="rId39">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0">
        <w:r>
          <w:rPr>
            <w:rStyle w:val="InternetLink"/>
          </w:rPr>
          <w:t xml:space="preserve">https://github.com/amorris28/artificial_ecosystem_selection</w:t>
        </w:r>
      </w:hyperlink>
      <w:r>
        <w:t xml:space="preserve">.</w:t>
      </w:r>
    </w:p>
    <w:bookmarkEnd w:id="41"/>
    <w:bookmarkStart w:id="42" w:name="supplement"/>
    <w:p>
      <w:pPr>
        <w:pStyle w:val="Heading1"/>
      </w:pPr>
      <w:r>
        <w:t xml:space="preserve">Supplement</w:t>
      </w:r>
    </w:p>
    <w:bookmarkEnd w:id="42"/>
    <w:bookmarkStart w:id="131" w:name="references"/>
    <w:p>
      <w:pPr>
        <w:pStyle w:val="Heading1"/>
      </w:pPr>
      <w:r>
        <w:t xml:space="preserve">References</w:t>
      </w:r>
    </w:p>
    <w:bookmarkStart w:id="130" w:name="refs"/>
    <w:bookmarkStart w:id="44" w:name="ref-crowther2019"/>
    <w:p>
      <w:pPr>
        <w:pStyle w:val="Bibliography"/>
      </w:pPr>
      <w:r>
        <w:t xml:space="preserve">1.</w:t>
      </w:r>
      <w:r>
        <w:t xml:space="preserve"> </w:t>
      </w:r>
      <w:r>
        <w:t xml:space="preserve">	</w:t>
      </w:r>
      <w:r>
        <w:t xml:space="preserve">Crowther TW, Hoogen J van den, Wan J, Mayes MA, Keiser AD, Mo L, et al.</w:t>
      </w:r>
      <w:r>
        <w:t xml:space="preserve"> </w:t>
      </w:r>
      <w:hyperlink r:id="rId43">
        <w:r>
          <w:rPr>
            <w:rStyle w:val="InternetLink"/>
          </w:rPr>
          <w:t xml:space="preserve">The global soil community and its influence on biogeochemistry</w:t>
        </w:r>
      </w:hyperlink>
      <w:r>
        <w:t xml:space="preserve">. Science. 2019 Aug;365(6455).</w:t>
      </w:r>
      <w:r>
        <w:t xml:space="preserve"> </w:t>
      </w:r>
    </w:p>
    <w:bookmarkEnd w:id="44"/>
    <w:bookmarkStart w:id="46" w:name="ref-cardinale2006"/>
    <w:p>
      <w:pPr>
        <w:pStyle w:val="Bibliography"/>
      </w:pPr>
      <w:r>
        <w:t xml:space="preserve">2.</w:t>
      </w:r>
      <w:r>
        <w:t xml:space="preserve"> </w:t>
      </w:r>
      <w:r>
        <w:t xml:space="preserve">	</w:t>
      </w:r>
      <w:r>
        <w:t xml:space="preserve">Cardinale BJ, Srivastava DS, Emmett Duffy J, Wright JP, Downing AL, Sankaran M, et al.</w:t>
      </w:r>
      <w:r>
        <w:t xml:space="preserve"> </w:t>
      </w:r>
      <w:hyperlink r:id="rId45">
        <w:r>
          <w:rPr>
            <w:rStyle w:val="InternetLink"/>
          </w:rPr>
          <w:t xml:space="preserve">Effects of biodiversity on the functioning of trophic groups and ecosystems</w:t>
        </w:r>
      </w:hyperlink>
      <w:r>
        <w:t xml:space="preserve">. Nature. 2006 Oct;443(7114):989–92.</w:t>
      </w:r>
      <w:r>
        <w:t xml:space="preserve"> </w:t>
      </w:r>
    </w:p>
    <w:bookmarkEnd w:id="46"/>
    <w:bookmarkStart w:id="48" w:name="ref-hooper2012"/>
    <w:p>
      <w:pPr>
        <w:pStyle w:val="Bibliography"/>
      </w:pPr>
      <w:r>
        <w:t xml:space="preserve">3.</w:t>
      </w:r>
      <w:r>
        <w:t xml:space="preserve"> </w:t>
      </w:r>
      <w:r>
        <w:t xml:space="preserve">	</w:t>
      </w:r>
      <w:r>
        <w:t xml:space="preserve">Hooper DU, Adair EC, Cardinale BJ, Byrnes JEK, Hungate BA, Matulich KL, et al.</w:t>
      </w:r>
      <w:r>
        <w:t xml:space="preserve"> </w:t>
      </w:r>
      <w:hyperlink r:id="rId47">
        <w:r>
          <w:rPr>
            <w:rStyle w:val="InternetLink"/>
          </w:rPr>
          <w:t xml:space="preserve">A global synthesis reveals biodiversity loss as a major driver of ecosystem change</w:t>
        </w:r>
      </w:hyperlink>
      <w:r>
        <w:t xml:space="preserve">. Nature. 2012 Jun;486(7401):105–8.</w:t>
      </w:r>
      <w:r>
        <w:t xml:space="preserve"> </w:t>
      </w:r>
    </w:p>
    <w:bookmarkEnd w:id="48"/>
    <w:bookmarkStart w:id="50" w:name="ref-gamfeldt2015"/>
    <w:p>
      <w:pPr>
        <w:pStyle w:val="Bibliography"/>
      </w:pPr>
      <w:r>
        <w:t xml:space="preserve">4.</w:t>
      </w:r>
      <w:r>
        <w:t xml:space="preserve"> </w:t>
      </w:r>
      <w:r>
        <w:t xml:space="preserve">	</w:t>
      </w:r>
      <w:r>
        <w:t xml:space="preserve">Gamfeldt L, Lefcheck JS, Byrnes JEK, Cardinale BJ, Duffy JE, Griffin JN.</w:t>
      </w:r>
      <w:r>
        <w:t xml:space="preserve"> </w:t>
      </w:r>
      <w:hyperlink r:id="rId49">
        <w:r>
          <w:rPr>
            <w:rStyle w:val="InternetLink"/>
          </w:rPr>
          <w:t xml:space="preserve">Marine biodiversity and ecosystem functioning: What’s known and what’s next?</w:t>
        </w:r>
      </w:hyperlink>
      <w:r>
        <w:t xml:space="preserve"> Oikos. 2015;124(3):252–65.</w:t>
      </w:r>
      <w:r>
        <w:t xml:space="preserve"> </w:t>
      </w:r>
    </w:p>
    <w:bookmarkEnd w:id="50"/>
    <w:bookmarkStart w:id="52" w:name="ref-rocca2015"/>
    <w:p>
      <w:pPr>
        <w:pStyle w:val="Bibliography"/>
      </w:pPr>
      <w:r>
        <w:t xml:space="preserve">5.</w:t>
      </w:r>
      <w:r>
        <w:t xml:space="preserve"> </w:t>
      </w:r>
      <w:r>
        <w:t xml:space="preserve">	</w:t>
      </w:r>
      <w:r>
        <w:t xml:space="preserve">Rocca JD, Hall EK, Lennon JT, Evans SE, Waldrop MP, Cotner JB, et al.</w:t>
      </w:r>
      <w:r>
        <w:t xml:space="preserve"> </w:t>
      </w:r>
      <w:hyperlink r:id="rId51">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2"/>
    <w:bookmarkStart w:id="54" w:name="ref-graham2016"/>
    <w:p>
      <w:pPr>
        <w:pStyle w:val="Bibliography"/>
      </w:pPr>
      <w:r>
        <w:t xml:space="preserve">6.</w:t>
      </w:r>
      <w:r>
        <w:t xml:space="preserve"> </w:t>
      </w:r>
      <w:r>
        <w:t xml:space="preserve">	</w:t>
      </w:r>
      <w:r>
        <w:t xml:space="preserve">Graham EB, Knelman JE, Schindlbacher A, Siciliano S, Breulmann M, Yannarell A, et al.</w:t>
      </w:r>
      <w:r>
        <w:t xml:space="preserve"> </w:t>
      </w:r>
      <w:hyperlink r:id="rId53">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4"/>
    <w:bookmarkStart w:id="56" w:name="ref-morris2020"/>
    <w:p>
      <w:pPr>
        <w:pStyle w:val="Bibliography"/>
      </w:pPr>
      <w:r>
        <w:t xml:space="preserve">7.</w:t>
      </w:r>
      <w:r>
        <w:t xml:space="preserve"> </w:t>
      </w:r>
      <w:r>
        <w:t xml:space="preserve">	</w:t>
      </w:r>
      <w:r>
        <w:t xml:space="preserve">Morris A, Meyer K, Bohannan B.</w:t>
      </w:r>
      <w:r>
        <w:t xml:space="preserve"> </w:t>
      </w:r>
      <w:hyperlink r:id="rId55">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6"/>
    <w:bookmarkStart w:id="58" w:name="ref-swenson2000"/>
    <w:p>
      <w:pPr>
        <w:pStyle w:val="Bibliography"/>
      </w:pPr>
      <w:r>
        <w:t xml:space="preserve">8.</w:t>
      </w:r>
      <w:r>
        <w:t xml:space="preserve"> </w:t>
      </w:r>
      <w:r>
        <w:t xml:space="preserve">	</w:t>
      </w:r>
      <w:r>
        <w:t xml:space="preserve">Swenson W, Wilson DS, Elias R.</w:t>
      </w:r>
      <w:r>
        <w:t xml:space="preserve"> </w:t>
      </w:r>
      <w:hyperlink r:id="rId57">
        <w:r>
          <w:rPr>
            <w:rStyle w:val="InternetLink"/>
          </w:rPr>
          <w:t xml:space="preserve">Artificial ecosystem selection</w:t>
        </w:r>
      </w:hyperlink>
      <w:r>
        <w:t xml:space="preserve">. Proceedings of the National Academy of Sciences. 2000 Aug;97(16):9110–4.</w:t>
      </w:r>
      <w:r>
        <w:t xml:space="preserve"> </w:t>
      </w:r>
    </w:p>
    <w:bookmarkEnd w:id="58"/>
    <w:bookmarkStart w:id="60" w:name="ref-panke-buisse2015"/>
    <w:p>
      <w:pPr>
        <w:pStyle w:val="Bibliography"/>
      </w:pPr>
      <w:r>
        <w:t xml:space="preserve">9.</w:t>
      </w:r>
      <w:r>
        <w:t xml:space="preserve"> </w:t>
      </w:r>
      <w:r>
        <w:t xml:space="preserve">	</w:t>
      </w:r>
      <w:r>
        <w:t xml:space="preserve">Panke-Buisse K, Poole AC, Goodrich JK, Ley RE, Kao-Kniffin J.</w:t>
      </w:r>
      <w:r>
        <w:t xml:space="preserve"> </w:t>
      </w:r>
      <w:hyperlink r:id="rId59">
        <w:r>
          <w:rPr>
            <w:rStyle w:val="InternetLink"/>
          </w:rPr>
          <w:t xml:space="preserve">Selection on soil microbiomes reveals reproducible impacts on plant function</w:t>
        </w:r>
      </w:hyperlink>
      <w:r>
        <w:t xml:space="preserve">. The ISME journal. 2015 Mar;9(4):980–9.</w:t>
      </w:r>
      <w:r>
        <w:t xml:space="preserve"> </w:t>
      </w:r>
    </w:p>
    <w:bookmarkEnd w:id="60"/>
    <w:bookmarkStart w:id="62" w:name="ref-goodnight2000"/>
    <w:p>
      <w:pPr>
        <w:pStyle w:val="Bibliography"/>
      </w:pPr>
      <w:r>
        <w:t xml:space="preserve">10.</w:t>
      </w:r>
      <w:r>
        <w:t xml:space="preserve"> </w:t>
      </w:r>
      <w:r>
        <w:t xml:space="preserve">	</w:t>
      </w:r>
      <w:r>
        <w:t xml:space="preserve">Goodnight CJ.</w:t>
      </w:r>
      <w:r>
        <w:t xml:space="preserve"> </w:t>
      </w:r>
      <w:hyperlink r:id="rId61">
        <w:r>
          <w:rPr>
            <w:rStyle w:val="InternetLink"/>
          </w:rPr>
          <w:t xml:space="preserve">Heritability at the ecosystem level</w:t>
        </w:r>
      </w:hyperlink>
      <w:r>
        <w:t xml:space="preserve">. Proceedings of the National Academy of Sciences. 2000 Aug;97(17):9365–6.</w:t>
      </w:r>
      <w:r>
        <w:t xml:space="preserve"> </w:t>
      </w:r>
    </w:p>
    <w:bookmarkEnd w:id="62"/>
    <w:bookmarkStart w:id="64" w:name="ref-arias-sanchez2019"/>
    <w:p>
      <w:pPr>
        <w:pStyle w:val="Bibliography"/>
      </w:pPr>
      <w:r>
        <w:t xml:space="preserve">11.</w:t>
      </w:r>
      <w:r>
        <w:t xml:space="preserve"> </w:t>
      </w:r>
      <w:r>
        <w:t xml:space="preserve">	</w:t>
      </w:r>
      <w:r>
        <w:t xml:space="preserve">Arias-Sánchez FI, Vessman B, Mitri S.</w:t>
      </w:r>
      <w:r>
        <w:t xml:space="preserve"> </w:t>
      </w:r>
      <w:hyperlink r:id="rId63">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4"/>
    <w:bookmarkStart w:id="66" w:name="ref-fuhrman2009"/>
    <w:p>
      <w:pPr>
        <w:pStyle w:val="Bibliography"/>
      </w:pPr>
      <w:r>
        <w:t xml:space="preserve">12.</w:t>
      </w:r>
      <w:r>
        <w:t xml:space="preserve"> </w:t>
      </w:r>
      <w:r>
        <w:t xml:space="preserve">	</w:t>
      </w:r>
      <w:r>
        <w:t xml:space="preserve">Fuhrman JA.</w:t>
      </w:r>
      <w:r>
        <w:t xml:space="preserve"> </w:t>
      </w:r>
      <w:hyperlink r:id="rId65">
        <w:r>
          <w:rPr>
            <w:rStyle w:val="InternetLink"/>
          </w:rPr>
          <w:t xml:space="preserve">Microbial community structure and its functional implications</w:t>
        </w:r>
      </w:hyperlink>
      <w:r>
        <w:t xml:space="preserve">. Nature. 2009 May;459(7244):193–9.</w:t>
      </w:r>
      <w:r>
        <w:t xml:space="preserve"> </w:t>
      </w:r>
    </w:p>
    <w:bookmarkEnd w:id="66"/>
    <w:bookmarkStart w:id="68" w:name="ref-schimel1998"/>
    <w:p>
      <w:pPr>
        <w:pStyle w:val="Bibliography"/>
      </w:pPr>
      <w:r>
        <w:t xml:space="preserve">13.</w:t>
      </w:r>
      <w:r>
        <w:t xml:space="preserve"> </w:t>
      </w:r>
      <w:r>
        <w:t xml:space="preserve">	</w:t>
      </w:r>
      <w:r>
        <w:t xml:space="preserve">Schimel JP, Gulledge J.</w:t>
      </w:r>
      <w:r>
        <w:t xml:space="preserve"> </w:t>
      </w:r>
      <w:hyperlink r:id="rId67">
        <w:r>
          <w:rPr>
            <w:rStyle w:val="InternetLink"/>
          </w:rPr>
          <w:t xml:space="preserve">Microbial community structure and global trace gases</w:t>
        </w:r>
      </w:hyperlink>
      <w:r>
        <w:t xml:space="preserve">. Global Change Biology. 1998;4(7):745–58.</w:t>
      </w:r>
      <w:r>
        <w:t xml:space="preserve"> </w:t>
      </w:r>
    </w:p>
    <w:bookmarkEnd w:id="68"/>
    <w:bookmarkStart w:id="70" w:name="ref-freitag2009"/>
    <w:p>
      <w:pPr>
        <w:pStyle w:val="Bibliography"/>
      </w:pPr>
      <w:r>
        <w:t xml:space="preserve">14.</w:t>
      </w:r>
      <w:r>
        <w:t xml:space="preserve"> </w:t>
      </w:r>
      <w:r>
        <w:t xml:space="preserve">	</w:t>
      </w:r>
      <w:r>
        <w:t xml:space="preserve">Freitag TE, Prosser JI.</w:t>
      </w:r>
      <w:r>
        <w:t xml:space="preserve"> </w:t>
      </w:r>
      <w:hyperlink r:id="rId69">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0"/>
    <w:bookmarkStart w:id="72" w:name="ref-freitag2010"/>
    <w:p>
      <w:pPr>
        <w:pStyle w:val="Bibliography"/>
      </w:pPr>
      <w:r>
        <w:t xml:space="preserve">15.</w:t>
      </w:r>
      <w:r>
        <w:t xml:space="preserve"> </w:t>
      </w:r>
      <w:r>
        <w:t xml:space="preserve">	</w:t>
      </w:r>
      <w:r>
        <w:t xml:space="preserve">Freitag TE, Toet S, Ineson P, Prosser JI.</w:t>
      </w:r>
      <w:r>
        <w:t xml:space="preserve"> </w:t>
      </w:r>
      <w:hyperlink r:id="rId71">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2"/>
    <w:bookmarkStart w:id="74" w:name="ref-meyer2020"/>
    <w:p>
      <w:pPr>
        <w:pStyle w:val="Bibliography"/>
      </w:pPr>
      <w:r>
        <w:t xml:space="preserve">16.</w:t>
      </w:r>
      <w:r>
        <w:t xml:space="preserve"> </w:t>
      </w:r>
      <w:r>
        <w:t xml:space="preserve">	</w:t>
      </w:r>
      <w:r>
        <w:t xml:space="preserve">Meyer KM, Morris AH, Webster K, Klein AM, Kroeger ME, Meredith LK, et al.</w:t>
      </w:r>
      <w:r>
        <w:t xml:space="preserve"> </w:t>
      </w:r>
      <w:hyperlink r:id="rId73">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4"/>
    <w:bookmarkStart w:id="76" w:name="ref-martiny2013"/>
    <w:p>
      <w:pPr>
        <w:pStyle w:val="Bibliography"/>
      </w:pPr>
      <w:r>
        <w:t xml:space="preserve">17.</w:t>
      </w:r>
      <w:r>
        <w:t xml:space="preserve"> </w:t>
      </w:r>
      <w:r>
        <w:t xml:space="preserve">	</w:t>
      </w:r>
      <w:r>
        <w:t xml:space="preserve">Martiny AC, Treseder K, Pusch G.</w:t>
      </w:r>
      <w:r>
        <w:t xml:space="preserve"> </w:t>
      </w:r>
      <w:hyperlink r:id="rId75">
        <w:r>
          <w:rPr>
            <w:rStyle w:val="InternetLink"/>
          </w:rPr>
          <w:t xml:space="preserve">Phylogenetic conservatism of functional traits in microorganisms</w:t>
        </w:r>
      </w:hyperlink>
      <w:r>
        <w:t xml:space="preserve">. The ISME Journal. 2013 Apr;7(4):830–8.</w:t>
      </w:r>
      <w:r>
        <w:t xml:space="preserve"> </w:t>
      </w:r>
    </w:p>
    <w:bookmarkEnd w:id="76"/>
    <w:bookmarkStart w:id="78" w:name="ref-caporaso2011"/>
    <w:p>
      <w:pPr>
        <w:pStyle w:val="Bibliography"/>
      </w:pPr>
      <w:r>
        <w:t xml:space="preserve">18.</w:t>
      </w:r>
      <w:r>
        <w:t xml:space="preserve"> </w:t>
      </w:r>
      <w:r>
        <w:t xml:space="preserve">	</w:t>
      </w:r>
      <w:r>
        <w:t xml:space="preserve">Caporaso JG, Lauber CL, Walters WA, Berg-Lyons D, Lozupone CA, Turnbaugh PJ, et al.</w:t>
      </w:r>
      <w:r>
        <w:t xml:space="preserve"> </w:t>
      </w:r>
      <w:hyperlink r:id="rId77">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78"/>
    <w:bookmarkStart w:id="80" w:name="ref-fadrosh2014"/>
    <w:p>
      <w:pPr>
        <w:pStyle w:val="Bibliography"/>
      </w:pPr>
      <w:r>
        <w:t xml:space="preserve">19.</w:t>
      </w:r>
      <w:r>
        <w:t xml:space="preserve"> </w:t>
      </w:r>
      <w:r>
        <w:t xml:space="preserve">	</w:t>
      </w:r>
      <w:r>
        <w:t xml:space="preserve">Fadrosh DW, Ma B, Gajer P, Sengamalay N, Ott S, Brotman RM, et al.</w:t>
      </w:r>
      <w:r>
        <w:t xml:space="preserve"> </w:t>
      </w:r>
      <w:hyperlink r:id="rId79">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0"/>
    <w:bookmarkStart w:id="81" w:name="ref-kozich2013"/>
    <w:p>
      <w:pPr>
        <w:pStyle w:val="Bibliography"/>
      </w:pPr>
      <w:r>
        <w:t xml:space="preserve">20.</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1"/>
    <w:bookmarkStart w:id="82" w:name="ref-rcoreteam2018"/>
    <w:p>
      <w:pPr>
        <w:pStyle w:val="Bibliography"/>
      </w:pPr>
      <w:r>
        <w:t xml:space="preserve">21.</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2"/>
    <w:bookmarkStart w:id="84" w:name="ref-callahan2016"/>
    <w:p>
      <w:pPr>
        <w:pStyle w:val="Bibliography"/>
      </w:pPr>
      <w:r>
        <w:t xml:space="preserve">22.</w:t>
      </w:r>
      <w:r>
        <w:t xml:space="preserve"> </w:t>
      </w:r>
      <w:r>
        <w:t xml:space="preserve">	</w:t>
      </w:r>
      <w:r>
        <w:t xml:space="preserve">Callahan BJ, McMurdie PJ, Rosen MJ, Han AW, Johnson AJA, Holmes SP.</w:t>
      </w:r>
      <w:r>
        <w:t xml:space="preserve"> </w:t>
      </w:r>
      <w:hyperlink r:id="rId83">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4"/>
    <w:bookmarkStart w:id="86" w:name="ref-wang2007"/>
    <w:p>
      <w:pPr>
        <w:pStyle w:val="Bibliography"/>
      </w:pPr>
      <w:r>
        <w:t xml:space="preserve">23.</w:t>
      </w:r>
      <w:r>
        <w:t xml:space="preserve"> </w:t>
      </w:r>
      <w:r>
        <w:t xml:space="preserve">	</w:t>
      </w:r>
      <w:r>
        <w:t xml:space="preserve">Wang Q, Garrity GM, Tiedje JM, Cole JR.</w:t>
      </w:r>
      <w:r>
        <w:t xml:space="preserve"> </w:t>
      </w:r>
      <w:hyperlink r:id="rId85">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86"/>
    <w:bookmarkStart w:id="88" w:name="ref-davis2018"/>
    <w:p>
      <w:pPr>
        <w:pStyle w:val="Bibliography"/>
      </w:pPr>
      <w:r>
        <w:t xml:space="preserve">24.</w:t>
      </w:r>
      <w:r>
        <w:t xml:space="preserve"> </w:t>
      </w:r>
      <w:r>
        <w:t xml:space="preserve">	</w:t>
      </w:r>
      <w:r>
        <w:t xml:space="preserve">Davis NM, Proctor DM, Holmes SP, Relman DA, Callahan BJ.</w:t>
      </w:r>
      <w:r>
        <w:t xml:space="preserve"> </w:t>
      </w:r>
      <w:hyperlink r:id="rId87">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88"/>
    <w:bookmarkStart w:id="89" w:name="ref-falconer1996"/>
    <w:p>
      <w:pPr>
        <w:pStyle w:val="Bibliography"/>
      </w:pPr>
      <w:r>
        <w:t xml:space="preserve">25.</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89"/>
    <w:bookmarkStart w:id="91" w:name="ref-hurlbert1971"/>
    <w:p>
      <w:pPr>
        <w:pStyle w:val="Bibliography"/>
      </w:pPr>
      <w:r>
        <w:t xml:space="preserve">26.</w:t>
      </w:r>
      <w:r>
        <w:t xml:space="preserve"> </w:t>
      </w:r>
      <w:r>
        <w:t xml:space="preserve">	</w:t>
      </w:r>
      <w:r>
        <w:t xml:space="preserve">Hurlbert SH.</w:t>
      </w:r>
      <w:r>
        <w:t xml:space="preserve"> </w:t>
      </w:r>
      <w:hyperlink r:id="rId90">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1"/>
    <w:bookmarkStart w:id="92" w:name="ref-oksanen2019"/>
    <w:p>
      <w:pPr>
        <w:pStyle w:val="Bibliography"/>
      </w:pPr>
      <w:r>
        <w:t xml:space="preserve">27.</w:t>
      </w:r>
      <w:r>
        <w:t xml:space="preserve"> </w:t>
      </w:r>
      <w:r>
        <w:t xml:space="preserve">	</w:t>
      </w:r>
      <w:r>
        <w:t xml:space="preserve">Oksanen J, Blanchet FG, Friendly M, Kindt R, Legendre P, McGlinn D, et al. Vegan: Community ecology package. 2019.</w:t>
      </w:r>
      <w:r>
        <w:t xml:space="preserve"> </w:t>
      </w:r>
    </w:p>
    <w:bookmarkEnd w:id="92"/>
    <w:bookmarkStart w:id="94" w:name="ref-bray1957"/>
    <w:p>
      <w:pPr>
        <w:pStyle w:val="Bibliography"/>
      </w:pPr>
      <w:r>
        <w:t xml:space="preserve">28.</w:t>
      </w:r>
      <w:r>
        <w:t xml:space="preserve"> </w:t>
      </w:r>
      <w:r>
        <w:t xml:space="preserve">	</w:t>
      </w:r>
      <w:r>
        <w:t xml:space="preserve">Bray JR, Curtis JT.</w:t>
      </w:r>
      <w:r>
        <w:t xml:space="preserve"> </w:t>
      </w:r>
      <w:hyperlink r:id="rId93">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4"/>
    <w:bookmarkStart w:id="96" w:name="ref-mcardle2001"/>
    <w:p>
      <w:pPr>
        <w:pStyle w:val="Bibliography"/>
      </w:pPr>
      <w:r>
        <w:t xml:space="preserve">29.</w:t>
      </w:r>
      <w:r>
        <w:t xml:space="preserve"> </w:t>
      </w:r>
      <w:r>
        <w:t xml:space="preserve">	</w:t>
      </w:r>
      <w:r>
        <w:t xml:space="preserve">McArdle BH, Anderson MJ.</w:t>
      </w:r>
      <w:r>
        <w:t xml:space="preserve"> </w:t>
      </w:r>
      <w:hyperlink r:id="rId95">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6"/>
    <w:bookmarkStart w:id="98" w:name="ref-kaul2017"/>
    <w:p>
      <w:pPr>
        <w:pStyle w:val="Bibliography"/>
      </w:pPr>
      <w:r>
        <w:t xml:space="preserve">30.</w:t>
      </w:r>
      <w:r>
        <w:t xml:space="preserve"> </w:t>
      </w:r>
      <w:r>
        <w:t xml:space="preserve">	</w:t>
      </w:r>
      <w:r>
        <w:t xml:space="preserve">Kaul A, Mandal S, Davidov O, Peddada SD.</w:t>
      </w:r>
      <w:r>
        <w:t xml:space="preserve"> </w:t>
      </w:r>
      <w:hyperlink r:id="rId97">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98"/>
    <w:bookmarkStart w:id="100" w:name="ref-lin2020"/>
    <w:p>
      <w:pPr>
        <w:pStyle w:val="Bibliography"/>
      </w:pPr>
      <w:r>
        <w:t xml:space="preserve">31.</w:t>
      </w:r>
      <w:r>
        <w:t xml:space="preserve"> </w:t>
      </w:r>
      <w:r>
        <w:t xml:space="preserve">	</w:t>
      </w:r>
      <w:r>
        <w:t xml:space="preserve">Lin H, Peddada SD.</w:t>
      </w:r>
      <w:r>
        <w:t xml:space="preserve"> </w:t>
      </w:r>
      <w:hyperlink r:id="rId99">
        <w:r>
          <w:rPr>
            <w:rStyle w:val="InternetLink"/>
          </w:rPr>
          <w:t xml:space="preserve">Analysis of compositions of microbiomes with bias correction</w:t>
        </w:r>
      </w:hyperlink>
      <w:r>
        <w:t xml:space="preserve">. Nature Communications. 2020 Jul;11(1):3514.</w:t>
      </w:r>
      <w:r>
        <w:t xml:space="preserve"> </w:t>
      </w:r>
    </w:p>
    <w:bookmarkEnd w:id="100"/>
    <w:bookmarkStart w:id="102" w:name="ref-fernandes2014"/>
    <w:p>
      <w:pPr>
        <w:pStyle w:val="Bibliography"/>
      </w:pPr>
      <w:r>
        <w:t xml:space="preserve">32.</w:t>
      </w:r>
      <w:r>
        <w:t xml:space="preserve"> </w:t>
      </w:r>
      <w:r>
        <w:t xml:space="preserve">	</w:t>
      </w:r>
      <w:r>
        <w:t xml:space="preserve">Fernandes AD, Reid JN, Macklaim JM, McMurrough TA, Edgell DR, Gloor GB.</w:t>
      </w:r>
      <w:r>
        <w:t xml:space="preserve"> </w:t>
      </w:r>
      <w:hyperlink r:id="rId101">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2"/>
    <w:bookmarkStart w:id="104" w:name="ref-martin2020"/>
    <w:p>
      <w:pPr>
        <w:pStyle w:val="Bibliography"/>
      </w:pPr>
      <w:r>
        <w:t xml:space="preserve">33.</w:t>
      </w:r>
      <w:r>
        <w:t xml:space="preserve"> </w:t>
      </w:r>
      <w:r>
        <w:t xml:space="preserve">	</w:t>
      </w:r>
      <w:r>
        <w:t xml:space="preserve">Martin BD, Witten D, Willis AD.</w:t>
      </w:r>
      <w:r>
        <w:t xml:space="preserve"> </w:t>
      </w:r>
      <w:hyperlink r:id="rId103">
        <w:r>
          <w:rPr>
            <w:rStyle w:val="InternetLink"/>
          </w:rPr>
          <w:t xml:space="preserve">Modeling microbial abundances and dysbiosis with beta-binomial regression</w:t>
        </w:r>
      </w:hyperlink>
      <w:r>
        <w:t xml:space="preserve">. The Annals of Applied Statistics. 2020 Mar;14(1):94–115.</w:t>
      </w:r>
      <w:r>
        <w:t xml:space="preserve"> </w:t>
      </w:r>
    </w:p>
    <w:bookmarkEnd w:id="104"/>
    <w:bookmarkStart w:id="106" w:name="ref-stein2012"/>
    <w:p>
      <w:pPr>
        <w:pStyle w:val="Bibliography"/>
      </w:pPr>
      <w:r>
        <w:t xml:space="preserve">34.</w:t>
      </w:r>
      <w:r>
        <w:t xml:space="preserve"> </w:t>
      </w:r>
      <w:r>
        <w:t xml:space="preserve">	</w:t>
      </w:r>
      <w:r>
        <w:t xml:space="preserve">Stein LY, Roy R, Dunfield PF.</w:t>
      </w:r>
      <w:r>
        <w:t xml:space="preserve"> </w:t>
      </w:r>
      <w:hyperlink r:id="rId105">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06"/>
    <w:bookmarkStart w:id="107" w:name="ref-garrity2005"/>
    <w:p>
      <w:pPr>
        <w:pStyle w:val="Bibliography"/>
      </w:pPr>
      <w:r>
        <w:t xml:space="preserve">35.</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07"/>
    <w:bookmarkStart w:id="108" w:name="ref-freitag2003"/>
    <w:p>
      <w:pPr>
        <w:pStyle w:val="Bibliography"/>
      </w:pPr>
      <w:r>
        <w:t xml:space="preserve">36.</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08"/>
    <w:bookmarkStart w:id="110" w:name="ref-im2012"/>
    <w:p>
      <w:pPr>
        <w:pStyle w:val="Bibliography"/>
      </w:pPr>
      <w:r>
        <w:t xml:space="preserve">37.</w:t>
      </w:r>
      <w:r>
        <w:t xml:space="preserve"> </w:t>
      </w:r>
      <w:r>
        <w:t xml:space="preserve">	</w:t>
      </w:r>
      <w:r>
        <w:t xml:space="preserve">Im W-T, Hu Z-Y, Kim K-H, Rhee S-K, Meng H, Lee S-T, et al.</w:t>
      </w:r>
      <w:r>
        <w:t xml:space="preserve"> </w:t>
      </w:r>
      <w:hyperlink r:id="rId109">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0"/>
    <w:bookmarkStart w:id="112" w:name="ref-mcbride2014"/>
    <w:p>
      <w:pPr>
        <w:pStyle w:val="Bibliography"/>
      </w:pPr>
      <w:r>
        <w:t xml:space="preserve">38.</w:t>
      </w:r>
      <w:r>
        <w:t xml:space="preserve"> </w:t>
      </w:r>
      <w:r>
        <w:t xml:space="preserve">	</w:t>
      </w:r>
      <w:r>
        <w:t xml:space="preserve">McBride MJ, Liu W, Lu X, Zhu Y, Zhang W.</w:t>
      </w:r>
      <w:r>
        <w:t xml:space="preserve"> </w:t>
      </w:r>
      <w:hyperlink r:id="rId111">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2"/>
    <w:bookmarkStart w:id="114" w:name="ref-tamas2014"/>
    <w:p>
      <w:pPr>
        <w:pStyle w:val="Bibliography"/>
      </w:pPr>
      <w:r>
        <w:t xml:space="preserve">39.</w:t>
      </w:r>
      <w:r>
        <w:t xml:space="preserve"> </w:t>
      </w:r>
      <w:r>
        <w:t xml:space="preserve">	</w:t>
      </w:r>
      <w:r>
        <w:t xml:space="preserve">Tamas I, Smirnova AV, He Z, Dunfield PF.</w:t>
      </w:r>
      <w:r>
        <w:t xml:space="preserve"> </w:t>
      </w:r>
      <w:hyperlink r:id="rId113">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4"/>
    <w:bookmarkStart w:id="116" w:name="ref-dedysh2016"/>
    <w:p>
      <w:pPr>
        <w:pStyle w:val="Bibliography"/>
      </w:pPr>
      <w:r>
        <w:t xml:space="preserve">40.</w:t>
      </w:r>
      <w:r>
        <w:t xml:space="preserve"> </w:t>
      </w:r>
      <w:r>
        <w:t xml:space="preserve">	</w:t>
      </w:r>
      <w:r>
        <w:t xml:space="preserve">Dedysh SN, Haupt ES, Dunfield PFY2016.</w:t>
      </w:r>
      <w:r>
        <w:t xml:space="preserve"> </w:t>
      </w:r>
      <w:hyperlink r:id="rId115">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16"/>
    <w:bookmarkStart w:id="118" w:name="ref-topçuoğlu2020"/>
    <w:p>
      <w:pPr>
        <w:pStyle w:val="Bibliography"/>
      </w:pPr>
      <w:r>
        <w:t xml:space="preserve">41.</w:t>
      </w:r>
      <w:r>
        <w:t xml:space="preserve"> </w:t>
      </w:r>
      <w:r>
        <w:t xml:space="preserve">	</w:t>
      </w:r>
      <w:r>
        <w:t xml:space="preserve">Topçuoğlu BD, Lesniak NA, Ruffin MT, Wiens J, Schloss PD.</w:t>
      </w:r>
      <w:r>
        <w:t xml:space="preserve"> </w:t>
      </w:r>
      <w:hyperlink r:id="rId117">
        <w:r>
          <w:rPr>
            <w:rStyle w:val="InternetLink"/>
          </w:rPr>
          <w:t xml:space="preserve">A</w:t>
        </w:r>
        <w:r>
          <w:rPr>
            <w:rStyle w:val="InternetLink"/>
          </w:rPr>
          <w:t xml:space="preserve"> </w:t>
        </w:r>
        <w:r>
          <w:rPr>
            <w:rStyle w:val="InternetLink"/>
          </w:rPr>
          <w:t xml:space="preserve">Framework</w:t>
        </w:r>
        <w:r>
          <w:rPr>
            <w:rStyle w:val="InternetLink"/>
          </w:rPr>
          <w:t xml:space="preserve"> </w:t>
        </w:r>
        <w:r>
          <w:rPr>
            <w:rStyle w:val="InternetLink"/>
          </w:rPr>
          <w:t xml:space="preserve">for</w:t>
        </w:r>
        <w:r>
          <w:rPr>
            <w:rStyle w:val="InternetLink"/>
          </w:rPr>
          <w:t xml:space="preserve"> </w:t>
        </w:r>
        <w:r>
          <w:rPr>
            <w:rStyle w:val="InternetLink"/>
          </w:rPr>
          <w:t xml:space="preserve">Effective Application</w:t>
        </w:r>
        <w:r>
          <w:rPr>
            <w:rStyle w:val="InternetLink"/>
          </w:rPr>
          <w:t xml:space="preserve"> </w:t>
        </w:r>
        <w:r>
          <w:rPr>
            <w:rStyle w:val="InternetLink"/>
          </w:rPr>
          <w:t xml:space="preserve">of</w:t>
        </w:r>
        <w:r>
          <w:rPr>
            <w:rStyle w:val="InternetLink"/>
          </w:rPr>
          <w:t xml:space="preserve"> </w:t>
        </w:r>
        <w:r>
          <w:rPr>
            <w:rStyle w:val="InternetLink"/>
          </w:rPr>
          <w:t xml:space="preserve">Machine Learning</w:t>
        </w:r>
        <w:r>
          <w:rPr>
            <w:rStyle w:val="InternetLink"/>
          </w:rPr>
          <w:t xml:space="preserve"> </w:t>
        </w:r>
        <w:r>
          <w:rPr>
            <w:rStyle w:val="InternetLink"/>
          </w:rPr>
          <w:t xml:space="preserve">to</w:t>
        </w:r>
        <w:r>
          <w:rPr>
            <w:rStyle w:val="InternetLink"/>
          </w:rPr>
          <w:t xml:space="preserve"> </w:t>
        </w:r>
        <w:r>
          <w:rPr>
            <w:rStyle w:val="InternetLink"/>
          </w:rPr>
          <w:t xml:space="preserve">Microbiome-Based Classification Problems</w:t>
        </w:r>
      </w:hyperlink>
      <w:r>
        <w:t xml:space="preserve">. mBio. 2020 Jun;11(3):e00434–20.</w:t>
      </w:r>
      <w:r>
        <w:t xml:space="preserve"> </w:t>
      </w:r>
    </w:p>
    <w:bookmarkEnd w:id="118"/>
    <w:bookmarkStart w:id="120" w:name="ref-visscher2008"/>
    <w:p>
      <w:pPr>
        <w:pStyle w:val="Bibliography"/>
      </w:pPr>
      <w:r>
        <w:t xml:space="preserve">42.</w:t>
      </w:r>
      <w:r>
        <w:t xml:space="preserve"> </w:t>
      </w:r>
      <w:r>
        <w:t xml:space="preserve">	</w:t>
      </w:r>
      <w:r>
        <w:t xml:space="preserve">Visscher PM, Hill WG, Wray NR.</w:t>
      </w:r>
      <w:r>
        <w:t xml:space="preserve"> </w:t>
      </w:r>
      <w:hyperlink r:id="rId119">
        <w:r>
          <w:rPr>
            <w:rStyle w:val="InternetLink"/>
          </w:rPr>
          <w:t xml:space="preserve">Heritability in the genomics era</w:t>
        </w:r>
        <w:r>
          <w:rPr>
            <w:rStyle w:val="InternetLink"/>
          </w:rPr>
          <w:t xml:space="preserve"> </w:t>
        </w:r>
        <w:r>
          <w:rPr>
            <w:rStyle w:val="InternetLink"/>
          </w:rPr>
          <w:t xml:space="preserve"> </w:t>
        </w:r>
        <w:r>
          <w:rPr>
            <w:rStyle w:val="InternetLink"/>
          </w:rPr>
          <w:t xml:space="preserve">concepts and misconceptions</w:t>
        </w:r>
      </w:hyperlink>
      <w:r>
        <w:t xml:space="preserve">. Nature Reviews Genetics. 2008 Apr;9(4):255–66.</w:t>
      </w:r>
      <w:r>
        <w:t xml:space="preserve"> </w:t>
      </w:r>
    </w:p>
    <w:bookmarkEnd w:id="120"/>
    <w:bookmarkStart w:id="121" w:name="ref-conner2003"/>
    <w:p>
      <w:pPr>
        <w:pStyle w:val="Bibliography"/>
      </w:pPr>
      <w:r>
        <w:t xml:space="preserve">43.</w:t>
      </w:r>
      <w:r>
        <w:t xml:space="preserve"> </w:t>
      </w:r>
      <w:r>
        <w:t xml:space="preserve">	</w:t>
      </w:r>
      <w:r>
        <w:t xml:space="preserve">Conner JK. Artificial</w:t>
      </w:r>
      <w:r>
        <w:t xml:space="preserve"> </w:t>
      </w:r>
      <w:r>
        <w:t xml:space="preserve">Selection</w:t>
      </w:r>
      <w:r>
        <w:t xml:space="preserve">:</w:t>
      </w:r>
      <w:r>
        <w:t xml:space="preserve"> </w:t>
      </w:r>
      <w:r>
        <w:t xml:space="preserve">A Powerful Tool</w:t>
      </w:r>
      <w:r>
        <w:t xml:space="preserve"> </w:t>
      </w:r>
      <w:r>
        <w:t xml:space="preserve">for</w:t>
      </w:r>
      <w:r>
        <w:t xml:space="preserve"> </w:t>
      </w:r>
      <w:r>
        <w:t xml:space="preserve">Ecologists</w:t>
      </w:r>
      <w:r>
        <w:t xml:space="preserve">. Ecology. 2003;84(7):1650–60.</w:t>
      </w:r>
      <w:r>
        <w:t xml:space="preserve"> </w:t>
      </w:r>
    </w:p>
    <w:bookmarkEnd w:id="121"/>
    <w:bookmarkStart w:id="123" w:name="ref-kerem1989"/>
    <w:p>
      <w:pPr>
        <w:pStyle w:val="Bibliography"/>
      </w:pPr>
      <w:r>
        <w:t xml:space="preserve">44.</w:t>
      </w:r>
      <w:r>
        <w:t xml:space="preserve"> </w:t>
      </w:r>
      <w:r>
        <w:t xml:space="preserve">	</w:t>
      </w:r>
      <w:r>
        <w:t xml:space="preserve">Kerem B, Rommens JM, Buchanan JA, Markiewicz D, Cox TK, Chakravarti A, et al.</w:t>
      </w:r>
      <w:r>
        <w:t xml:space="preserve"> </w:t>
      </w:r>
      <w:hyperlink r:id="rId122">
        <w:r>
          <w:rPr>
            <w:rStyle w:val="InternetLink"/>
          </w:rPr>
          <w:t xml:space="preserve">Identification of the cystic fibrosis gene: Genetic analysis</w:t>
        </w:r>
      </w:hyperlink>
      <w:r>
        <w:t xml:space="preserve">. Science. 1989 Sep;245(4922):1073–80.</w:t>
      </w:r>
      <w:r>
        <w:t xml:space="preserve"> </w:t>
      </w:r>
    </w:p>
    <w:bookmarkEnd w:id="123"/>
    <w:bookmarkStart w:id="125" w:name="ref-macdonald1992"/>
    <w:p>
      <w:pPr>
        <w:pStyle w:val="Bibliography"/>
      </w:pPr>
      <w:r>
        <w:t xml:space="preserve">45.</w:t>
      </w:r>
      <w:r>
        <w:t xml:space="preserve"> </w:t>
      </w:r>
      <w:r>
        <w:t xml:space="preserve">	</w:t>
      </w:r>
      <w:r>
        <w:t xml:space="preserve">MacDonald ME, Novelletto A, Lin C, Tagle D, Barnes G, Bates G, et al.</w:t>
      </w:r>
      <w:r>
        <w:t xml:space="preserve"> </w:t>
      </w:r>
      <w:hyperlink r:id="rId124">
        <w:r>
          <w:rPr>
            <w:rStyle w:val="InternetLink"/>
          </w:rPr>
          <w:t xml:space="preserve">The</w:t>
        </w:r>
        <w:r>
          <w:rPr>
            <w:rStyle w:val="InternetLink"/>
          </w:rPr>
          <w:t xml:space="preserve"> </w:t>
        </w:r>
        <w:r>
          <w:rPr>
            <w:rStyle w:val="InternetLink"/>
          </w:rPr>
          <w:t xml:space="preserve">Huntington</w:t>
        </w:r>
        <w:r>
          <w:rPr>
            <w:rStyle w:val="InternetLink"/>
          </w:rPr>
          <w:t xml:space="preserve">’s disease candidate region exhibits many different haplotypes</w:t>
        </w:r>
      </w:hyperlink>
      <w:r>
        <w:t xml:space="preserve">. Nature Genetics. 1992 May;1(2):99–103.</w:t>
      </w:r>
      <w:r>
        <w:t xml:space="preserve"> </w:t>
      </w:r>
    </w:p>
    <w:bookmarkEnd w:id="125"/>
    <w:bookmarkStart w:id="127" w:name="ref-reich2001"/>
    <w:p>
      <w:pPr>
        <w:pStyle w:val="Bibliography"/>
      </w:pPr>
      <w:r>
        <w:t xml:space="preserve">46.</w:t>
      </w:r>
      <w:r>
        <w:t xml:space="preserve"> </w:t>
      </w:r>
      <w:r>
        <w:t xml:space="preserve">	</w:t>
      </w:r>
      <w:r>
        <w:t xml:space="preserve">Reich DE, Lander ES.</w:t>
      </w:r>
      <w:r>
        <w:t xml:space="preserve"> </w:t>
      </w:r>
      <w:hyperlink r:id="rId126">
        <w:r>
          <w:rPr>
            <w:rStyle w:val="InternetLink"/>
          </w:rPr>
          <w:t xml:space="preserve">On the allelic spectrum of human disease</w:t>
        </w:r>
      </w:hyperlink>
      <w:r>
        <w:t xml:space="preserve">. Trends in Genetics. 2001 Sep;17(9):502–10.</w:t>
      </w:r>
      <w:r>
        <w:t xml:space="preserve"> </w:t>
      </w:r>
    </w:p>
    <w:bookmarkEnd w:id="127"/>
    <w:bookmarkStart w:id="129" w:name="ref-hindorff2009"/>
    <w:p>
      <w:pPr>
        <w:pStyle w:val="Bibliography"/>
      </w:pPr>
      <w:r>
        <w:t xml:space="preserve">47.</w:t>
      </w:r>
      <w:r>
        <w:t xml:space="preserve"> </w:t>
      </w:r>
      <w:r>
        <w:t xml:space="preserve">	</w:t>
      </w:r>
      <w:r>
        <w:t xml:space="preserve">Hindorff LA, Sethupathy P, Junkins HA, Ramos EM, Mehta JP, Collins FS, et al.</w:t>
      </w:r>
      <w:r>
        <w:t xml:space="preserve"> </w:t>
      </w:r>
      <w:hyperlink r:id="rId128">
        <w:r>
          <w:rPr>
            <w:rStyle w:val="InternetLink"/>
          </w:rPr>
          <w:t xml:space="preserve">Potential etiologic and functional implications of genome-wide association loci for human diseases and traits</w:t>
        </w:r>
      </w:hyperlink>
      <w:r>
        <w:t xml:space="preserve">. Proceedings of the National Academy of Sciences. 2009 Jun;106(23):9362–7.</w:t>
      </w:r>
      <w:r>
        <w:t xml:space="preserve"> </w:t>
      </w:r>
    </w:p>
    <w:bookmarkEnd w:id="129"/>
    <w:bookmarkEnd w:id="130"/>
    <w:bookmarkEnd w:id="131"/>
    <w:bookmarkStart w:id="144" w:name="figures"/>
    <w:p>
      <w:pPr>
        <w:pStyle w:val="Heading1"/>
      </w:pPr>
      <w:r>
        <w:t xml:space="preserve">Figures</w:t>
      </w:r>
    </w:p>
    <w:p>
      <w:pPr>
        <w:pStyle w:val="FirstParagraph"/>
      </w:pPr>
      <w:r>
        <w:drawing>
          <wp:inline>
            <wp:extent cx="3696101" cy="2772075"/>
            <wp:effectExtent b="0" l="0" r="0" t="0"/>
            <wp:docPr descr="" title="" id="133" name="Picture"/>
            <a:graphic>
              <a:graphicData uri="http://schemas.openxmlformats.org/drawingml/2006/picture">
                <pic:pic>
                  <pic:nvPicPr>
                    <pic:cNvPr descr="manuscript_files/figure-docx/response-1.png" id="134" name="Picture"/>
                    <pic:cNvPicPr>
                      <a:picLocks noChangeArrowheads="1" noChangeAspect="1"/>
                    </pic:cNvPicPr>
                  </pic:nvPicPr>
                  <pic:blipFill>
                    <a:blip r:embed="rId13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36" name="Picture"/>
            <a:graphic>
              <a:graphicData uri="http://schemas.openxmlformats.org/drawingml/2006/picture">
                <pic:pic>
                  <pic:nvPicPr>
                    <pic:cNvPr descr="manuscript_files/figure-docx/herit-1.png" id="137" name="Picture"/>
                    <pic:cNvPicPr>
                      <a:picLocks noChangeArrowheads="1" noChangeAspect="1"/>
                    </pic:cNvPicPr>
                  </pic:nvPicPr>
                  <pic:blipFill>
                    <a:blip r:embed="rId135"/>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39" name="Picture"/>
            <a:graphic>
              <a:graphicData uri="http://schemas.openxmlformats.org/drawingml/2006/picture">
                <pic:pic>
                  <pic:nvPicPr>
                    <pic:cNvPr descr="manuscript_files/figure-docx/beta-1.png" id="140" name="Picture"/>
                    <pic:cNvPicPr>
                      <a:picLocks noChangeArrowheads="1" noChangeAspect="1"/>
                    </pic:cNvPicPr>
                  </pic:nvPicPr>
                  <pic:blipFill>
                    <a:blip r:embed="rId13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2" name="Picture"/>
            <a:graphic>
              <a:graphicData uri="http://schemas.openxmlformats.org/drawingml/2006/picture">
                <pic:pic>
                  <pic:nvPicPr>
                    <pic:cNvPr descr="manuscript_files/figure-docx/da-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4"/>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2022-07-27T01:00:43Z</dcterms:created>
  <dcterms:modified xsi:type="dcterms:W3CDTF">2022-07-27T01:00:43Z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