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8.png" ContentType="image/png"/>
  <Override PartName="/word/media/rId141.png" ContentType="image/png"/>
  <Override PartName="/word/media/rId135.png" ContentType="image/png"/>
  <Override PartName="/word/media/rId1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ecosystem</w:t>
      </w:r>
      <w:r>
        <w:t xml:space="preserve"> </w:t>
      </w:r>
      <w:r>
        <w:t xml:space="preserve">selection</w:t>
      </w:r>
      <w:r>
        <w:t xml:space="preserve"> </w:t>
      </w:r>
      <w:r>
        <w:t xml:space="preserve">reveals</w:t>
      </w:r>
      <w:r>
        <w:t xml:space="preserve"> </w:t>
      </w:r>
      <w:r>
        <w:t xml:space="preserve">relationships</w:t>
      </w:r>
      <w:r>
        <w:t xml:space="preserve"> </w:t>
      </w:r>
      <w:r>
        <w:t xml:space="preserve">between</w:t>
      </w:r>
      <w:r>
        <w:t xml:space="preserve"> </w:t>
      </w:r>
      <w:r>
        <w:t xml:space="preserve">microbiome</w:t>
      </w:r>
      <w:r>
        <w:t xml:space="preserve"> </w:t>
      </w:r>
      <w:r>
        <w:t xml:space="preserve">composition</w:t>
      </w:r>
      <w:r>
        <w:t xml:space="preserve"> </w:t>
      </w:r>
      <w:r>
        <w:t xml:space="preserve">and</w:t>
      </w:r>
      <w:r>
        <w:t xml:space="preserve"> </w:t>
      </w:r>
      <w:r>
        <w:t xml:space="preserve">ecosystem</w:t>
      </w:r>
      <w:r>
        <w:t xml:space="preserve"> </w:t>
      </w:r>
      <w:r>
        <w:t xml:space="preserve">function</w:t>
      </w:r>
    </w:p>
    <w:p>
      <w:pPr>
        <w:pStyle w:val="Author"/>
      </w:pPr>
      <w:r>
        <w:t xml:space="preserve">Andrew</w:t>
      </w:r>
      <w:r>
        <w:t xml:space="preserve"> </w:t>
      </w:r>
      <w:r>
        <w:t xml:space="preserve">H.</w:t>
      </w:r>
      <w:r>
        <w:t xml:space="preserve"> </w:t>
      </w:r>
      <w:r>
        <w:t xml:space="preserve">Morris</w:t>
      </w:r>
      <w:r>
        <w:rPr>
          <w:vertAlign w:val="superscript"/>
        </w:rPr>
        <w:t xml:space="preserve">1</w:t>
      </w:r>
      <w:r>
        <w:t xml:space="preserve">*</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r>
        <w:rPr>
          <w:vertAlign w:val="superscript"/>
        </w:rPr>
        <w:t xml:space="preserve">1</w:t>
      </w:r>
    </w:p>
    <w:p>
      <w:pPr>
        <w:pStyle w:val="FirstParagraph"/>
      </w:pPr>
      <w:r>
        <w:rPr>
          <w:vertAlign w:val="superscript"/>
        </w:rPr>
        <w:t xml:space="preserve">1</w:t>
      </w:r>
      <w:r>
        <w:t xml:space="preserve"> </w:t>
      </w:r>
      <w:r>
        <w:t xml:space="preserve">Institute of Ecology and Evolution, University of Oregon, Eugene, OR, USA</w:t>
      </w:r>
    </w:p>
    <w:p>
      <w:pPr>
        <w:pStyle w:val="TextBody"/>
      </w:pPr>
      <w:r>
        <w:t xml:space="preserve">* Correspondence: Andrew H. Morris,</w:t>
      </w:r>
      <w:r>
        <w:t xml:space="preserve"> </w:t>
      </w:r>
      <w:hyperlink r:id="rId20">
        <w:r>
          <w:rPr>
            <w:rStyle w:val="InternetLink"/>
          </w:rPr>
          <w:t xml:space="preserve">amorris3@uoregon.edu</w:t>
        </w:r>
      </w:hyperlink>
    </w:p>
    <w:p>
      <w:pPr>
        <w:pStyle w:val="TextBody"/>
      </w:pPr>
      <w:r>
        <w:t xml:space="preserve">Competing Interests: We declare we have no competing interests.</w:t>
      </w:r>
    </w:p>
    <w:bookmarkStart w:id="21" w:name="abstract"/>
    <w:p>
      <w:pPr>
        <w:pStyle w:val="Heading1"/>
      </w:pPr>
      <w:r>
        <w:t xml:space="preserve">Abstract</w:t>
      </w:r>
    </w:p>
    <w:p>
      <w:pPr>
        <w:pStyle w:val="FirstParagraph"/>
      </w:pPr>
      <w:r>
        <w:t xml:space="preserve">Microbiomes mediate important ecosystem functions, yet it has proven difficult</w:t>
      </w:r>
      <w:r>
        <w:t xml:space="preserve"> </w:t>
      </w:r>
      <w:r>
        <w:t xml:space="preserve">to determine the relationship between microbiome composition and the rate of</w:t>
      </w:r>
      <w:r>
        <w:t xml:space="preserve"> </w:t>
      </w:r>
      <w:r>
        <w:t xml:space="preserve">any ecosystem function. This challenge remains because it is difficult to</w:t>
      </w:r>
      <w:r>
        <w:t xml:space="preserve"> </w:t>
      </w:r>
      <w:r>
        <w:t xml:space="preserve">manipulate microbiome composition directly, we cannot know a priori which members of the</w:t>
      </w:r>
      <w:r>
        <w:t xml:space="preserve"> </w:t>
      </w:r>
      <w:r>
        <w:t xml:space="preserve">microbiome limit the rate of an ecosystem function, and microbiomes covary with</w:t>
      </w:r>
      <w:r>
        <w:t xml:space="preserve"> </w:t>
      </w:r>
      <w:r>
        <w:t xml:space="preserve">the environment. We propose that artificial ecosystem selection</w:t>
      </w:r>
      <w:r>
        <w:t xml:space="preserve"> </w:t>
      </w:r>
      <w:r>
        <w:t xml:space="preserve">can overcome these challenges. Artificial ecosystem selection involves creating</w:t>
      </w:r>
      <w:r>
        <w:t xml:space="preserve"> </w:t>
      </w:r>
      <w:r>
        <w:t xml:space="preserve">replicate ecosystems, selecting replicates with a desired ecosystem-level</w:t>
      </w:r>
      <w:r>
        <w:t xml:space="preserve"> </w:t>
      </w:r>
      <w:r>
        <w:t xml:space="preserve">trait, and using the microbiomes from the selected ecosystems to inoculate a</w:t>
      </w:r>
      <w:r>
        <w:t xml:space="preserve"> </w:t>
      </w:r>
      <w:r>
        <w:t xml:space="preserve">new set of ecosystems. We performed artificial ecosystem selection on replicate</w:t>
      </w:r>
      <w:r>
        <w:t xml:space="preserve"> </w:t>
      </w:r>
      <w:r>
        <w:t xml:space="preserve">soil microcosms to select for increased soil methane oxidation rate. We</w:t>
      </w:r>
      <w:r>
        <w:t xml:space="preserve"> </w:t>
      </w:r>
      <w:r>
        <w:t xml:space="preserve">observed a strong response to selection with a 51% increase in methane oxidation rate per round over five</w:t>
      </w:r>
      <w:r>
        <w:t xml:space="preserve"> </w:t>
      </w:r>
      <w:r>
        <w:t xml:space="preserve">rounds of selection. This suggests that a large portion of the variation in</w:t>
      </w:r>
      <w:r>
        <w:t xml:space="preserve"> </w:t>
      </w:r>
      <w:r>
        <w:t xml:space="preserve">methane oxidation rate in these soils can be attributed to microbiome</w:t>
      </w:r>
      <w:r>
        <w:t xml:space="preserve"> </w:t>
      </w:r>
      <w:r>
        <w:t xml:space="preserve">variation. We also found that selection did not enrich for known methane</w:t>
      </w:r>
      <w:r>
        <w:t xml:space="preserve"> </w:t>
      </w:r>
      <w:r>
        <w:t xml:space="preserve">oxidizers; rather microbes that responded to selection included 13</w:t>
      </w:r>
      <w:r>
        <w:t xml:space="preserve"> </w:t>
      </w:r>
      <w:r>
        <w:t xml:space="preserve">families such as</w:t>
      </w:r>
      <w:r>
        <w:t xml:space="preserve"> </w:t>
      </w:r>
      <w:r>
        <w:rPr>
          <w:iCs/>
          <w:i/>
        </w:rPr>
        <w:t xml:space="preserve">Fimbriimonadaceae</w:t>
      </w:r>
      <w:r>
        <w:t xml:space="preserve">,</w:t>
      </w:r>
      <w:r>
        <w:t xml:space="preserve"> </w:t>
      </w:r>
      <w:r>
        <w:rPr>
          <w:iCs/>
          <w:i/>
        </w:rPr>
        <w:t xml:space="preserve">Cytophagaceae</w:t>
      </w:r>
      <w:r>
        <w:t xml:space="preserve">, and</w:t>
      </w:r>
      <w:r>
        <w:t xml:space="preserve"> </w:t>
      </w:r>
      <w:r>
        <w:rPr>
          <w:iCs/>
          <w:i/>
        </w:rPr>
        <w:t xml:space="preserve">Diplorickettsiaceae</w:t>
      </w:r>
      <w:r>
        <w:t xml:space="preserve">. This result</w:t>
      </w:r>
      <w:r>
        <w:t xml:space="preserve"> </w:t>
      </w:r>
      <w:r>
        <w:t xml:space="preserve">is in contrast to the typical assumption that the rate of an ecosystem function</w:t>
      </w:r>
      <w:r>
        <w:t xml:space="preserve"> </w:t>
      </w:r>
      <w:r>
        <w:t xml:space="preserve">is limited by the final step in the associated microbial pathway. Our study</w:t>
      </w:r>
      <w:r>
        <w:t xml:space="preserve"> </w:t>
      </w:r>
      <w:r>
        <w:t xml:space="preserve">demonstrates that variation in microbiome composition can contribute to</w:t>
      </w:r>
      <w:r>
        <w:t xml:space="preserve"> </w:t>
      </w:r>
      <w:r>
        <w:t xml:space="preserve">variation in the rate of ecosystem function.</w:t>
      </w:r>
    </w:p>
    <w:bookmarkEnd w:id="21"/>
    <w:bookmarkStart w:id="22" w:name="introduction"/>
    <w:p>
      <w:pPr>
        <w:pStyle w:val="Heading1"/>
      </w:pPr>
      <w:r>
        <w:t xml:space="preserve">Introduction</w:t>
      </w:r>
    </w:p>
    <w:p>
      <w:pPr>
        <w:pStyle w:val="FirstParagraph"/>
      </w:pPr>
      <w:r>
        <w:t xml:space="preserve">Microbiomes mediate a variety of important functions in ecosystems, and there</w:t>
      </w:r>
      <w:r>
        <w:t xml:space="preserve"> </w:t>
      </w:r>
      <w:r>
        <w:t xml:space="preserve">is great interest in understanding how attributes of microbiomes may influence</w:t>
      </w:r>
      <w:r>
        <w:t xml:space="preserve"> </w:t>
      </w:r>
      <w:r>
        <w:t xml:space="preserve">variation in ecosystem functions</w:t>
      </w:r>
      <w:r>
        <w:t xml:space="preserve"> </w:t>
      </w:r>
      <w:r>
        <w:t xml:space="preserve">(1)</w:t>
      </w:r>
      <w:r>
        <w:t xml:space="preserve">. Biodiversity-ecosystem</w:t>
      </w:r>
      <w:r>
        <w:t xml:space="preserve"> </w:t>
      </w:r>
      <w:r>
        <w:t xml:space="preserve">function relationships have been described for a variety of macroorganismal</w:t>
      </w:r>
      <w:r>
        <w:t xml:space="preserve"> </w:t>
      </w:r>
      <w:r>
        <w:t xml:space="preserve">communities. For example, plant species richness correlates with productivity</w:t>
      </w:r>
      <w:r>
        <w:t xml:space="preserve"> </w:t>
      </w:r>
      <w:r>
        <w:t xml:space="preserve">and marine community diversity correlates with functions such as production,</w:t>
      </w:r>
      <w:r>
        <w:t xml:space="preserve"> </w:t>
      </w:r>
      <w:r>
        <w:t xml:space="preserve">consumption, and nutrient release</w:t>
      </w:r>
      <w:r>
        <w:t xml:space="preserve"> </w:t>
      </w:r>
      <w:r>
        <w:t xml:space="preserve">(2–4)</w:t>
      </w:r>
      <w:r>
        <w:t xml:space="preserve">. While there is evidence that</w:t>
      </w:r>
      <w:r>
        <w:t xml:space="preserve"> </w:t>
      </w:r>
      <w:r>
        <w:t xml:space="preserve">variation in the microbiome contributes to variation in ecosystem functions,</w:t>
      </w:r>
      <w:r>
        <w:t xml:space="preserve"> </w:t>
      </w:r>
      <w:r>
        <w:t xml:space="preserve">describing this relationship has been elusive</w:t>
      </w:r>
      <w:r>
        <w:t xml:space="preserve"> </w:t>
      </w:r>
      <w:r>
        <w:t xml:space="preserve">(5,6)</w:t>
      </w:r>
      <w:r>
        <w:t xml:space="preserve">.</w:t>
      </w:r>
    </w:p>
    <w:p>
      <w:pPr>
        <w:pStyle w:val="TextBody"/>
      </w:pPr>
      <w:r>
        <w:t xml:space="preserve">One reason for this difficulty is that it is challenging to directly manipulate</w:t>
      </w:r>
      <w:r>
        <w:t xml:space="preserve"> </w:t>
      </w:r>
      <w:r>
        <w:t xml:space="preserve">microbiome composition and diversity the way we can for macroorganismal</w:t>
      </w:r>
      <w:r>
        <w:t xml:space="preserve"> </w:t>
      </w:r>
      <w:r>
        <w:t xml:space="preserve">communities. Instead, we must use genetics through marker gene or metagenomic</w:t>
      </w:r>
      <w:r>
        <w:t xml:space="preserve"> </w:t>
      </w:r>
      <w:r>
        <w:t xml:space="preserve">sequencing to characterize the microbiome. However, studies that measure the</w:t>
      </w:r>
      <w:r>
        <w:t xml:space="preserve"> </w:t>
      </w:r>
      <w:r>
        <w:t xml:space="preserve">taxonomic or functional diversity of a microbiome through these approaches</w:t>
      </w:r>
      <w:r>
        <w:t xml:space="preserve"> </w:t>
      </w:r>
      <w:r>
        <w:t xml:space="preserve">rarely find a correlation between diversity and function</w:t>
      </w:r>
      <w:r>
        <w:t xml:space="preserve"> </w:t>
      </w:r>
      <w:r>
        <w:t xml:space="preserve">(6)</w:t>
      </w:r>
      <w:r>
        <w:t xml:space="preserve">. Another</w:t>
      </w:r>
      <w:r>
        <w:t xml:space="preserve"> </w:t>
      </w:r>
      <w:r>
        <w:t xml:space="preserve">approach is to quantify cells or genes using quantitative</w:t>
      </w:r>
      <w:r>
        <w:t xml:space="preserve"> </w:t>
      </w:r>
      <w:r>
        <w:t xml:space="preserve">PCR. Studies such as this still rarely find a correlation between the abundance</w:t>
      </w:r>
      <w:r>
        <w:t xml:space="preserve"> </w:t>
      </w:r>
      <w:r>
        <w:t xml:space="preserve">of a functional group and the rate of the corresponding process</w:t>
      </w:r>
      <w:r>
        <w:t xml:space="preserve"> </w:t>
      </w:r>
      <w:r>
        <w:t xml:space="preserve">(5)</w:t>
      </w:r>
      <w:r>
        <w:t xml:space="preserve">.</w:t>
      </w:r>
      <w:r>
        <w:t xml:space="preserve"> </w:t>
      </w:r>
      <w:r>
        <w:t xml:space="preserve">As a result, it remains unclear how and when microbiome variation contributes</w:t>
      </w:r>
      <w:r>
        <w:t xml:space="preserve"> </w:t>
      </w:r>
      <w:r>
        <w:t xml:space="preserve">to variation in the rate of ecosystem functions.</w:t>
      </w:r>
    </w:p>
    <w:p>
      <w:pPr>
        <w:pStyle w:val="TextBody"/>
      </w:pPr>
      <w:r>
        <w:t xml:space="preserve">Another likely reason that microbiome-ecosystem function relationships have been</w:t>
      </w:r>
      <w:r>
        <w:t xml:space="preserve"> </w:t>
      </w:r>
      <w:r>
        <w:t xml:space="preserve">difficult to document is that the most common approaches for looking for a</w:t>
      </w:r>
      <w:r>
        <w:t xml:space="preserve"> </w:t>
      </w:r>
      <w:r>
        <w:t xml:space="preserve">relationship requires some prior knowledge of the likely causal links between</w:t>
      </w:r>
      <w:r>
        <w:t xml:space="preserve"> </w:t>
      </w:r>
      <w:r>
        <w:t xml:space="preserve">microbiomes and ecosystem functions. For example, many studies have looked for</w:t>
      </w:r>
      <w:r>
        <w:t xml:space="preserve"> </w:t>
      </w:r>
      <w:r>
        <w:t xml:space="preserve">relationships with the abundance or diversity of a</w:t>
      </w:r>
      <w:r>
        <w:t xml:space="preserve"> </w:t>
      </w:r>
      <w:r>
        <w:t xml:space="preserve">“</w:t>
      </w:r>
      <w:r>
        <w:t xml:space="preserve">marker gene</w:t>
      </w:r>
      <w:r>
        <w:t xml:space="preserve">”</w:t>
      </w:r>
      <w:r>
        <w:t xml:space="preserve"> </w:t>
      </w:r>
      <w:r>
        <w:t xml:space="preserve">for a</w:t>
      </w:r>
      <w:r>
        <w:t xml:space="preserve"> </w:t>
      </w:r>
      <w:r>
        <w:t xml:space="preserve">particular function. Marker genes are microbial genes that code for an enzyme or</w:t>
      </w:r>
      <w:r>
        <w:t xml:space="preserve"> </w:t>
      </w:r>
      <w:r>
        <w:t xml:space="preserve">enzyme-subunit known to be involved in a particular function. But this approach</w:t>
      </w:r>
      <w:r>
        <w:t xml:space="preserve"> </w:t>
      </w:r>
      <w:r>
        <w:t xml:space="preserve">assumes that one can identify the</w:t>
      </w:r>
      <w:r>
        <w:t xml:space="preserve"> </w:t>
      </w:r>
      <w:r>
        <w:t xml:space="preserve">“</w:t>
      </w:r>
      <w:r>
        <w:t xml:space="preserve">right</w:t>
      </w:r>
      <w:r>
        <w:t xml:space="preserve">”</w:t>
      </w:r>
      <w:r>
        <w:t xml:space="preserve"> </w:t>
      </w:r>
      <w:r>
        <w:t xml:space="preserve">marker gene a priori which, given</w:t>
      </w:r>
      <w:r>
        <w:t xml:space="preserve"> </w:t>
      </w:r>
      <w:r>
        <w:t xml:space="preserve">how little is understood about microbial diversity, seems highly unlikely. What</w:t>
      </w:r>
      <w:r>
        <w:t xml:space="preserve"> </w:t>
      </w:r>
      <w:r>
        <w:t xml:space="preserve">is needed are approaches to microbiome-ecosystem</w:t>
      </w:r>
      <w:r>
        <w:t xml:space="preserve"> </w:t>
      </w:r>
      <w:r>
        <w:t xml:space="preserve">function mapping that do not require this degree of prior knowledge.</w:t>
      </w:r>
    </w:p>
    <w:p>
      <w:pPr>
        <w:pStyle w:val="TextBody"/>
      </w:pPr>
      <w:r>
        <w:t xml:space="preserve">Yet another likely reason that microbiome-ecosystem function relationships have</w:t>
      </w:r>
      <w:r>
        <w:t xml:space="preserve"> </w:t>
      </w:r>
      <w:r>
        <w:t xml:space="preserve">been difficult to document is that microbiomes can be related to ecosystem</w:t>
      </w:r>
      <w:r>
        <w:t xml:space="preserve"> </w:t>
      </w:r>
      <w:r>
        <w:t xml:space="preserve">functions in two related but distinct ways that historically have been difficult</w:t>
      </w:r>
      <w:r>
        <w:t xml:space="preserve"> </w:t>
      </w:r>
      <w:r>
        <w:t xml:space="preserve">to separate. One way is that microbiomes may simply be conduits through which</w:t>
      </w:r>
      <w:r>
        <w:t xml:space="preserve"> </w:t>
      </w:r>
      <w:r>
        <w:t xml:space="preserve">the environment drives function. That is to say that the environmental</w:t>
      </w:r>
      <w:r>
        <w:t xml:space="preserve"> </w:t>
      </w:r>
      <w:r>
        <w:t xml:space="preserve">conditions completely regulate the attributes of the microbiome and a shift in</w:t>
      </w:r>
      <w:r>
        <w:t xml:space="preserve"> </w:t>
      </w:r>
      <w:r>
        <w:t xml:space="preserve">the environment causes a shift in microbiome attributes, such as the abundance</w:t>
      </w:r>
      <w:r>
        <w:t xml:space="preserve"> </w:t>
      </w:r>
      <w:r>
        <w:t xml:space="preserve">of a microbial functional group. This shift results in a change in the rate of</w:t>
      </w:r>
      <w:r>
        <w:t xml:space="preserve"> </w:t>
      </w:r>
      <w:r>
        <w:t xml:space="preserve">an ecosystem function. In this case, microbiome attributes would be</w:t>
      </w:r>
      <w:r>
        <w:t xml:space="preserve"> </w:t>
      </w:r>
      <w:r>
        <w:t xml:space="preserve">statistically associated with variation in ecosystem function, but also strongly</w:t>
      </w:r>
      <w:r>
        <w:t xml:space="preserve"> </w:t>
      </w:r>
      <w:r>
        <w:t xml:space="preserve">covary with environmental conditions. Therefore, there would be no association</w:t>
      </w:r>
      <w:r>
        <w:t xml:space="preserve"> </w:t>
      </w:r>
      <w:r>
        <w:t xml:space="preserve">between microbiomes and ecosystem functions independent of the environmental</w:t>
      </w:r>
      <w:r>
        <w:t xml:space="preserve"> </w:t>
      </w:r>
      <w:r>
        <w:t xml:space="preserve">conditions. Under this scenario, knowing anything about the microbiome would not</w:t>
      </w:r>
      <w:r>
        <w:t xml:space="preserve"> </w:t>
      </w:r>
      <w:r>
        <w:t xml:space="preserve">necessarily provide you with information regarding the causes of the change in</w:t>
      </w:r>
      <w:r>
        <w:t xml:space="preserve"> </w:t>
      </w:r>
      <w:r>
        <w:t xml:space="preserve">ecosystem function or improve one’s ability to predict changes in ecosystem</w:t>
      </w:r>
      <w:r>
        <w:t xml:space="preserve"> </w:t>
      </w:r>
      <w:r>
        <w:t xml:space="preserve">function. Furthermore, attempting to alter ecosystem function by altering the</w:t>
      </w:r>
      <w:r>
        <w:t xml:space="preserve"> </w:t>
      </w:r>
      <w:r>
        <w:t xml:space="preserve">microbiome without changing the underlying environmental conditions would likely</w:t>
      </w:r>
      <w:r>
        <w:t xml:space="preserve"> </w:t>
      </w:r>
      <w:r>
        <w:t xml:space="preserve">be fruitless.</w:t>
      </w:r>
    </w:p>
    <w:p>
      <w:pPr>
        <w:pStyle w:val="TextBody"/>
      </w:pPr>
      <w:r>
        <w:t xml:space="preserve">Another possibility is that the microbiome itself alters the rate of ecosystem</w:t>
      </w:r>
      <w:r>
        <w:t xml:space="preserve"> </w:t>
      </w:r>
      <w:r>
        <w:t xml:space="preserve">function independent of the environment. In this case, one cannot predict the</w:t>
      </w:r>
      <w:r>
        <w:t xml:space="preserve"> </w:t>
      </w:r>
      <w:r>
        <w:t xml:space="preserve">rate of ecosystem function without understanding changes in the microbiome. In</w:t>
      </w:r>
      <w:r>
        <w:t xml:space="preserve"> </w:t>
      </w:r>
      <w:r>
        <w:t xml:space="preserve">addition, managing the microbiome through inoculation or selective antibiotics</w:t>
      </w:r>
      <w:r>
        <w:t xml:space="preserve"> </w:t>
      </w:r>
      <w:r>
        <w:t xml:space="preserve">would potentially be an effective approach for enhancing or mitigating certain</w:t>
      </w:r>
      <w:r>
        <w:t xml:space="preserve"> </w:t>
      </w:r>
      <w:r>
        <w:t xml:space="preserve">changes to ecosystem functions. These two scenarios are not mutually</w:t>
      </w:r>
      <w:r>
        <w:t xml:space="preserve"> </w:t>
      </w:r>
      <w:r>
        <w:t xml:space="preserve">exclusive, nor are they likely unique to microbes, but methods to determine the</w:t>
      </w:r>
      <w:r>
        <w:t xml:space="preserve"> </w:t>
      </w:r>
      <w:r>
        <w:t xml:space="preserve">relative importance of these two scenarios have not until recently been employed.</w:t>
      </w:r>
    </w:p>
    <w:p>
      <w:pPr>
        <w:pStyle w:val="TextBody"/>
      </w:pPr>
      <w:r>
        <w:t xml:space="preserve">The problem of connecting microbiome attributes to the rate of an ecosystem</w:t>
      </w:r>
      <w:r>
        <w:t xml:space="preserve"> </w:t>
      </w:r>
      <w:r>
        <w:t xml:space="preserve">function is analogous to the problem of connecting genomic variation to</w:t>
      </w:r>
      <w:r>
        <w:t xml:space="preserve"> </w:t>
      </w:r>
      <w:r>
        <w:t xml:space="preserve">phenotypic traits in organisms, and solutions to this problem may be found by</w:t>
      </w:r>
      <w:r>
        <w:t xml:space="preserve"> </w:t>
      </w:r>
      <w:r>
        <w:t xml:space="preserve">exploring this analogy</w:t>
      </w:r>
      <w:r>
        <w:t xml:space="preserve"> </w:t>
      </w:r>
      <w:r>
        <w:t xml:space="preserve">(7)</w:t>
      </w:r>
      <w:r>
        <w:t xml:space="preserve">. For example, one approach to the problem of</w:t>
      </w:r>
      <w:r>
        <w:t xml:space="preserve"> </w:t>
      </w:r>
      <w:r>
        <w:t xml:space="preserve">genotype-phenotype mapping is to perform artificial selection on a trait of</w:t>
      </w:r>
      <w:r>
        <w:t xml:space="preserve"> </w:t>
      </w:r>
      <w:r>
        <w:t xml:space="preserve">interest and identify genes that respond to selection. Such genes are likely to</w:t>
      </w:r>
      <w:r>
        <w:t xml:space="preserve"> </w:t>
      </w:r>
      <w:r>
        <w:t xml:space="preserve">be causally linked to the trait under selection. An analogous approach for</w:t>
      </w:r>
      <w:r>
        <w:t xml:space="preserve"> </w:t>
      </w:r>
      <w:r>
        <w:t xml:space="preserve">exploring microbiome-ecosystem function relationships is gaining acceptance</w:t>
      </w:r>
      <w:r>
        <w:t xml:space="preserve"> </w:t>
      </w:r>
      <w:r>
        <w:t xml:space="preserve">among microbiologists</w:t>
      </w:r>
      <w:r>
        <w:t xml:space="preserve"> </w:t>
      </w:r>
      <w:r>
        <w:t xml:space="preserve">(8,9)</w:t>
      </w:r>
      <w:r>
        <w:t xml:space="preserve">. Microbiomes have been</w:t>
      </w:r>
      <w:r>
        <w:t xml:space="preserve"> </w:t>
      </w:r>
      <w:r>
        <w:t xml:space="preserve">shown to respond to selection at the ecosystem-trait level</w:t>
      </w:r>
      <w:r>
        <w:t xml:space="preserve"> </w:t>
      </w:r>
      <w:r>
        <w:t xml:space="preserve">(8)</w:t>
      </w:r>
      <w:r>
        <w:t xml:space="preserve">,</w:t>
      </w:r>
      <w:r>
        <w:t xml:space="preserve"> </w:t>
      </w:r>
      <w:r>
        <w:t xml:space="preserve">and some ecosystem-scale microbiome traits have been shown to be transferable</w:t>
      </w:r>
      <w:r>
        <w:t xml:space="preserve"> </w:t>
      </w:r>
      <w:r>
        <w:t xml:space="preserve">through microbiome inoculations</w:t>
      </w:r>
      <w:r>
        <w:t xml:space="preserve"> </w:t>
      </w:r>
      <w:r>
        <w:t xml:space="preserve">(9)</w:t>
      </w:r>
      <w:r>
        <w:t xml:space="preserve">. Applying artificial</w:t>
      </w:r>
      <w:r>
        <w:t xml:space="preserve"> </w:t>
      </w:r>
      <w:r>
        <w:t xml:space="preserve">selection to whole microbiomes could be a novel approach for quantifying how</w:t>
      </w:r>
      <w:r>
        <w:t xml:space="preserve"> </w:t>
      </w:r>
      <w:r>
        <w:t xml:space="preserve">much of the variation in the rate of an ecosystem function could be attributed</w:t>
      </w:r>
      <w:r>
        <w:t xml:space="preserve"> </w:t>
      </w:r>
      <w:r>
        <w:t xml:space="preserve">independently to microbiome variation</w:t>
      </w:r>
      <w:r>
        <w:t xml:space="preserve"> </w:t>
      </w:r>
      <w:r>
        <w:t xml:space="preserve">(10)</w:t>
      </w:r>
      <w:r>
        <w:t xml:space="preserve">. In addition, this</w:t>
      </w:r>
      <w:r>
        <w:t xml:space="preserve"> </w:t>
      </w:r>
      <w:r>
        <w:t xml:space="preserve">approach could be used to identify microbiome attributes, such as genes or taxa,</w:t>
      </w:r>
      <w:r>
        <w:t xml:space="preserve"> </w:t>
      </w:r>
      <w:r>
        <w:t xml:space="preserve">associated with the rate of an ecosystem function, although, to our knowledge</w:t>
      </w:r>
      <w:r>
        <w:t xml:space="preserve"> </w:t>
      </w:r>
      <w:r>
        <w:t xml:space="preserve">this has not previously been accomplished</w:t>
      </w:r>
      <w:r>
        <w:t xml:space="preserve"> </w:t>
      </w:r>
      <w:r>
        <w:t xml:space="preserve">(7,11)</w:t>
      </w:r>
      <w:r>
        <w:t xml:space="preserve">.</w:t>
      </w:r>
      <w:r>
        <w:t xml:space="preserve"> </w:t>
      </w:r>
      <w:r>
        <w:t xml:space="preserve">Such an approach has the potential to expand our ability to model</w:t>
      </w:r>
      <w:r>
        <w:t xml:space="preserve"> </w:t>
      </w:r>
      <w:r>
        <w:t xml:space="preserve">microbial ecosystem-function relationships more accurately and allow us to</w:t>
      </w:r>
      <w:r>
        <w:t xml:space="preserve"> </w:t>
      </w:r>
      <w:r>
        <w:t xml:space="preserve">manage ecosystems for particular outcomes</w:t>
      </w:r>
      <w:r>
        <w:t xml:space="preserve"> </w:t>
      </w:r>
      <w:r>
        <w:t xml:space="preserve">(12,13)</w:t>
      </w:r>
      <w:r>
        <w:t xml:space="preserve">. Here, we</w:t>
      </w:r>
      <w:r>
        <w:t xml:space="preserve"> </w:t>
      </w:r>
      <w:r>
        <w:t xml:space="preserve">use this approach to estimate how much of the variation in ecosystem function</w:t>
      </w:r>
      <w:r>
        <w:t xml:space="preserve"> </w:t>
      </w:r>
      <w:r>
        <w:t xml:space="preserve">(the flux of CH</w:t>
      </w:r>
      <w:r>
        <w:rPr>
          <w:vertAlign w:val="subscript"/>
        </w:rPr>
        <w:t xml:space="preserve">4</w:t>
      </w:r>
      <w:r>
        <w:t xml:space="preserve"> </w:t>
      </w:r>
      <w:r>
        <w:t xml:space="preserve">gas between the soil and atmosphere) can be attributed to</w:t>
      </w:r>
      <w:r>
        <w:t xml:space="preserve"> </w:t>
      </w:r>
      <w:r>
        <w:t xml:space="preserve">variation in the microbiome and to identify microbial markers associated with</w:t>
      </w:r>
      <w:r>
        <w:t xml:space="preserve"> </w:t>
      </w:r>
      <w:r>
        <w:t xml:space="preserve">this ecosystem function.</w:t>
      </w:r>
    </w:p>
    <w:p>
      <w:pPr>
        <w:pStyle w:val="TextBody"/>
      </w:pPr>
      <w:r>
        <w:t xml:space="preserve">Soil CH</w:t>
      </w:r>
      <w:r>
        <w:rPr>
          <w:vertAlign w:val="subscript"/>
        </w:rPr>
        <w:t xml:space="preserve">4</w:t>
      </w:r>
      <w:r>
        <w:t xml:space="preserve"> </w:t>
      </w:r>
      <w:r>
        <w:t xml:space="preserve">oxidation is a suitable function for this study because there is</w:t>
      </w:r>
      <w:r>
        <w:t xml:space="preserve"> </w:t>
      </w:r>
      <w:r>
        <w:t xml:space="preserve">evidence that it may vary with microbiome attributes. For example, variation in</w:t>
      </w:r>
      <w:r>
        <w:t xml:space="preserve"> </w:t>
      </w:r>
      <w:r>
        <w:t xml:space="preserve">CH</w:t>
      </w:r>
      <w:r>
        <w:rPr>
          <w:vertAlign w:val="subscript"/>
        </w:rPr>
        <w:t xml:space="preserve">4</w:t>
      </w:r>
      <w:r>
        <w:t xml:space="preserve"> </w:t>
      </w:r>
      <w:r>
        <w:t xml:space="preserve">emissions in arctic permafrost is correlated with the transcriptional</w:t>
      </w:r>
      <w:r>
        <w:t xml:space="preserve"> </w:t>
      </w:r>
      <w:r>
        <w:t xml:space="preserve">activity of certain methanogens</w:t>
      </w:r>
      <w:r>
        <w:t xml:space="preserve"> </w:t>
      </w:r>
      <w:r>
        <w:t xml:space="preserve">(14,15)</w:t>
      </w:r>
      <w:r>
        <w:t xml:space="preserve">. In addition,</w:t>
      </w:r>
      <w:r>
        <w:t xml:space="preserve"> </w:t>
      </w:r>
      <w:r>
        <w:t xml:space="preserve">soil microbiome phylogenetic variation is a strong predictor of CH</w:t>
      </w:r>
      <w:r>
        <w:rPr>
          <w:vertAlign w:val="subscript"/>
        </w:rPr>
        <w:t xml:space="preserve">4</w:t>
      </w:r>
      <w:r>
        <w:t xml:space="preserve"> </w:t>
      </w:r>
      <w:r>
        <w:t xml:space="preserve">oxidation in</w:t>
      </w:r>
      <w:r>
        <w:t xml:space="preserve"> </w:t>
      </w:r>
      <w:r>
        <w:t xml:space="preserve">forests and pastures of the Brazilian Amazon</w:t>
      </w:r>
      <w:r>
        <w:t xml:space="preserve"> </w:t>
      </w:r>
      <w:r>
        <w:t xml:space="preserve">(16)</w:t>
      </w:r>
      <w:r>
        <w:t xml:space="preserve">. Finally,</w:t>
      </w:r>
      <w:r>
        <w:t xml:space="preserve"> </w:t>
      </w:r>
      <w:r>
        <w:t xml:space="preserve">methanogenesis and methanotrophy are two of the most deeply conserved microbial</w:t>
      </w:r>
      <w:r>
        <w:t xml:space="preserve"> </w:t>
      </w:r>
      <w:r>
        <w:t xml:space="preserve">physiologies and are represented in a narrow range of taxa and so the taxonomic</w:t>
      </w:r>
      <w:r>
        <w:t xml:space="preserve"> </w:t>
      </w:r>
      <w:r>
        <w:t xml:space="preserve">composition of the microbiome is more likely to be associated with the rate of</w:t>
      </w:r>
      <w:r>
        <w:t xml:space="preserve"> </w:t>
      </w:r>
      <w:r>
        <w:t xml:space="preserve">CH</w:t>
      </w:r>
      <w:r>
        <w:rPr>
          <w:vertAlign w:val="subscript"/>
        </w:rPr>
        <w:t xml:space="preserve">4</w:t>
      </w:r>
      <w:r>
        <w:t xml:space="preserve"> </w:t>
      </w:r>
      <w:r>
        <w:t xml:space="preserve">flux than other broader or more shallowly conserved functions</w:t>
      </w:r>
      <w:r>
        <w:t xml:space="preserve"> </w:t>
      </w:r>
      <w:r>
        <w:t xml:space="preserve">(13,17)</w:t>
      </w:r>
      <w:r>
        <w:t xml:space="preserve">. This suggests that microbiome variation might</w:t>
      </w:r>
      <w:r>
        <w:t xml:space="preserve"> </w:t>
      </w:r>
      <w:r>
        <w:t xml:space="preserve">drive variation in CH</w:t>
      </w:r>
      <w:r>
        <w:rPr>
          <w:vertAlign w:val="subscript"/>
        </w:rPr>
        <w:t xml:space="preserve">4</w:t>
      </w:r>
      <w:r>
        <w:t xml:space="preserve"> </w:t>
      </w:r>
      <w:r>
        <w:t xml:space="preserve">oxidation in soils.</w:t>
      </w:r>
    </w:p>
    <w:p>
      <w:pPr>
        <w:pStyle w:val="TextBody"/>
      </w:pPr>
      <w:r>
        <w:t xml:space="preserve">We applied artificial ecosystem selection on soil microbiomes by selecting on</w:t>
      </w:r>
      <w:r>
        <w:t xml:space="preserve"> </w:t>
      </w:r>
      <w:r>
        <w:t xml:space="preserve">the ecosystem-scale CH</w:t>
      </w:r>
      <w:r>
        <w:rPr>
          <w:vertAlign w:val="subscript"/>
        </w:rPr>
        <w:t xml:space="preserve">4</w:t>
      </w:r>
      <w:r>
        <w:t xml:space="preserve"> </w:t>
      </w:r>
      <w:r>
        <w:t xml:space="preserve">oxidation rate. Using this approach, we were able to</w:t>
      </w:r>
      <w:r>
        <w:t xml:space="preserve"> </w:t>
      </w:r>
      <w:r>
        <w:t xml:space="preserve">estimate how much of the variation in CH</w:t>
      </w:r>
      <w:r>
        <w:rPr>
          <w:vertAlign w:val="subscript"/>
        </w:rPr>
        <w:t xml:space="preserve">4</w:t>
      </w:r>
      <w:r>
        <w:t xml:space="preserve"> </w:t>
      </w:r>
      <w:r>
        <w:t xml:space="preserve">oxidation rate was associated with</w:t>
      </w:r>
      <w:r>
        <w:t xml:space="preserve"> </w:t>
      </w:r>
      <w:r>
        <w:t xml:space="preserve">variation in the microbiome. To identify which microorganisms could be markers</w:t>
      </w:r>
      <w:r>
        <w:t xml:space="preserve"> </w:t>
      </w:r>
      <w:r>
        <w:t xml:space="preserve">of CH</w:t>
      </w:r>
      <w:r>
        <w:rPr>
          <w:vertAlign w:val="subscript"/>
        </w:rPr>
        <w:t xml:space="preserve">4</w:t>
      </w:r>
      <w:r>
        <w:t xml:space="preserve"> </w:t>
      </w:r>
      <w:r>
        <w:t xml:space="preserve">oxidation rate, we compared the composition of the artificially</w:t>
      </w:r>
      <w:r>
        <w:t xml:space="preserve"> </w:t>
      </w:r>
      <w:r>
        <w:t xml:space="preserve">selected microbiomes to a control set of microbiomes without selection. We</w:t>
      </w:r>
      <w:r>
        <w:t xml:space="preserve"> </w:t>
      </w:r>
      <w:r>
        <w:t xml:space="preserve">then evaluated whether these markers met our underlying assumptions about</w:t>
      </w:r>
      <w:r>
        <w:t xml:space="preserve"> </w:t>
      </w:r>
      <w:r>
        <w:t xml:space="preserve">which taxa limit the rate of ecosystem function.</w:t>
      </w:r>
    </w:p>
    <w:bookmarkEnd w:id="22"/>
    <w:bookmarkStart w:id="28" w:name="materials-and-methods"/>
    <w:p>
      <w:pPr>
        <w:pStyle w:val="Heading1"/>
      </w:pPr>
      <w:r>
        <w:t xml:space="preserve">Materials and Methods</w:t>
      </w:r>
    </w:p>
    <w:bookmarkStart w:id="23" w:name="experimental-design"/>
    <w:p>
      <w:pPr>
        <w:pStyle w:val="Heading2"/>
      </w:pPr>
      <w:r>
        <w:t xml:space="preserve">Experimental design</w:t>
      </w:r>
    </w:p>
    <w:p>
      <w:pPr>
        <w:pStyle w:val="FirstParagraph"/>
      </w:pPr>
      <w:r>
        <w:t xml:space="preserve">We performed an artificial ecosystem selection experiment</w:t>
      </w:r>
      <w:r>
        <w:t xml:space="preserve"> </w:t>
      </w:r>
      <w:r>
        <w:t xml:space="preserve">(sensu 8)</w:t>
      </w:r>
      <w:r>
        <w:t xml:space="preserve"> </w:t>
      </w:r>
      <w:r>
        <w:t xml:space="preserve">by passaging replicate soil microbiomes. The trait we selected on was</w:t>
      </w:r>
      <w:r>
        <w:t xml:space="preserve"> </w:t>
      </w:r>
      <w:r>
        <w:t xml:space="preserve">CH</w:t>
      </w:r>
      <w:r>
        <w:rPr>
          <w:vertAlign w:val="subscript"/>
        </w:rPr>
        <w:t xml:space="preserve">4</w:t>
      </w:r>
      <w:r>
        <w:t xml:space="preserve"> </w:t>
      </w:r>
      <w:r>
        <w:t xml:space="preserve">oxidation rate. This experiment had two selection lines with twelve jars</w:t>
      </w:r>
      <w:r>
        <w:t xml:space="preserve"> </w:t>
      </w:r>
      <w:r>
        <w:t xml:space="preserve">each for a total of twenty-four jars per passage. One line was a positive</w:t>
      </w:r>
      <w:r>
        <w:t xml:space="preserve"> </w:t>
      </w:r>
      <w:r>
        <w:t xml:space="preserve">selection line where the two or three jars with the highest CH</w:t>
      </w:r>
      <w:r>
        <w:rPr>
          <w:vertAlign w:val="subscript"/>
        </w:rPr>
        <w:t xml:space="preserve">4</w:t>
      </w:r>
      <w:r>
        <w:t xml:space="preserve"> </w:t>
      </w:r>
      <w:r>
        <w:t xml:space="preserve">oxidation rate</w:t>
      </w:r>
      <w:r>
        <w:t xml:space="preserve"> </w:t>
      </w:r>
      <w:r>
        <w:t xml:space="preserve">were chosen to inoculate the next set of positive jars. The other line was a</w:t>
      </w:r>
      <w:r>
        <w:t xml:space="preserve"> </w:t>
      </w:r>
      <w:r>
        <w:t xml:space="preserve">neutral selection line where an equal number of jars as the positive line were</w:t>
      </w:r>
      <w:r>
        <w:t xml:space="preserve"> </w:t>
      </w:r>
      <w:r>
        <w:t xml:space="preserve">chosen at random to inoculate the next set of neutral jars. The number of jars</w:t>
      </w:r>
      <w:r>
        <w:t xml:space="preserve"> </w:t>
      </w:r>
      <w:r>
        <w:t xml:space="preserve">chosen was based on the distribution of fluxes among the positive jars, i.e., we</w:t>
      </w:r>
      <w:r>
        <w:t xml:space="preserve"> </w:t>
      </w:r>
      <w:r>
        <w:t xml:space="preserve">chose the top three jars unless only two jars had considerably greater CH</w:t>
      </w:r>
      <w:r>
        <w:rPr>
          <w:vertAlign w:val="subscript"/>
        </w:rPr>
        <w:t xml:space="preserve">4</w:t>
      </w:r>
      <w:r>
        <w:t xml:space="preserve"> </w:t>
      </w:r>
      <w:r>
        <w:t xml:space="preserve">oxidation</w:t>
      </w:r>
      <w:r>
        <w:t xml:space="preserve"> </w:t>
      </w:r>
      <w:r>
        <w:t xml:space="preserve">rates based on visual inspection of histograms. The experiment was carried out</w:t>
      </w:r>
      <w:r>
        <w:t xml:space="preserve"> </w:t>
      </w:r>
      <w:r>
        <w:t xml:space="preserve">over five passages until a significant divergence in functional rates was</w:t>
      </w:r>
      <w:r>
        <w:t xml:space="preserve"> </w:t>
      </w:r>
      <w:r>
        <w:t xml:space="preserve">observed between the two selection treatments.</w:t>
      </w:r>
    </w:p>
    <w:p>
      <w:pPr>
        <w:pStyle w:val="TextBody"/>
      </w:pPr>
      <w:r>
        <w:t xml:space="preserve">The initial soil microbiome was sampled from the top 10 cm of an upland mineral</w:t>
      </w:r>
      <w:r>
        <w:t xml:space="preserve"> </w:t>
      </w:r>
      <w:r>
        <w:t xml:space="preserve">soil under a deciduous forest ecosystem near the University of Oregon campus in</w:t>
      </w:r>
      <w:r>
        <w:t xml:space="preserve"> </w:t>
      </w:r>
      <w:r>
        <w:t xml:space="preserve">Eugene, OR, USA. Incubations were performed in 500 mL mason jars with rubber</w:t>
      </w:r>
      <w:r>
        <w:t xml:space="preserve"> </w:t>
      </w:r>
      <w:r>
        <w:t xml:space="preserve">septa installed in the lids. Each jar was sterilized with 70% ethanol to which</w:t>
      </w:r>
      <w:r>
        <w:t xml:space="preserve"> </w:t>
      </w:r>
      <w:r>
        <w:t xml:space="preserve">was added 45 g of autoclaved potting mix, 5 g of living soil, and 3.5 mL of</w:t>
      </w:r>
      <w:r>
        <w:t xml:space="preserve"> </w:t>
      </w:r>
      <w:r>
        <w:t xml:space="preserve">sterile deionized water to bring them to 60% of field capacity. The potting mix was</w:t>
      </w:r>
      <w:r>
        <w:t xml:space="preserve"> </w:t>
      </w:r>
      <w:r>
        <w:t xml:space="preserve">Lane Potting Mix from Lane Forest Products (Eugene, OR, USA). The jars were</w:t>
      </w:r>
      <w:r>
        <w:t xml:space="preserve"> </w:t>
      </w:r>
      <w:r>
        <w:t xml:space="preserve">then homogenized, capped, and injected with 4.3 mL of 99% CH</w:t>
      </w:r>
      <w:r>
        <w:rPr>
          <w:vertAlign w:val="subscript"/>
        </w:rPr>
        <w:t xml:space="preserve">4</w:t>
      </w:r>
      <w:r>
        <w:t xml:space="preserve"> </w:t>
      </w:r>
      <w:r>
        <w:t xml:space="preserve">to bring</w:t>
      </w:r>
      <w:r>
        <w:t xml:space="preserve"> </w:t>
      </w:r>
      <w:r>
        <w:t xml:space="preserve">the headspace concentration to approximately 1000 ppm CH</w:t>
      </w:r>
      <w:r>
        <w:rPr>
          <w:vertAlign w:val="subscript"/>
        </w:rPr>
        <w:t xml:space="preserve">4</w:t>
      </w:r>
      <w:r>
        <w:t xml:space="preserve">. To create the</w:t>
      </w:r>
      <w:r>
        <w:t xml:space="preserve"> </w:t>
      </w:r>
      <w:r>
        <w:t xml:space="preserve">two treatment groups, twenty-four jars were created in an identical manner and</w:t>
      </w:r>
      <w:r>
        <w:t xml:space="preserve"> </w:t>
      </w:r>
      <w:r>
        <w:t xml:space="preserve">then randomly assigned to either the positive or neutral selection line. Jars</w:t>
      </w:r>
      <w:r>
        <w:t xml:space="preserve"> </w:t>
      </w:r>
      <w:r>
        <w:t xml:space="preserve">were flushed and respiked twice per week to maintain aerobic conditions and</w:t>
      </w:r>
      <w:r>
        <w:t xml:space="preserve"> </w:t>
      </w:r>
      <w:r>
        <w:t xml:space="preserve">elevated CH</w:t>
      </w:r>
      <w:r>
        <w:rPr>
          <w:vertAlign w:val="subscript"/>
        </w:rPr>
        <w:t xml:space="preserve">4</w:t>
      </w:r>
      <w:r>
        <w:t xml:space="preserve"> </w:t>
      </w:r>
      <w:r>
        <w:t xml:space="preserve">concentrations and were incubated at ambient temperature for</w:t>
      </w:r>
      <w:r>
        <w:t xml:space="preserve"> </w:t>
      </w:r>
      <w:r>
        <w:t xml:space="preserve">approximately three weeks. Methane oxidation rates were determined at the end</w:t>
      </w:r>
      <w:r>
        <w:t xml:space="preserve"> </w:t>
      </w:r>
      <w:r>
        <w:t xml:space="preserve">of the incubation period. For the positive treatment, the three jars with the</w:t>
      </w:r>
      <w:r>
        <w:t xml:space="preserve"> </w:t>
      </w:r>
      <w:r>
        <w:t xml:space="preserve">greatest CH</w:t>
      </w:r>
      <w:r>
        <w:rPr>
          <w:vertAlign w:val="subscript"/>
        </w:rPr>
        <w:t xml:space="preserve">4</w:t>
      </w:r>
      <w:r>
        <w:t xml:space="preserve"> </w:t>
      </w:r>
      <w:r>
        <w:t xml:space="preserve">oxidation rates were chosen to inoculate the next generation.</w:t>
      </w:r>
      <w:r>
        <w:t xml:space="preserve"> </w:t>
      </w:r>
      <w:r>
        <w:t xml:space="preserve">For the neutral treatment, three jars were randomly selected to inoculate the</w:t>
      </w:r>
      <w:r>
        <w:t xml:space="preserve"> </w:t>
      </w:r>
      <w:r>
        <w:t xml:space="preserve">next generation. For each treatment, the selected jars were homogenized and 5 g</w:t>
      </w:r>
      <w:r>
        <w:t xml:space="preserve"> </w:t>
      </w:r>
      <w:r>
        <w:t xml:space="preserve">of the homogenized soil was used to inoculate the next set of jars, which</w:t>
      </w:r>
      <w:r>
        <w:t xml:space="preserve"> </w:t>
      </w:r>
      <w:r>
        <w:t xml:space="preserve">represents a 10% subsampling. The</w:t>
      </w:r>
      <w:r>
        <w:t xml:space="preserve"> </w:t>
      </w:r>
      <w:r>
        <w:t xml:space="preserve">next set of jars were created in an identical manner to the first generation</w:t>
      </w:r>
      <w:r>
        <w:t xml:space="preserve"> </w:t>
      </w:r>
      <w:r>
        <w:t xml:space="preserve">with fresh autoclaved potting mix and the same moisture and CH</w:t>
      </w:r>
      <w:r>
        <w:rPr>
          <w:vertAlign w:val="subscript"/>
        </w:rPr>
        <w:t xml:space="preserve">4</w:t>
      </w:r>
      <w:r>
        <w:t xml:space="preserve"> </w:t>
      </w:r>
      <w:r>
        <w:t xml:space="preserve">content.</w:t>
      </w:r>
    </w:p>
    <w:bookmarkEnd w:id="23"/>
    <w:bookmarkStart w:id="24" w:name="methane-oxidation-rate"/>
    <w:p>
      <w:pPr>
        <w:pStyle w:val="Heading2"/>
      </w:pPr>
      <w:r>
        <w:t xml:space="preserve">Methane oxidation rate</w:t>
      </w:r>
    </w:p>
    <w:p>
      <w:pPr>
        <w:pStyle w:val="FirstParagraph"/>
      </w:pPr>
      <w:r>
        <w:t xml:space="preserve">Methane oxidation rates were determined after flushing and spiking jars to</w:t>
      </w:r>
      <w:r>
        <w:t xml:space="preserve"> </w:t>
      </w:r>
      <w:r>
        <w:t xml:space="preserve">approximately 1000 ppm CH</w:t>
      </w:r>
      <w:r>
        <w:rPr>
          <w:vertAlign w:val="subscript"/>
        </w:rPr>
        <w:t xml:space="preserve">4</w:t>
      </w:r>
      <w:r>
        <w:t xml:space="preserve">. Headspace samples of 1 mL were collected from each</w:t>
      </w:r>
      <w:r>
        <w:t xml:space="preserve"> </w:t>
      </w:r>
      <w:r>
        <w:t xml:space="preserve">jar immediately after spiking and then at time points 3, 6, 24, and 48 hours for</w:t>
      </w:r>
      <w:r>
        <w:t xml:space="preserve"> </w:t>
      </w:r>
      <w:r>
        <w:t xml:space="preserve">a 5-point curve. Samples were immediately injected into a SRI model 8610C gas</w:t>
      </w:r>
      <w:r>
        <w:t xml:space="preserve"> </w:t>
      </w:r>
      <w:r>
        <w:t xml:space="preserve">chromatograph equipped with a flame ionization detector (SRI Instruments, Torrance, CA, USA) to determine the headspace CH</w:t>
      </w:r>
      <w:r>
        <w:rPr>
          <w:vertAlign w:val="subscript"/>
        </w:rPr>
        <w:t xml:space="preserve">4</w:t>
      </w:r>
      <w:r>
        <w:t xml:space="preserve"> </w:t>
      </w:r>
      <w:r>
        <w:t xml:space="preserve">concentration. Fluxes were calculated from a first-order exponential decay</w:t>
      </w:r>
      <w:r>
        <w:t xml:space="preserve"> </w:t>
      </w:r>
      <w:r>
        <w:t xml:space="preserve">function as decay constant</w:t>
      </w:r>
      <w:r>
        <w:t xml:space="preserve"> </w:t>
      </w:r>
      <m:oMath>
        <m:r>
          <m:t>k</m:t>
        </m:r>
      </m:oMath>
      <w:r>
        <w:t xml:space="preserve"> </w:t>
      </w:r>
      <w:r>
        <w:t xml:space="preserve">with units day</w:t>
      </w:r>
      <w:r>
        <w:rPr>
          <w:vertAlign w:val="superscript"/>
        </w:rPr>
        <w:t xml:space="preserve">-1</w:t>
      </w:r>
      <w:r>
        <w:t xml:space="preserve">. Oxidation rates are presented</w:t>
      </w:r>
      <w:r>
        <w:t xml:space="preserve"> </w:t>
      </w:r>
      <w:r>
        <w:t xml:space="preserve">as the additive inverse of</w:t>
      </w:r>
      <w:r>
        <w:t xml:space="preserve"> </w:t>
      </w:r>
      <m:oMath>
        <m:r>
          <m:t>k</m:t>
        </m:r>
      </m:oMath>
      <w:r>
        <w:t xml:space="preserve"> </w:t>
      </w:r>
      <w:r>
        <w:t xml:space="preserve">(i.e.,</w:t>
      </w:r>
      <w:r>
        <w:t xml:space="preserve"> </w:t>
      </w:r>
      <m:oMath>
        <m:r>
          <m:rPr>
            <m:sty m:val="p"/>
          </m:rPr>
          <m:t>−</m:t>
        </m:r>
        <m:r>
          <m:t>k</m:t>
        </m:r>
      </m:oMath>
      <w:r>
        <w:t xml:space="preserve">) so that a more positive value</w:t>
      </w:r>
      <w:r>
        <w:t xml:space="preserve"> </w:t>
      </w:r>
      <w:r>
        <w:t xml:space="preserve">represents a greater oxidation rate. The jars selected for the positive</w:t>
      </w:r>
      <w:r>
        <w:t xml:space="preserve"> </w:t>
      </w:r>
      <w:r>
        <w:t xml:space="preserve">treatment in passage 2 had the lowest CH</w:t>
      </w:r>
      <w:r>
        <w:rPr>
          <w:vertAlign w:val="subscript"/>
        </w:rPr>
        <w:t xml:space="preserve">4</w:t>
      </w:r>
      <w:r>
        <w:t xml:space="preserve"> </w:t>
      </w:r>
      <w:r>
        <w:t xml:space="preserve">oxidation rate of the twelve jars</w:t>
      </w:r>
      <w:r>
        <w:t xml:space="preserve"> </w:t>
      </w:r>
      <w:r>
        <w:t xml:space="preserve">due to a calculation error in the CH</w:t>
      </w:r>
      <w:r>
        <w:rPr>
          <w:vertAlign w:val="subscript"/>
        </w:rPr>
        <w:t xml:space="preserve">4</w:t>
      </w:r>
      <w:r>
        <w:t xml:space="preserve"> </w:t>
      </w:r>
      <w:r>
        <w:t xml:space="preserve">oxidation rate. All other passages</w:t>
      </w:r>
      <w:r>
        <w:t xml:space="preserve"> </w:t>
      </w:r>
      <w:r>
        <w:t xml:space="preserve">correctly used the top three jars.</w:t>
      </w:r>
    </w:p>
    <w:bookmarkEnd w:id="24"/>
    <w:bookmarkStart w:id="25" w:name="soil-dna-extraction-and-sequencing"/>
    <w:p>
      <w:pPr>
        <w:pStyle w:val="Heading2"/>
      </w:pPr>
      <w:r>
        <w:t xml:space="preserve">Soil DNA extraction and sequencing</w:t>
      </w:r>
    </w:p>
    <w:p>
      <w:pPr>
        <w:pStyle w:val="FirstParagraph"/>
      </w:pPr>
      <w:r>
        <w:t xml:space="preserve">A subsample of soil from the starting inoculum and from every jar in passages 2</w:t>
      </w:r>
      <w:r>
        <w:t xml:space="preserve"> </w:t>
      </w:r>
      <w:r>
        <w:t xml:space="preserve">and 5 was collected and stored at</w:t>
      </w:r>
      <w:r>
        <w:t xml:space="preserve"> </w:t>
      </w:r>
      <m:oMath>
        <m:r>
          <m:rPr>
            <m:sty m:val="p"/>
          </m:rPr>
          <m:t>−</m:t>
        </m:r>
        <m:sSup>
          <m:e>
            <m:r>
              <m:t>80</m:t>
            </m:r>
          </m:e>
          <m:sup>
            <m:r>
              <m:rPr>
                <m:sty m:val="p"/>
              </m:rPr>
              <m:t>∘</m:t>
            </m:r>
          </m:sup>
        </m:sSup>
      </m:oMath>
      <w:r>
        <w:t xml:space="preserve">C. Soil DNA was extracted from 0.25</w:t>
      </w:r>
      <w:r>
        <w:t xml:space="preserve"> </w:t>
      </w:r>
      <w:r>
        <w:t xml:space="preserve">g soil. Negative controls were extracted from autoclaved potting mix and</w:t>
      </w:r>
      <w:r>
        <w:t xml:space="preserve"> </w:t>
      </w:r>
      <w:r>
        <w:t xml:space="preserve">DNase-free water. Extractions were performed using the DNeasy PowerSoil kit</w:t>
      </w:r>
      <w:r>
        <w:t xml:space="preserve"> </w:t>
      </w:r>
      <w:r>
        <w:t xml:space="preserve">(QIAGEN, Düsseldorf, Germany) and quantified using Qubit dsDNA HS Assay Kit (Thermo Fisher</w:t>
      </w:r>
      <w:r>
        <w:t xml:space="preserve"> </w:t>
      </w:r>
      <w:r>
        <w:t xml:space="preserve">Scientific, Inc., Waltham, MA, USA). To estimate the diversity and relative abundance of</w:t>
      </w:r>
      <w:r>
        <w:t xml:space="preserve"> </w:t>
      </w:r>
      <w:r>
        <w:t xml:space="preserve">the bacterial and archaeal taxa in our soil ecosystems, we sequenced the V4</w:t>
      </w:r>
      <w:r>
        <w:t xml:space="preserve"> </w:t>
      </w:r>
      <w:r>
        <w:t xml:space="preserve">region of the 16S rRNA gene using the 515F - 806R primer combination</w:t>
      </w:r>
      <w:r>
        <w:t xml:space="preserve"> </w:t>
      </w:r>
      <w:r>
        <w:t xml:space="preserve">(18)</w:t>
      </w:r>
      <w:r>
        <w:t xml:space="preserve">. PCR mixtures were: 10</w:t>
      </w:r>
      <w:r>
        <w:t xml:space="preserve"> </w:t>
      </w:r>
      <m:oMath>
        <m:r>
          <m:t>μ</m:t>
        </m:r>
      </m:oMath>
      <w:r>
        <w:t xml:space="preserve">l NEBNext Q5 Hot Start HiFi PCR</w:t>
      </w:r>
      <w:r>
        <w:t xml:space="preserve"> </w:t>
      </w:r>
      <w:r>
        <w:t xml:space="preserve">master mix, 9.2</w:t>
      </w:r>
      <w:r>
        <w:t xml:space="preserve"> </w:t>
      </w:r>
      <m:oMath>
        <m:r>
          <m:t>μ</m:t>
        </m:r>
      </m:oMath>
      <w:r>
        <w:t xml:space="preserve">l primer mixture (1.09</w:t>
      </w:r>
      <w:r>
        <w:t xml:space="preserve"> </w:t>
      </w:r>
      <m:oMath>
        <m:r>
          <m:t>μ</m:t>
        </m:r>
      </m:oMath>
      <w:r>
        <w:t xml:space="preserve">M concentration), and 0.8</w:t>
      </w:r>
      <w:r>
        <w:t xml:space="preserve"> </w:t>
      </w:r>
      <m:oMath>
        <m:r>
          <m:t>μ</m:t>
        </m:r>
      </m:oMath>
      <w:r>
        <w:t xml:space="preserve">l of DNA template. Reaction conditions were:</w:t>
      </w:r>
      <w:r>
        <w:t xml:space="preserve"> </w:t>
      </w:r>
      <m:oMath>
        <m:sSup>
          <m:e>
            <m:r>
              <m:t>98</m:t>
            </m:r>
          </m:e>
          <m:sup>
            <m:r>
              <m:rPr>
                <m:sty m:val="p"/>
              </m:rPr>
              <m:t>∘</m:t>
            </m:r>
          </m:sup>
        </m:sSup>
      </m:oMath>
      <w:r>
        <w:t xml:space="preserve">C for 30 s</w:t>
      </w:r>
      <w:r>
        <w:t xml:space="preserve"> </w:t>
      </w:r>
      <w:r>
        <w:t xml:space="preserve">(initialization); 35 cycles of</w:t>
      </w:r>
      <w:r>
        <w:t xml:space="preserve"> </w:t>
      </w:r>
      <m:oMath>
        <m:sSup>
          <m:e>
            <m:r>
              <m:t>98</m:t>
            </m:r>
          </m:e>
          <m:sup>
            <m:r>
              <m:rPr>
                <m:sty m:val="p"/>
              </m:rPr>
              <m:t>∘</m:t>
            </m:r>
          </m:sup>
        </m:sSup>
      </m:oMath>
      <w:r>
        <w:t xml:space="preserve">C for 10 s (denaturation),</w:t>
      </w:r>
      <w:r>
        <w:t xml:space="preserve"> </w:t>
      </w:r>
      <m:oMath>
        <m:sSup>
          <m:e>
            <m:r>
              <m:t>61</m:t>
            </m:r>
          </m:e>
          <m:sup>
            <m:r>
              <m:rPr>
                <m:sty m:val="p"/>
              </m:rPr>
              <m:t>∘</m:t>
            </m:r>
          </m:sup>
        </m:sSup>
      </m:oMath>
      <w:r>
        <w:t xml:space="preserve">C</w:t>
      </w:r>
      <w:r>
        <w:t xml:space="preserve"> </w:t>
      </w:r>
      <w:r>
        <w:t xml:space="preserve">for 20 s (annealing), and</w:t>
      </w:r>
      <w:r>
        <w:t xml:space="preserve"> </w:t>
      </w:r>
      <m:oMath>
        <m:sSup>
          <m:e>
            <m:r>
              <m:t>72</m:t>
            </m:r>
          </m:e>
          <m:sup>
            <m:r>
              <m:rPr>
                <m:sty m:val="p"/>
              </m:rPr>
              <m:t>∘</m:t>
            </m:r>
          </m:sup>
        </m:sSup>
      </m:oMath>
      <w:r>
        <w:t xml:space="preserve">C for 20 s (extension); and</w:t>
      </w:r>
      <w:r>
        <w:t xml:space="preserve"> </w:t>
      </w:r>
      <m:oMath>
        <m:sSup>
          <m:e>
            <m:r>
              <m:t>72</m:t>
            </m:r>
          </m:e>
          <m:sup>
            <m:r>
              <m:rPr>
                <m:sty m:val="p"/>
              </m:rPr>
              <m:t>∘</m:t>
            </m:r>
          </m:sup>
        </m:sSup>
      </m:oMath>
      <w:r>
        <w:t xml:space="preserve">C for</w:t>
      </w:r>
      <w:r>
        <w:t xml:space="preserve"> </w:t>
      </w:r>
      <w:r>
        <w:t xml:space="preserve">2 m (final extension). Reactions were performed in triplicate and then combined.</w:t>
      </w:r>
      <w:r>
        <w:t xml:space="preserve"> </w:t>
      </w:r>
      <w:r>
        <w:t xml:space="preserve">Amplicons were purified twice using 0.8x ratio Mag-Bind</w:t>
      </w:r>
      <w:r>
        <w:t xml:space="preserve"> </w:t>
      </w:r>
      <w:r>
        <w:t xml:space="preserve">RxnPure Plus isolation beads (Omega Bio-Tek, Norcross, GA, USA). Sequencing libraries were</w:t>
      </w:r>
      <w:r>
        <w:t xml:space="preserve"> </w:t>
      </w:r>
      <w:r>
        <w:t xml:space="preserve">prepared using a dual-indexing approach</w:t>
      </w:r>
      <w:r>
        <w:t xml:space="preserve"> </w:t>
      </w:r>
      <w:r>
        <w:t xml:space="preserve">(19,20)</w:t>
      </w:r>
      <w:r>
        <w:t xml:space="preserve">. Amplicon</w:t>
      </w:r>
      <w:r>
        <w:t xml:space="preserve"> </w:t>
      </w:r>
      <w:r>
        <w:t xml:space="preserve">concentrations were quantified using Qubit and multiplexed at equimolar concentration. Sequencing</w:t>
      </w:r>
      <w:r>
        <w:t xml:space="preserve"> </w:t>
      </w:r>
      <w:r>
        <w:t xml:space="preserve">was performed at the University of Oregon Genomics Core Facility on the Illumina</w:t>
      </w:r>
      <w:r>
        <w:t xml:space="preserve"> </w:t>
      </w:r>
      <w:r>
        <w:t xml:space="preserve">NovaSeq 6000 with paired-end 150 bp reads (Illumina, Inc., San Diego, CA, USA).</w:t>
      </w:r>
    </w:p>
    <w:bookmarkEnd w:id="25"/>
    <w:bookmarkStart w:id="26" w:name="bioinformatics"/>
    <w:p>
      <w:pPr>
        <w:pStyle w:val="Heading2"/>
      </w:pPr>
      <w:r>
        <w:t xml:space="preserve">Bioinformatics</w:t>
      </w:r>
    </w:p>
    <w:p>
      <w:pPr>
        <w:pStyle w:val="FirstParagraph"/>
      </w:pPr>
      <w:r>
        <w:t xml:space="preserve">Bioinformatics processing was performed in</w:t>
      </w:r>
      <w:r>
        <w:t xml:space="preserve"> </w:t>
      </w:r>
      <w:r>
        <w:t xml:space="preserve">‘</w:t>
      </w:r>
      <w:r>
        <w:t xml:space="preserve">R</w:t>
      </w:r>
      <w:r>
        <w:t xml:space="preserve">’</w:t>
      </w:r>
      <w:r>
        <w:t xml:space="preserve"> </w:t>
      </w:r>
      <w:r>
        <w:t xml:space="preserve">(21)</w:t>
      </w:r>
      <w:r>
        <w:t xml:space="preserve">.</w:t>
      </w:r>
      <w:r>
        <w:t xml:space="preserve"> </w:t>
      </w:r>
      <w:r>
        <w:t xml:space="preserve">Demultiplexed sequencing reads were denoised using</w:t>
      </w:r>
      <w:r>
        <w:t xml:space="preserve"> </w:t>
      </w:r>
      <w:r>
        <w:t xml:space="preserve">‘</w:t>
      </w:r>
      <w:r>
        <w:t xml:space="preserve">DADA2</w:t>
      </w:r>
      <w:r>
        <w:t xml:space="preserve">’</w:t>
      </w:r>
      <w:r>
        <w:t xml:space="preserve"> </w:t>
      </w:r>
      <w:r>
        <w:t xml:space="preserve">to generate a table</w:t>
      </w:r>
      <w:r>
        <w:t xml:space="preserve"> </w:t>
      </w:r>
      <w:r>
        <w:t xml:space="preserve">of amplicon sequence variants (ASVs)</w:t>
      </w:r>
      <w:r>
        <w:t xml:space="preserve"> </w:t>
      </w:r>
      <w:r>
        <w:t xml:space="preserve">(22)</w:t>
      </w:r>
      <w:r>
        <w:t xml:space="preserve">. Taxonomic assignment was performed</w:t>
      </w:r>
      <w:r>
        <w:t xml:space="preserve"> </w:t>
      </w:r>
      <w:r>
        <w:t xml:space="preserve">using the Ribosomal Database Project naive Bayesian classifier</w:t>
      </w:r>
      <w:r>
        <w:t xml:space="preserve"> </w:t>
      </w:r>
      <w:r>
        <w:t xml:space="preserve">(23)</w:t>
      </w:r>
      <w:r>
        <w:t xml:space="preserve">. The presence of</w:t>
      </w:r>
      <w:r>
        <w:t xml:space="preserve"> </w:t>
      </w:r>
      <w:r>
        <w:t xml:space="preserve">contaminants was evaluated using both the prevalence and frequency methods from</w:t>
      </w:r>
      <w:r>
        <w:t xml:space="preserve"> </w:t>
      </w:r>
      <w:r>
        <w:t xml:space="preserve">‘</w:t>
      </w:r>
      <w:r>
        <w:t xml:space="preserve">DECONTAM</w:t>
      </w:r>
      <w:r>
        <w:t xml:space="preserve">’</w:t>
      </w:r>
      <w:r>
        <w:t xml:space="preserve"> </w:t>
      </w:r>
      <w:r>
        <w:t xml:space="preserve">(24)</w:t>
      </w:r>
      <w:r>
        <w:t xml:space="preserve">.</w:t>
      </w:r>
      <w:r>
        <w:t xml:space="preserve"> </w:t>
      </w:r>
      <w:r>
        <w:t xml:space="preserve">Decontam identified 16 potential contaminants based</w:t>
      </w:r>
      <w:r>
        <w:t xml:space="preserve"> </w:t>
      </w:r>
      <w:r>
        <w:t xml:space="preserve">on prevalence and frequency. Visual inspection of abundance-concentration</w:t>
      </w:r>
      <w:r>
        <w:t xml:space="preserve"> </w:t>
      </w:r>
      <w:r>
        <w:t xml:space="preserve">plots indicated that 9 of these were likely contaminants and these</w:t>
      </w:r>
      <w:r>
        <w:t xml:space="preserve"> </w:t>
      </w:r>
      <w:r>
        <w:t xml:space="preserve">ASVs were removed.</w:t>
      </w:r>
    </w:p>
    <w:bookmarkEnd w:id="26"/>
    <w:bookmarkStart w:id="27" w:name="statistical-analysis"/>
    <w:p>
      <w:pPr>
        <w:pStyle w:val="Heading2"/>
      </w:pPr>
      <w:r>
        <w:t xml:space="preserve">Statistical Analysis</w:t>
      </w:r>
    </w:p>
    <w:p>
      <w:pPr>
        <w:pStyle w:val="FirstParagraph"/>
      </w:pPr>
      <w:r>
        <w:t xml:space="preserve">Statistical analyses were performed in</w:t>
      </w:r>
      <w:r>
        <w:t xml:space="preserve"> </w:t>
      </w:r>
      <w:r>
        <w:t xml:space="preserve">‘</w:t>
      </w:r>
      <w:r>
        <w:t xml:space="preserve">R</w:t>
      </w:r>
      <w:r>
        <w:t xml:space="preserve">’</w:t>
      </w:r>
      <w:r>
        <w:t xml:space="preserve"> </w:t>
      </w:r>
      <w:r>
        <w:t xml:space="preserve">(21)</w:t>
      </w:r>
      <w:r>
        <w:t xml:space="preserve">. To determine</w:t>
      </w:r>
      <w:r>
        <w:t xml:space="preserve"> </w:t>
      </w:r>
      <w:r>
        <w:t xml:space="preserve">whether there was a significant change in CH</w:t>
      </w:r>
      <w:r>
        <w:rPr>
          <w:vertAlign w:val="subscript"/>
        </w:rPr>
        <w:t xml:space="preserve">4</w:t>
      </w:r>
      <w:r>
        <w:t xml:space="preserve"> </w:t>
      </w:r>
      <w:r>
        <w:t xml:space="preserve">oxidation rate as a</w:t>
      </w:r>
      <w:r>
        <w:t xml:space="preserve"> </w:t>
      </w:r>
      <w:r>
        <w:t xml:space="preserve">response to selection, we tested a difference in slopes between the positive</w:t>
      </w:r>
      <w:r>
        <w:t xml:space="preserve"> </w:t>
      </w:r>
      <w:r>
        <w:t xml:space="preserve">and neutral selection lines. Residuals did not meet the assumptions of constant variance</w:t>
      </w:r>
      <w:r>
        <w:t xml:space="preserve"> </w:t>
      </w:r>
      <w:r>
        <w:t xml:space="preserve">and normal distribution. Therefore, CH</w:t>
      </w:r>
      <w:r>
        <w:rPr>
          <w:vertAlign w:val="subscript"/>
        </w:rPr>
        <w:t xml:space="preserve">4</w:t>
      </w:r>
      <w:r>
        <w:t xml:space="preserve"> </w:t>
      </w:r>
      <w:r>
        <w:t xml:space="preserve">oxidation rates were log</w:t>
      </w:r>
      <w:r>
        <w:rPr>
          <w:vertAlign w:val="subscript"/>
        </w:rPr>
        <w:t xml:space="preserve">10</w:t>
      </w:r>
      <w:r>
        <w:t xml:space="preserve"> </w:t>
      </w:r>
      <w:r>
        <w:t xml:space="preserve">transformed prior to analysis. First, we tested the difference of slopes between</w:t>
      </w:r>
      <w:r>
        <w:t xml:space="preserve"> </w:t>
      </w:r>
      <w:r>
        <w:t xml:space="preserve">the positive and neutral treatments by</w:t>
      </w:r>
      <w:r>
        <w:t xml:space="preserve"> </w:t>
      </w:r>
      <w:r>
        <w:t xml:space="preserve">fitting two nested models with and without the interaction between treatment</w:t>
      </w:r>
      <w:r>
        <w:t xml:space="preserve"> </w:t>
      </w:r>
      <w:r>
        <w:t xml:space="preserve">and passage using</w:t>
      </w:r>
      <w:r>
        <w:t xml:space="preserve"> </w:t>
      </w:r>
      <w:r>
        <w:t xml:space="preserve">‘</w:t>
      </w:r>
      <w:r>
        <w:t xml:space="preserve">lm</w:t>
      </w:r>
      <w:r>
        <w:t xml:space="preserve">’</w:t>
      </w:r>
      <w:r>
        <w:t xml:space="preserve">. We compared these</w:t>
      </w:r>
      <w:r>
        <w:t xml:space="preserve"> </w:t>
      </w:r>
      <w:r>
        <w:t xml:space="preserve">models using an F-test with the</w:t>
      </w:r>
      <w:r>
        <w:t xml:space="preserve"> </w:t>
      </w:r>
      <w:r>
        <w:t xml:space="preserve">‘</w:t>
      </w:r>
      <w:r>
        <w:t xml:space="preserve">anova</w:t>
      </w:r>
      <w:r>
        <w:t xml:space="preserve">’</w:t>
      </w:r>
      <w:r>
        <w:t xml:space="preserve"> </w:t>
      </w:r>
      <w:r>
        <w:t xml:space="preserve">function. We</w:t>
      </w:r>
      <w:r>
        <w:t xml:space="preserve"> </w:t>
      </w:r>
      <w:r>
        <w:t xml:space="preserve">then fit the full model with the interaction term to estimate the slopes for each treatment, which</w:t>
      </w:r>
      <w:r>
        <w:t xml:space="preserve"> </w:t>
      </w:r>
      <w:r>
        <w:t xml:space="preserve">represented the change in CH</w:t>
      </w:r>
      <w:r>
        <w:rPr>
          <w:vertAlign w:val="subscript"/>
        </w:rPr>
        <w:t xml:space="preserve">4</w:t>
      </w:r>
      <w:r>
        <w:t xml:space="preserve"> </w:t>
      </w:r>
      <w:r>
        <w:t xml:space="preserve">oxidation rate per passage as a response to</w:t>
      </w:r>
      <w:r>
        <w:t xml:space="preserve"> </w:t>
      </w:r>
      <w:r>
        <w:t xml:space="preserve">selection.</w:t>
      </w:r>
    </w:p>
    <w:p>
      <w:pPr>
        <w:pStyle w:val="TextBody"/>
      </w:pPr>
      <w:r>
        <w:t xml:space="preserve">To estimate the proportion of variance in CH</w:t>
      </w:r>
      <w:r>
        <w:rPr>
          <w:vertAlign w:val="subscript"/>
        </w:rPr>
        <w:t xml:space="preserve">4</w:t>
      </w:r>
      <w:r>
        <w:t xml:space="preserve"> </w:t>
      </w:r>
      <w:r>
        <w:t xml:space="preserve">oxidation rate due to variation in</w:t>
      </w:r>
      <w:r>
        <w:t xml:space="preserve"> </w:t>
      </w:r>
      <w:r>
        <w:t xml:space="preserve">the microbiome, we estimated narrow-sense heritability (</w:t>
      </w:r>
      <m:oMath>
        <m:sSup>
          <m:e>
            <m:r>
              <m:t>h</m:t>
            </m:r>
          </m:e>
          <m:sup>
            <m:r>
              <m:t>2</m:t>
            </m:r>
          </m:sup>
        </m:sSup>
      </m:oMath>
      <w:r>
        <w:t xml:space="preserve">) as the</w:t>
      </w:r>
      <w:r>
        <w:t xml:space="preserve"> </w:t>
      </w:r>
      <w:r>
        <w:t xml:space="preserve">regression of mid-offspring on mid-parent</w:t>
      </w:r>
      <w:r>
        <w:t xml:space="preserve"> </w:t>
      </w:r>
      <w:r>
        <w:t xml:space="preserve">(25)</w:t>
      </w:r>
      <w:r>
        <w:t xml:space="preserve">. The mid-parent was the</w:t>
      </w:r>
      <w:r>
        <w:t xml:space="preserve"> </w:t>
      </w:r>
      <w:r>
        <w:t xml:space="preserve">mean for all three selected jars and the mid-offspring was the mean for all jars</w:t>
      </w:r>
      <w:r>
        <w:t xml:space="preserve"> </w:t>
      </w:r>
      <w:r>
        <w:t xml:space="preserve">produced by those parents. First, we tested if there was an effect of treatment</w:t>
      </w:r>
      <w:r>
        <w:t xml:space="preserve"> </w:t>
      </w:r>
      <w:r>
        <w:t xml:space="preserve">on the heritability estimate. We compared nested models with and without treatment using an F-test</w:t>
      </w:r>
      <w:r>
        <w:t xml:space="preserve"> </w:t>
      </w:r>
      <w:r>
        <w:t xml:space="preserve">test with the</w:t>
      </w:r>
      <w:r>
        <w:t xml:space="preserve"> </w:t>
      </w:r>
      <w:r>
        <w:t xml:space="preserve">‘</w:t>
      </w:r>
      <w:r>
        <w:t xml:space="preserve">anova</w:t>
      </w:r>
      <w:r>
        <w:t xml:space="preserve">’</w:t>
      </w:r>
      <w:r>
        <w:t xml:space="preserve"> </w:t>
      </w:r>
      <w:r>
        <w:t xml:space="preserve">function. We then fit the full model to estimate the</w:t>
      </w:r>
      <w:r>
        <w:t xml:space="preserve"> </w:t>
      </w:r>
      <w:r>
        <w:t xml:space="preserve">heritability of the Positive and Neutral treatments.</w:t>
      </w:r>
    </w:p>
    <w:p>
      <w:pPr>
        <w:pStyle w:val="TextBody"/>
      </w:pPr>
      <w:r>
        <w:t xml:space="preserve">Richness was estimated using the method from</w:t>
      </w:r>
      <w:r>
        <w:t xml:space="preserve"> </w:t>
      </w:r>
      <w:r>
        <w:t xml:space="preserve">(26)</w:t>
      </w:r>
      <w:r>
        <w:t xml:space="preserve"> </w:t>
      </w:r>
      <w:r>
        <w:t xml:space="preserve">with a subsample</w:t>
      </w:r>
      <w:r>
        <w:t xml:space="preserve"> </w:t>
      </w:r>
      <w:r>
        <w:t xml:space="preserve">size of 177,130 using the</w:t>
      </w:r>
      <w:r>
        <w:t xml:space="preserve"> </w:t>
      </w:r>
      <w:r>
        <w:t xml:space="preserve">‘</w:t>
      </w:r>
      <w:r>
        <w:t xml:space="preserve">rarefy</w:t>
      </w:r>
      <w:r>
        <w:t xml:space="preserve">’</w:t>
      </w:r>
      <w:r>
        <w:t xml:space="preserve"> </w:t>
      </w:r>
      <w:r>
        <w:t xml:space="preserve">function in</w:t>
      </w:r>
      <w:r>
        <w:t xml:space="preserve"> </w:t>
      </w:r>
      <w:r>
        <w:t xml:space="preserve">‘</w:t>
      </w:r>
      <w:r>
        <w:t xml:space="preserve">vegan</w:t>
      </w:r>
      <w:r>
        <w:t xml:space="preserve">’</w:t>
      </w:r>
      <w:r>
        <w:t xml:space="preserve"> </w:t>
      </w:r>
      <w:r>
        <w:t xml:space="preserve">(27)</w:t>
      </w:r>
      <w:r>
        <w:t xml:space="preserve">. We</w:t>
      </w:r>
      <w:r>
        <w:t xml:space="preserve"> </w:t>
      </w:r>
      <w:r>
        <w:t xml:space="preserve">tested a difference in richness by both passage and treatment with a</w:t>
      </w:r>
      <w:r>
        <w:t xml:space="preserve"> </w:t>
      </w:r>
      <w:r>
        <w:t xml:space="preserve">Kruskal-Wallace test followed by a pairwise Wilcoxon test. Next, we estimated</w:t>
      </w:r>
      <w:r>
        <w:t xml:space="preserve"> </w:t>
      </w:r>
      <w:r>
        <w:t xml:space="preserve">beta-diversity as the Bray-Curtis dissimilarity by averaging 100 random subsets</w:t>
      </w:r>
      <w:r>
        <w:t xml:space="preserve"> </w:t>
      </w:r>
      <w:r>
        <w:t xml:space="preserve">with a subsample size of 177,130 using the</w:t>
      </w:r>
      <w:r>
        <w:t xml:space="preserve"> </w:t>
      </w:r>
      <w:r>
        <w:t xml:space="preserve">‘</w:t>
      </w:r>
      <w:r>
        <w:t xml:space="preserve">avgdist</w:t>
      </w:r>
      <w:r>
        <w:t xml:space="preserve">’</w:t>
      </w:r>
      <w:r>
        <w:t xml:space="preserve"> </w:t>
      </w:r>
      <w:r>
        <w:t xml:space="preserve">function in</w:t>
      </w:r>
      <w:r>
        <w:t xml:space="preserve"> </w:t>
      </w:r>
      <w:r>
        <w:t xml:space="preserve">‘</w:t>
      </w:r>
      <w:r>
        <w:t xml:space="preserve">vegan</w:t>
      </w:r>
      <w:r>
        <w:t xml:space="preserve">’</w:t>
      </w:r>
      <w:r>
        <w:t xml:space="preserve"> </w:t>
      </w:r>
      <w:r>
        <w:t xml:space="preserve">(27,28)</w:t>
      </w:r>
      <w:r>
        <w:t xml:space="preserve">. We tested a difference in centroid and dispersion</w:t>
      </w:r>
      <w:r>
        <w:t xml:space="preserve"> </w:t>
      </w:r>
      <w:r>
        <w:t xml:space="preserve">of beta diversity by passage and treatment using a permutational analysis of</w:t>
      </w:r>
      <w:r>
        <w:t xml:space="preserve"> </w:t>
      </w:r>
      <w:r>
        <w:t xml:space="preserve">variance (PERMANOVA) with 999 permutations using the</w:t>
      </w:r>
      <w:r>
        <w:t xml:space="preserve"> </w:t>
      </w:r>
      <w:r>
        <w:t xml:space="preserve">‘</w:t>
      </w:r>
      <w:r>
        <w:t xml:space="preserve">adonis2</w:t>
      </w:r>
      <w:r>
        <w:t xml:space="preserve">’</w:t>
      </w:r>
      <w:r>
        <w:t xml:space="preserve"> </w:t>
      </w:r>
      <w:r>
        <w:t xml:space="preserve">function from</w:t>
      </w:r>
      <w:r>
        <w:t xml:space="preserve"> </w:t>
      </w:r>
      <w:r>
        <w:t xml:space="preserve">‘</w:t>
      </w:r>
      <w:r>
        <w:t xml:space="preserve">vegan</w:t>
      </w:r>
      <w:r>
        <w:t xml:space="preserve">’</w:t>
      </w:r>
      <w:r>
        <w:t xml:space="preserve"> </w:t>
      </w:r>
      <w:r>
        <w:t xml:space="preserve">and tested a difference of group dispersions using</w:t>
      </w:r>
      <w:r>
        <w:t xml:space="preserve"> </w:t>
      </w:r>
      <w:r>
        <w:t xml:space="preserve">‘</w:t>
      </w:r>
      <w:r>
        <w:t xml:space="preserve">betadisper</w:t>
      </w:r>
      <w:r>
        <w:t xml:space="preserve">’</w:t>
      </w:r>
      <w:r>
        <w:t xml:space="preserve"> </w:t>
      </w:r>
      <w:r>
        <w:t xml:space="preserve">and</w:t>
      </w:r>
      <w:r>
        <w:t xml:space="preserve"> </w:t>
      </w:r>
      <w:r>
        <w:t xml:space="preserve">‘</w:t>
      </w:r>
      <w:r>
        <w:t xml:space="preserve">anova</w:t>
      </w:r>
      <w:r>
        <w:t xml:space="preserve">’</w:t>
      </w:r>
      <w:r>
        <w:t xml:space="preserve"> </w:t>
      </w:r>
      <w:r>
        <w:t xml:space="preserve">with 999 permutations</w:t>
      </w:r>
      <w:r>
        <w:t xml:space="preserve"> </w:t>
      </w:r>
      <w:r>
        <w:t xml:space="preserve">(27,29)</w:t>
      </w:r>
      <w:r>
        <w:t xml:space="preserve">. Lastly, we tested</w:t>
      </w:r>
      <w:r>
        <w:t xml:space="preserve"> </w:t>
      </w:r>
      <w:r>
        <w:t xml:space="preserve">the correlation between CH</w:t>
      </w:r>
      <w:r>
        <w:rPr>
          <w:vertAlign w:val="subscript"/>
        </w:rPr>
        <w:t xml:space="preserve">4</w:t>
      </w:r>
      <w:r>
        <w:t xml:space="preserve"> </w:t>
      </w:r>
      <w:r>
        <w:t xml:space="preserve">oxidation rate and Bray-Curtis dissimilarity in</w:t>
      </w:r>
      <w:r>
        <w:t xml:space="preserve"> </w:t>
      </w:r>
      <w:r>
        <w:t xml:space="preserve">Passage 5 with a distance-based redundancy analysis (dbRDA) using the</w:t>
      </w:r>
      <w:r>
        <w:t xml:space="preserve"> </w:t>
      </w:r>
      <w:r>
        <w:t xml:space="preserve">‘</w:t>
      </w:r>
      <w:r>
        <w:t xml:space="preserve">dbrda</w:t>
      </w:r>
      <w:r>
        <w:t xml:space="preserve">’</w:t>
      </w:r>
      <w:r>
        <w:t xml:space="preserve"> </w:t>
      </w:r>
      <w:r>
        <w:t xml:space="preserve">function in</w:t>
      </w:r>
      <w:r>
        <w:t xml:space="preserve"> </w:t>
      </w:r>
      <w:r>
        <w:t xml:space="preserve">‘</w:t>
      </w:r>
      <w:r>
        <w:t xml:space="preserve">vegan</w:t>
      </w:r>
      <w:r>
        <w:t xml:space="preserve">’</w:t>
      </w:r>
      <w:r>
        <w:t xml:space="preserve"> </w:t>
      </w:r>
      <w:r>
        <w:t xml:space="preserve">and estimated the p-value using a permutation F-test with</w:t>
      </w:r>
      <w:r>
        <w:t xml:space="preserve"> </w:t>
      </w:r>
      <w:r>
        <w:t xml:space="preserve">999 permutations</w:t>
      </w:r>
      <w:r>
        <w:t xml:space="preserve"> </w:t>
      </w:r>
      <w:r>
        <w:t xml:space="preserve">(27,29)</w:t>
      </w:r>
    </w:p>
    <w:p>
      <w:pPr>
        <w:pStyle w:val="TextBody"/>
      </w:pPr>
      <w:r>
        <w:t xml:space="preserve">To identify taxa that responded to selection on CH</w:t>
      </w:r>
      <w:r>
        <w:rPr>
          <w:vertAlign w:val="subscript"/>
        </w:rPr>
        <w:t xml:space="preserve">4</w:t>
      </w:r>
      <w:r>
        <w:t xml:space="preserve"> </w:t>
      </w:r>
      <w:r>
        <w:t xml:space="preserve">oxidation rate, we tested</w:t>
      </w:r>
      <w:r>
        <w:t xml:space="preserve"> </w:t>
      </w:r>
      <w:r>
        <w:t xml:space="preserve">differential abundance between the two treatments in passage 5. We first</w:t>
      </w:r>
      <w:r>
        <w:t xml:space="preserve"> </w:t>
      </w:r>
      <w:r>
        <w:t xml:space="preserve">grouped ASVs at the family level keeping ASVs that lacked a family-level taxonomic</w:t>
      </w:r>
      <w:r>
        <w:t xml:space="preserve"> </w:t>
      </w:r>
      <w:r>
        <w:t xml:space="preserve">assignment by grouping them at a higher level. We</w:t>
      </w:r>
      <w:r>
        <w:t xml:space="preserve"> </w:t>
      </w:r>
      <w:r>
        <w:t xml:space="preserve">then subset the samples in Passage 5 and removed all families with a prevalence</w:t>
      </w:r>
      <w:r>
        <w:t xml:space="preserve"> </w:t>
      </w:r>
      <w:r>
        <w:t xml:space="preserve">of less than 10% in either treatment. We used three methods for testing differential abundance: ANCOM-II, ALDEx2, and CORNCOB. We then</w:t>
      </w:r>
      <w:r>
        <w:t xml:space="preserve"> </w:t>
      </w:r>
      <w:r>
        <w:t xml:space="preserve">pulled out the consensus taxa that were significant</w:t>
      </w:r>
      <w:r>
        <w:t xml:space="preserve"> </w:t>
      </w:r>
      <w:r>
        <w:t xml:space="preserve">with all three tests and plotted their relative abundances. For ANCOM-II, we used the</w:t>
      </w:r>
      <w:r>
        <w:t xml:space="preserve"> </w:t>
      </w:r>
      <w:r>
        <w:t xml:space="preserve">‘</w:t>
      </w:r>
      <w:r>
        <w:t xml:space="preserve">ancom</w:t>
      </w:r>
      <w:r>
        <w:t xml:space="preserve">’</w:t>
      </w:r>
      <w:r>
        <w:t xml:space="preserve"> </w:t>
      </w:r>
      <w:r>
        <w:t xml:space="preserve">function in the</w:t>
      </w:r>
      <w:r>
        <w:t xml:space="preserve"> </w:t>
      </w:r>
      <w:r>
        <w:t xml:space="preserve">‘</w:t>
      </w:r>
      <w:r>
        <w:t xml:space="preserve">ANCOM-BC</w:t>
      </w:r>
      <w:r>
        <w:t xml:space="preserve">’</w:t>
      </w:r>
      <w:r>
        <w:t xml:space="preserve"> </w:t>
      </w:r>
      <w:r>
        <w:t xml:space="preserve">package with a cutoff of W = 0.7</w:t>
      </w:r>
      <w:r>
        <w:t xml:space="preserve"> </w:t>
      </w:r>
      <w:r>
        <w:t xml:space="preserve">(30,31)</w:t>
      </w:r>
      <w:r>
        <w:t xml:space="preserve">. For ALDEx2, we used the</w:t>
      </w:r>
      <w:r>
        <w:t xml:space="preserve"> </w:t>
      </w:r>
      <w:r>
        <w:t xml:space="preserve">‘</w:t>
      </w:r>
      <w:r>
        <w:t xml:space="preserve">aldex</w:t>
      </w:r>
      <w:r>
        <w:t xml:space="preserve">’</w:t>
      </w:r>
      <w:r>
        <w:t xml:space="preserve"> </w:t>
      </w:r>
      <w:r>
        <w:t xml:space="preserve">function in the</w:t>
      </w:r>
      <w:r>
        <w:t xml:space="preserve"> </w:t>
      </w:r>
      <w:r>
        <w:t xml:space="preserve">‘</w:t>
      </w:r>
      <w:r>
        <w:t xml:space="preserve">ALDEx2</w:t>
      </w:r>
      <w:r>
        <w:t xml:space="preserve">’</w:t>
      </w:r>
      <w:r>
        <w:t xml:space="preserve"> </w:t>
      </w:r>
      <w:r>
        <w:t xml:space="preserve">package with Welch’s t-test and we used an effect size of</w:t>
      </w:r>
      <w:r>
        <w:t xml:space="preserve"> </w:t>
      </w:r>
      <w:r>
        <w:t xml:space="preserve">1 as our significance threshold</w:t>
      </w:r>
      <w:r>
        <w:t xml:space="preserve"> </w:t>
      </w:r>
      <w:r>
        <w:t xml:space="preserve">(32)</w:t>
      </w:r>
      <w:r>
        <w:t xml:space="preserve">. Finally, we used CORNCOB with the</w:t>
      </w:r>
      <w:r>
        <w:t xml:space="preserve"> </w:t>
      </w:r>
      <w:r>
        <w:t xml:space="preserve">‘</w:t>
      </w:r>
      <w:r>
        <w:t xml:space="preserve">differentialTest</w:t>
      </w:r>
      <w:r>
        <w:t xml:space="preserve">’</w:t>
      </w:r>
      <w:r>
        <w:t xml:space="preserve"> </w:t>
      </w:r>
      <w:r>
        <w:t xml:space="preserve">function in the</w:t>
      </w:r>
      <w:r>
        <w:t xml:space="preserve"> </w:t>
      </w:r>
      <w:r>
        <w:t xml:space="preserve">‘</w:t>
      </w:r>
      <w:r>
        <w:t xml:space="preserve">corncob</w:t>
      </w:r>
      <w:r>
        <w:t xml:space="preserve">’</w:t>
      </w:r>
      <w:r>
        <w:t xml:space="preserve"> </w:t>
      </w:r>
      <w:r>
        <w:t xml:space="preserve">package with the Wald test and without bootstrapping</w:t>
      </w:r>
      <w:r>
        <w:t xml:space="preserve"> </w:t>
      </w:r>
      <w:r>
        <w:t xml:space="preserve">(33)</w:t>
      </w:r>
      <w:r>
        <w:t xml:space="preserve">. Lastly, to test differentially abundant methanotrophs, we subset all ASVs within methanotrophic families and tested their differential abundance aggregated at the family and genus level using</w:t>
      </w:r>
      <w:r>
        <w:t xml:space="preserve"> </w:t>
      </w:r>
      <w:r>
        <w:t xml:space="preserve">‘</w:t>
      </w:r>
      <w:r>
        <w:t xml:space="preserve">corncob</w:t>
      </w:r>
      <w:r>
        <w:t xml:space="preserve">’</w:t>
      </w:r>
      <w:r>
        <w:t xml:space="preserve">.</w:t>
      </w:r>
    </w:p>
    <w:bookmarkEnd w:id="27"/>
    <w:bookmarkEnd w:id="28"/>
    <w:bookmarkStart w:id="34" w:name="results"/>
    <w:p>
      <w:pPr>
        <w:pStyle w:val="Heading1"/>
      </w:pPr>
      <w:r>
        <w:t xml:space="preserve">Results</w:t>
      </w:r>
    </w:p>
    <w:bookmarkStart w:id="29" w:name="Xc2d21a0d19c3188cf98e037054740438f3ba714"/>
    <w:p>
      <w:pPr>
        <w:pStyle w:val="Heading2"/>
      </w:pPr>
      <w:r>
        <w:t xml:space="preserve">Response to selection on methane oxidation rate</w:t>
      </w:r>
    </w:p>
    <w:p>
      <w:pPr>
        <w:pStyle w:val="FirstParagraph"/>
      </w:pPr>
      <w:r>
        <w:t xml:space="preserve">We observed a response to selection on whole-ecosystem soil CH</w:t>
      </w:r>
      <w:r>
        <w:rPr>
          <w:vertAlign w:val="subscript"/>
        </w:rPr>
        <w:t xml:space="preserve">4</w:t>
      </w:r>
      <w:r>
        <w:t xml:space="preserve"> </w:t>
      </w:r>
      <w:r>
        <w:t xml:space="preserve">oxidation</w:t>
      </w:r>
      <w:r>
        <w:t xml:space="preserve"> </w:t>
      </w:r>
      <w:r>
        <w:t xml:space="preserve">rate (Figure 1; difference of slopes:</w:t>
      </w:r>
      <w:r>
        <w:t xml:space="preserve"> </w:t>
      </w:r>
      <w:r>
        <w:t xml:space="preserve">F~27.3895504,log_ch4 ~ passage * treat~ = 1.86, p = 3.85). At the start of the experiment, the Positive</w:t>
      </w:r>
      <w:r>
        <w:t xml:space="preserve"> </w:t>
      </w:r>
      <w:r>
        <w:t xml:space="preserve">treatment had a mean CH</w:t>
      </w:r>
      <w:r>
        <w:rPr>
          <w:vertAlign w:val="subscript"/>
        </w:rPr>
        <w:t xml:space="preserve">4</w:t>
      </w:r>
      <w:r>
        <w:t xml:space="preserve"> </w:t>
      </w:r>
      <w:r>
        <w:t xml:space="preserve">oxidation rate that was</w:t>
      </w:r>
      <w:r>
        <w:t xml:space="preserve"> </w:t>
      </w:r>
      <w:r>
        <w:t xml:space="preserve">24% lower than the</w:t>
      </w:r>
      <w:r>
        <w:t xml:space="preserve"> </w:t>
      </w:r>
      <w:r>
        <w:t xml:space="preserve">Neutral treatment (difference of y-intercepts = -0.34, SE = 0.16, t = -2.14, p = 0.03).</w:t>
      </w:r>
      <w:r>
        <w:t xml:space="preserve"> </w:t>
      </w:r>
      <w:r>
        <w:t xml:space="preserve">There was no change in CH</w:t>
      </w:r>
      <w:r>
        <w:rPr>
          <w:vertAlign w:val="subscript"/>
        </w:rPr>
        <w:t xml:space="preserve">4</w:t>
      </w:r>
      <w:r>
        <w:t xml:space="preserve"> </w:t>
      </w:r>
      <w:r>
        <w:t xml:space="preserve">oxidation rate of the Neutral</w:t>
      </w:r>
      <w:r>
        <w:t xml:space="preserve"> </w:t>
      </w:r>
      <w:r>
        <w:t xml:space="preserve">treatment over the five passages (slope = -0.01, SE = 0.05, t = -0.26, p = 0.80). By contrast,</w:t>
      </w:r>
      <w:r>
        <w:t xml:space="preserve"> </w:t>
      </w:r>
      <w:r>
        <w:t xml:space="preserve">the Positive treatment had a 51% increase in CH</w:t>
      </w:r>
      <w:r>
        <w:rPr>
          <w:vertAlign w:val="subscript"/>
        </w:rPr>
        <w:t xml:space="preserve">4</w:t>
      </w:r>
      <w:r>
        <w:t xml:space="preserve"> </w:t>
      </w:r>
      <w:r>
        <w:t xml:space="preserve">oxidation rate per passage (slope = 0.18, SE = 0.06, t = 2.76, p = 0.01).</w:t>
      </w:r>
    </w:p>
    <w:bookmarkEnd w:id="29"/>
    <w:bookmarkStart w:id="30" w:name="heritability-of-methane-oxidation"/>
    <w:p>
      <w:pPr>
        <w:pStyle w:val="Heading2"/>
      </w:pPr>
      <w:r>
        <w:t xml:space="preserve">Heritability of methane oxidation</w:t>
      </w:r>
    </w:p>
    <w:p>
      <w:pPr>
        <w:pStyle w:val="FirstParagraph"/>
      </w:pPr>
      <w:r>
        <w:t xml:space="preserve">We estimated heritability as the regression of mid-offspring on mid-parent (Figure 2).</w:t>
      </w:r>
      <w:r>
        <w:t xml:space="preserve"> </w:t>
      </w:r>
      <w:r>
        <w:t xml:space="preserve">Offspring CH</w:t>
      </w:r>
      <w:r>
        <w:rPr>
          <w:vertAlign w:val="subscript"/>
        </w:rPr>
        <w:t xml:space="preserve">4</w:t>
      </w:r>
      <w:r>
        <w:t xml:space="preserve"> </w:t>
      </w:r>
      <w:r>
        <w:t xml:space="preserve">oxidation rates were correlated with parental CH</w:t>
      </w:r>
      <w:r>
        <w:rPr>
          <w:vertAlign w:val="subscript"/>
        </w:rPr>
        <w:t xml:space="preserve">4</w:t>
      </w:r>
      <w:r>
        <w:t xml:space="preserve"> </w:t>
      </w:r>
      <w:r>
        <w:t xml:space="preserve">oxidation</w:t>
      </w:r>
      <w:r>
        <w:t xml:space="preserve"> </w:t>
      </w:r>
      <w:r>
        <w:t xml:space="preserve">rates in both the Positive treatment (slope = 1.08, SE = 0.24, t = 4.43, p = 0.01) and the</w:t>
      </w:r>
      <w:r>
        <w:t xml:space="preserve"> </w:t>
      </w:r>
      <w:r>
        <w:t xml:space="preserve">Neutral treatment (slope = -0.58, SE = 0.20, t = -2.89, p = 0.04).</w:t>
      </w:r>
    </w:p>
    <w:bookmarkEnd w:id="30"/>
    <w:bookmarkStart w:id="31" w:name="taxonomic-richness"/>
    <w:p>
      <w:pPr>
        <w:pStyle w:val="Heading2"/>
      </w:pPr>
      <w:r>
        <w:t xml:space="preserve">Taxonomic richness</w:t>
      </w:r>
    </w:p>
    <w:p>
      <w:pPr>
        <w:pStyle w:val="FirstParagraph"/>
      </w:pPr>
      <w:r>
        <w:t xml:space="preserve">Median ASV richness decreased from 3427.0 (783.8) in Passage 2 to 1579.0 (156.8) in Passage 5 (Kruskal-Wallace test:</w:t>
      </w:r>
      <w:r>
        <w:t xml:space="preserve"> </w:t>
      </w:r>
      <m:oMath>
        <m:sSup>
          <m:e>
            <m:r>
              <m:t>χ</m:t>
            </m:r>
          </m:e>
          <m:sup>
            <m:r>
              <m:t>2</m:t>
            </m:r>
          </m:sup>
        </m:sSup>
      </m:oMath>
      <w:r>
        <w:t xml:space="preserve"> </w:t>
      </w:r>
      <w:r>
        <w:t xml:space="preserve">=</w:t>
      </w:r>
      <w:r>
        <w:t xml:space="preserve"> </w:t>
      </w:r>
      <w:r>
        <w:t xml:space="preserve">35.4, df = 3, p &lt; 0.001; pairwise Wilcoxon test: p &lt; 0.001). However, there was no</w:t>
      </w:r>
      <w:r>
        <w:t xml:space="preserve"> </w:t>
      </w:r>
      <w:r>
        <w:t xml:space="preserve">difference in richness between the Positive and the Neutral treatment in</w:t>
      </w:r>
      <w:r>
        <w:t xml:space="preserve"> </w:t>
      </w:r>
      <w:r>
        <w:t xml:space="preserve">Passage 2 or 5 (pairwise Wilcoxon test: p = 0.6). In addition, there was no</w:t>
      </w:r>
      <w:r>
        <w:t xml:space="preserve"> </w:t>
      </w:r>
      <w:r>
        <w:t xml:space="preserve">correlation between richness and CH</w:t>
      </w:r>
      <w:r>
        <w:rPr>
          <w:vertAlign w:val="subscript"/>
        </w:rPr>
        <w:t xml:space="preserve">4</w:t>
      </w:r>
      <w:r>
        <w:t xml:space="preserve"> </w:t>
      </w:r>
      <w:r>
        <w:t xml:space="preserve">oxidation rate across the two treatments in Passage 5 (Spearman’s rho = -0.2, p = 0.3).</w:t>
      </w:r>
    </w:p>
    <w:bookmarkEnd w:id="31"/>
    <w:bookmarkStart w:id="32" w:name="community-dissimilarity"/>
    <w:p>
      <w:pPr>
        <w:pStyle w:val="Heading2"/>
      </w:pPr>
      <w:r>
        <w:t xml:space="preserve">Community dissimilarity</w:t>
      </w:r>
    </w:p>
    <w:p>
      <w:pPr>
        <w:pStyle w:val="FirstParagraph"/>
      </w:pPr>
      <w:r>
        <w:t xml:space="preserve">Bray-Curtis dissimilarity of the soil microbiome varied strongly by passage and</w:t>
      </w:r>
      <w:r>
        <w:t xml:space="preserve"> </w:t>
      </w:r>
      <w:r>
        <w:t xml:space="preserve">weakly by treatment with an interaction between passage and treatment (Figure 3).</w:t>
      </w:r>
      <w:r>
        <w:t xml:space="preserve"> </w:t>
      </w:r>
      <w:r>
        <w:t xml:space="preserve">Passage explained 55.8% of the</w:t>
      </w:r>
      <w:r>
        <w:t xml:space="preserve"> </w:t>
      </w:r>
      <w:r>
        <w:t xml:space="preserve">variation in Bray-Curtis dissimilarity (F</w:t>
      </w:r>
      <w:r>
        <w:rPr>
          <w:vertAlign w:val="subscript"/>
        </w:rPr>
        <w:t xml:space="preserve">1,44</w:t>
      </w:r>
      <w:r>
        <w:t xml:space="preserve"> </w:t>
      </w:r>
      <w:r>
        <w:t xml:space="preserve">= 73.3, p = 0.001), treatment explained</w:t>
      </w:r>
      <w:r>
        <w:t xml:space="preserve"> </w:t>
      </w:r>
      <w:r>
        <w:t xml:space="preserve">5.9%</w:t>
      </w:r>
      <w:r>
        <w:t xml:space="preserve"> </w:t>
      </w:r>
      <w:r>
        <w:t xml:space="preserve">of the variation (F</w:t>
      </w:r>
      <w:r>
        <w:rPr>
          <w:vertAlign w:val="subscript"/>
        </w:rPr>
        <w:t xml:space="preserve">1,44</w:t>
      </w:r>
      <w:r>
        <w:t xml:space="preserve"> </w:t>
      </w:r>
      <w:r>
        <w:t xml:space="preserve">= 7.8, p = 0.001), and the interaction</w:t>
      </w:r>
      <w:r>
        <w:t xml:space="preserve"> </w:t>
      </w:r>
      <w:r>
        <w:t xml:space="preserve">between treatment and passage explained</w:t>
      </w:r>
      <w:r>
        <w:t xml:space="preserve"> </w:t>
      </w:r>
      <w:r>
        <w:t xml:space="preserve">4.7% of the variation (F</w:t>
      </w:r>
      <w:r>
        <w:rPr>
          <w:vertAlign w:val="subscript"/>
        </w:rPr>
        <w:t xml:space="preserve">1,44</w:t>
      </w:r>
      <w:r>
        <w:t xml:space="preserve"> </w:t>
      </w:r>
      <w:r>
        <w:t xml:space="preserve">= 6.2, p = 0.005). There was</w:t>
      </w:r>
      <w:r>
        <w:t xml:space="preserve"> </w:t>
      </w:r>
      <w:r>
        <w:t xml:space="preserve">no difference in dispersion between treatments or passages (F</w:t>
      </w:r>
      <w:r>
        <w:rPr>
          <w:vertAlign w:val="subscript"/>
        </w:rPr>
        <w:t xml:space="preserve">3,44</w:t>
      </w:r>
      <w:r>
        <w:t xml:space="preserve"> </w:t>
      </w:r>
      <w:r>
        <w:t xml:space="preserve">= 0.91, p = 0.45).</w:t>
      </w:r>
      <w:r>
        <w:t xml:space="preserve"> </w:t>
      </w:r>
      <w:r>
        <w:t xml:space="preserve">Finally, CH</w:t>
      </w:r>
      <w:r>
        <w:rPr>
          <w:vertAlign w:val="subscript"/>
        </w:rPr>
        <w:t xml:space="preserve">4</w:t>
      </w:r>
      <w:r>
        <w:t xml:space="preserve"> </w:t>
      </w:r>
      <w:r>
        <w:t xml:space="preserve">oxidation rate was correlated with Bray-Curtis dissimilarity across both treatments in Passage 5 and explained 9.6% of the variation in Bray-Curtis dissimilarity (dbRDA: F</w:t>
      </w:r>
      <w:r>
        <w:rPr>
          <w:vertAlign w:val="subscript"/>
        </w:rPr>
        <w:t xml:space="preserve">1,22</w:t>
      </w:r>
      <w:r>
        <w:t xml:space="preserve"> </w:t>
      </w:r>
      <w:r>
        <w:t xml:space="preserve">= 2.35, p = 0.015)</w:t>
      </w:r>
    </w:p>
    <w:bookmarkEnd w:id="32"/>
    <w:bookmarkStart w:id="33" w:name="taxa-that-responded-to-selection"/>
    <w:p>
      <w:pPr>
        <w:pStyle w:val="Heading2"/>
      </w:pPr>
      <w:r>
        <w:t xml:space="preserve">Taxa that responded to selection</w:t>
      </w:r>
    </w:p>
    <w:p>
      <w:pPr>
        <w:pStyle w:val="FirstParagraph"/>
      </w:pPr>
      <w:r>
        <w:t xml:space="preserve">To identify taxa that responded</w:t>
      </w:r>
      <w:r>
        <w:t xml:space="preserve"> </w:t>
      </w:r>
      <w:r>
        <w:t xml:space="preserve">to selection on soil CH</w:t>
      </w:r>
      <w:r>
        <w:rPr>
          <w:vertAlign w:val="subscript"/>
        </w:rPr>
        <w:t xml:space="preserve">4</w:t>
      </w:r>
      <w:r>
        <w:t xml:space="preserve"> </w:t>
      </w:r>
      <w:r>
        <w:t xml:space="preserve">oxidation rate, we tested the differential relative</w:t>
      </w:r>
      <w:r>
        <w:t xml:space="preserve"> </w:t>
      </w:r>
      <w:r>
        <w:t xml:space="preserve">abundance of families in the Positive jars relative to the Neutral jars within</w:t>
      </w:r>
      <w:r>
        <w:t xml:space="preserve"> </w:t>
      </w:r>
      <w:r>
        <w:t xml:space="preserve">Passage 5 using three methods and then plotted the taxa identified by all three methods. We identified 13</w:t>
      </w:r>
      <w:r>
        <w:t xml:space="preserve"> </w:t>
      </w:r>
      <w:r>
        <w:t xml:space="preserve">families that were enriched or depleted in the Positive treatment relative to</w:t>
      </w:r>
      <w:r>
        <w:t xml:space="preserve"> </w:t>
      </w:r>
      <w:r>
        <w:t xml:space="preserve">the Neutral treatment (Figure 4).</w:t>
      </w:r>
    </w:p>
    <w:p>
      <w:pPr>
        <w:pStyle w:val="TextBody"/>
      </w:pPr>
      <w:r>
        <w:t xml:space="preserve">Overall, none of the families enriched in the Positive selection treatment</w:t>
      </w:r>
      <w:r>
        <w:t xml:space="preserve"> </w:t>
      </w:r>
      <w:r>
        <w:t xml:space="preserve">contain known methanotrophs. Several taxa identified had a</w:t>
      </w:r>
      <w:r>
        <w:t xml:space="preserve"> </w:t>
      </w:r>
      <w:r>
        <w:t xml:space="preserve">higher taxonomic designation that contains methanotrophs, for example, the</w:t>
      </w:r>
      <w:r>
        <w:t xml:space="preserve"> </w:t>
      </w:r>
      <w:r>
        <w:t xml:space="preserve">Gammaproteobacteria class had a large effect size.</w:t>
      </w:r>
      <w:r>
        <w:t xml:space="preserve"> </w:t>
      </w:r>
      <w:r>
        <w:t xml:space="preserve">The Gammaproteobacteria include the type I and type X methanotrophs in the families</w:t>
      </w:r>
      <w:r>
        <w:t xml:space="preserve"> </w:t>
      </w:r>
      <w:r>
        <w:rPr>
          <w:iCs/>
          <w:i/>
        </w:rPr>
        <w:t xml:space="preserve">Methylococcaceae</w:t>
      </w:r>
      <w:r>
        <w:t xml:space="preserve"> </w:t>
      </w:r>
      <w:r>
        <w:t xml:space="preserve">and</w:t>
      </w:r>
      <w:r>
        <w:t xml:space="preserve"> </w:t>
      </w:r>
      <w:r>
        <w:rPr>
          <w:iCs/>
          <w:i/>
        </w:rPr>
        <w:t xml:space="preserve">Methylothermaceae</w:t>
      </w:r>
      <w:r>
        <w:t xml:space="preserve"> </w:t>
      </w:r>
      <w:r>
        <w:t xml:space="preserve">(34)</w:t>
      </w:r>
      <w:r>
        <w:t xml:space="preserve">.</w:t>
      </w:r>
      <w:r>
        <w:t xml:space="preserve"> </w:t>
      </w:r>
      <w:r>
        <w:t xml:space="preserve">However, the Gammaproteobacteria is among the most diverse</w:t>
      </w:r>
      <w:r>
        <w:t xml:space="preserve"> </w:t>
      </w:r>
      <w:r>
        <w:t xml:space="preserve">groups in the Prokaryotes, so this is not strong evidence for a selection response</w:t>
      </w:r>
      <w:r>
        <w:t xml:space="preserve"> </w:t>
      </w:r>
      <w:r>
        <w:t xml:space="preserve">by methanotrophs</w:t>
      </w:r>
      <w:r>
        <w:t xml:space="preserve"> </w:t>
      </w:r>
      <w:r>
        <w:t xml:space="preserve">(35)</w:t>
      </w:r>
      <w:r>
        <w:t xml:space="preserve">.</w:t>
      </w:r>
      <w:r>
        <w:t xml:space="preserve"> </w:t>
      </w:r>
      <w:r>
        <w:t xml:space="preserve">In addition, the</w:t>
      </w:r>
      <w:r>
        <w:t xml:space="preserve"> </w:t>
      </w:r>
      <w:r>
        <w:rPr>
          <w:iCs/>
          <w:i/>
        </w:rPr>
        <w:t xml:space="preserve">Puniceicoccaceae</w:t>
      </w:r>
      <w:r>
        <w:t xml:space="preserve"> </w:t>
      </w:r>
      <w:r>
        <w:t xml:space="preserve">is a member of the phylum Verrucomicrobia. The Verrucomicrobia is a diverse group that contain</w:t>
      </w:r>
      <w:r>
        <w:t xml:space="preserve"> </w:t>
      </w:r>
      <w:r>
        <w:t xml:space="preserve">known methanotrophs as well as ammonia-oxidizing bacteria</w:t>
      </w:r>
      <w:r>
        <w:t xml:space="preserve"> </w:t>
      </w:r>
      <w:r>
        <w:t xml:space="preserve">(36)</w:t>
      </w:r>
      <w:r>
        <w:t xml:space="preserve">. Other than these two groups, none of the other taxa enriched in the Positive treatment are known to be related to methanotrophs. Two groups in the Armatimonadales were enriched in the Positive treatment including the family</w:t>
      </w:r>
      <w:r>
        <w:t xml:space="preserve"> </w:t>
      </w:r>
      <w:r>
        <w:rPr>
          <w:iCs/>
          <w:i/>
        </w:rPr>
        <w:t xml:space="preserve">Fimbriimonadaceae</w:t>
      </w:r>
      <w:r>
        <w:t xml:space="preserve"> </w:t>
      </w:r>
      <w:r>
        <w:t xml:space="preserve">and an unclassified ASV from the order Armatimonadales</w:t>
      </w:r>
      <w:r>
        <w:t xml:space="preserve"> </w:t>
      </w:r>
      <w:r>
        <w:t xml:space="preserve">(37)</w:t>
      </w:r>
      <w:r>
        <w:t xml:space="preserve">.</w:t>
      </w:r>
      <w:r>
        <w:t xml:space="preserve"> </w:t>
      </w:r>
      <w:r>
        <w:rPr>
          <w:iCs/>
          <w:i/>
        </w:rPr>
        <w:t xml:space="preserve">Cytophagaceae</w:t>
      </w:r>
      <w:r>
        <w:t xml:space="preserve"> </w:t>
      </w:r>
      <w:r>
        <w:t xml:space="preserve">was also enriched in</w:t>
      </w:r>
      <w:r>
        <w:t xml:space="preserve"> </w:t>
      </w:r>
      <w:r>
        <w:t xml:space="preserve">the Positive treatment and contains a number of mainly aerobic heterotrophs</w:t>
      </w:r>
      <w:r>
        <w:t xml:space="preserve"> </w:t>
      </w:r>
      <w:r>
        <w:t xml:space="preserve">that can digest a variety of macromolecules</w:t>
      </w:r>
      <w:r>
        <w:t xml:space="preserve"> </w:t>
      </w:r>
      <w:r>
        <w:t xml:space="preserve">(38)</w:t>
      </w:r>
      <w:r>
        <w:t xml:space="preserve">.</w:t>
      </w:r>
      <w:r>
        <w:t xml:space="preserve"> </w:t>
      </w:r>
      <w:r>
        <w:t xml:space="preserve">The remaining families include the uncultured family 0319-6G20,</w:t>
      </w:r>
      <w:r>
        <w:t xml:space="preserve"> </w:t>
      </w:r>
      <w:r>
        <w:rPr>
          <w:iCs/>
          <w:i/>
        </w:rPr>
        <w:t xml:space="preserve">Diplorickettsiaceae</w:t>
      </w:r>
      <w:r>
        <w:t xml:space="preserve">,</w:t>
      </w:r>
      <w:r>
        <w:t xml:space="preserve"> </w:t>
      </w:r>
      <w:r>
        <w:rPr>
          <w:iCs/>
          <w:i/>
        </w:rPr>
        <w:t xml:space="preserve">Rhodospirillaceae</w:t>
      </w:r>
      <w:r>
        <w:t xml:space="preserve">, and an unclassified Kapabacteriales.</w:t>
      </w:r>
    </w:p>
    <w:p>
      <w:pPr>
        <w:pStyle w:val="TextBody"/>
      </w:pPr>
      <w:r>
        <w:t xml:space="preserve">We did not identify any methanotrophic families in the overall differential abundance analysis.</w:t>
      </w:r>
      <w:r>
        <w:t xml:space="preserve"> </w:t>
      </w:r>
      <w:r>
        <w:t xml:space="preserve">However, we wanted to look more closely at the known methanotrophs in our dataset to be sure they did not have an effect.</w:t>
      </w:r>
      <w:r>
        <w:t xml:space="preserve"> </w:t>
      </w:r>
      <w:r>
        <w:t xml:space="preserve">To do this, we subset all of the ASVs in our dataset that were in families that contained methanotrophs.</w:t>
      </w:r>
      <w:r>
        <w:t xml:space="preserve"> </w:t>
      </w:r>
      <w:r>
        <w:t xml:space="preserve">Only two families were represented:</w:t>
      </w:r>
      <w:r>
        <w:t xml:space="preserve"> </w:t>
      </w:r>
      <w:r>
        <w:rPr>
          <w:iCs/>
          <w:i/>
        </w:rPr>
        <w:t xml:space="preserve">Methylacidiphilaceae</w:t>
      </w:r>
      <w:r>
        <w:t xml:space="preserve"> </w:t>
      </w:r>
      <w:r>
        <w:t xml:space="preserve">and</w:t>
      </w:r>
      <w:r>
        <w:t xml:space="preserve"> </w:t>
      </w:r>
      <w:r>
        <w:rPr>
          <w:iCs/>
          <w:i/>
        </w:rPr>
        <w:t xml:space="preserve">Beijerinckiaceae</w:t>
      </w:r>
      <w:r>
        <w:t xml:space="preserve">.</w:t>
      </w:r>
      <w:r>
        <w:t xml:space="preserve"> </w:t>
      </w:r>
      <w:r>
        <w:t xml:space="preserve">Aggregating reads at the family level, neither family was differentially abundant between the two treatments.</w:t>
      </w:r>
      <w:r>
        <w:t xml:space="preserve"> </w:t>
      </w:r>
      <w:r>
        <w:t xml:space="preserve">However, aggregated at the genus level, a group of unclassified genera in the</w:t>
      </w:r>
      <w:r>
        <w:t xml:space="preserve"> </w:t>
      </w:r>
      <w:r>
        <w:rPr>
          <w:iCs/>
          <w:i/>
        </w:rPr>
        <w:t xml:space="preserve">Beijerinckiaceae</w:t>
      </w:r>
      <w:r>
        <w:t xml:space="preserve"> </w:t>
      </w:r>
      <w:r>
        <w:t xml:space="preserve">were depleted in the Positive treatment and the genus</w:t>
      </w:r>
      <w:r>
        <w:t xml:space="preserve"> </w:t>
      </w:r>
      <w:r>
        <w:rPr>
          <w:iCs/>
          <w:i/>
        </w:rPr>
        <w:t xml:space="preserve">Rhodoblastus</w:t>
      </w:r>
      <w:r>
        <w:t xml:space="preserve">, a member of the</w:t>
      </w:r>
      <w:r>
        <w:t xml:space="preserve"> </w:t>
      </w:r>
      <w:r>
        <w:rPr>
          <w:iCs/>
          <w:i/>
        </w:rPr>
        <w:t xml:space="preserve">Beijerinckiaceae</w:t>
      </w:r>
      <w:r>
        <w:t xml:space="preserve">, was enriched in the</w:t>
      </w:r>
      <w:r>
        <w:t xml:space="preserve"> </w:t>
      </w:r>
      <w:r>
        <w:t xml:space="preserve">Positive treatment. While many</w:t>
      </w:r>
      <w:r>
        <w:t xml:space="preserve"> </w:t>
      </w:r>
      <w:r>
        <w:rPr>
          <w:iCs/>
          <w:i/>
        </w:rPr>
        <w:t xml:space="preserve">Beijerinckiaceae</w:t>
      </w:r>
      <w:r>
        <w:t xml:space="preserve"> </w:t>
      </w:r>
      <w:r>
        <w:t xml:space="preserve">are methanotrophs, several</w:t>
      </w:r>
      <w:r>
        <w:t xml:space="preserve"> </w:t>
      </w:r>
      <w:r>
        <w:t xml:space="preserve">taxa in this family have lost the the ability to oxidize CH</w:t>
      </w:r>
      <w:r>
        <w:rPr>
          <w:vertAlign w:val="subscript"/>
        </w:rPr>
        <w:t xml:space="preserve">4</w:t>
      </w:r>
      <w:r>
        <w:t xml:space="preserve"> </w:t>
      </w:r>
      <w:r>
        <w:t xml:space="preserve">and it appears</w:t>
      </w:r>
      <w:r>
        <w:t xml:space="preserve"> </w:t>
      </w:r>
      <w:r>
        <w:t xml:space="preserve">that</w:t>
      </w:r>
      <w:r>
        <w:t xml:space="preserve"> </w:t>
      </w:r>
      <w:r>
        <w:rPr>
          <w:iCs/>
          <w:i/>
        </w:rPr>
        <w:t xml:space="preserve">Rhodoblastus</w:t>
      </w:r>
      <w:r>
        <w:t xml:space="preserve"> </w:t>
      </w:r>
      <w:r>
        <w:t xml:space="preserve">species are not able to grow on CH</w:t>
      </w:r>
      <w:r>
        <w:rPr>
          <w:vertAlign w:val="subscript"/>
        </w:rPr>
        <w:t xml:space="preserve">4</w:t>
      </w:r>
      <w:r>
        <w:t xml:space="preserve">, though they can grow</w:t>
      </w:r>
      <w:r>
        <w:t xml:space="preserve"> </w:t>
      </w:r>
      <w:r>
        <w:t xml:space="preserve">on methanol</w:t>
      </w:r>
      <w:r>
        <w:t xml:space="preserve"> </w:t>
      </w:r>
      <w:r>
        <w:t xml:space="preserve">(40)</w:t>
      </w:r>
      <w:r>
        <w:t xml:space="preserve">. Based on this analysis,</w:t>
      </w:r>
      <w:r>
        <w:t xml:space="preserve"> </w:t>
      </w:r>
      <w:r>
        <w:t xml:space="preserve">it appears that no methanotrophs were enriched in the Positive treatment.</w:t>
      </w:r>
    </w:p>
    <w:bookmarkEnd w:id="33"/>
    <w:bookmarkEnd w:id="34"/>
    <w:bookmarkStart w:id="35" w:name="new-discussion"/>
    <w:p>
      <w:pPr>
        <w:pStyle w:val="Heading1"/>
      </w:pPr>
      <w:r>
        <w:t xml:space="preserve">New Discussion</w:t>
      </w:r>
    </w:p>
    <w:p>
      <w:pPr>
        <w:pStyle w:val="FirstParagraph"/>
      </w:pPr>
      <w:r>
        <w:t xml:space="preserve">We observed a response to selection on whole-ecosystem soil methane oxidation rate, which demonstrates that variation in the microbiome can generate variation in the rate of ecosystem function independent of the underlying environmental conditions. While it is well understood that the microbiome mediates a variety of ecosystem functions, a fundamental question in microbial ecology is whether we need to understand variation in the composition of microbiomes to understand variation in the rate of ecosystem functions. To address that question, we performed artificial ecosystem selection on soil microbiomes by selecting for ecosystems with high methane oxidation rates. We found that there was a significant increase in methane oxidation rate as a response to selection. Each generation of soil ecosystems was created from the same pool of sterile soil substrate and a small inoculum from the previous generation. Therefore, it is unlikely that this response to selection was due to changes in the abiotic conditions of the ecosystem. In addition, the response was only observed in the Positive treatment and not in the Neutral treatment, which shows that this was not a side effect of passaging in jars. Therefore, we conclude that variation in the microbiome can generate variation in ecosystem functions independent of the environment.</w:t>
      </w:r>
    </w:p>
    <w:p>
      <w:pPr>
        <w:pStyle w:val="TextBody"/>
      </w:pPr>
      <w:r>
        <w:t xml:space="preserve">In addition, we observed a large heritability for methane oxidation rate, which suggests that microbiome variation explains a large portion of the variation in methane oxidation rate relative to environmental variation in this system.</w:t>
      </w:r>
      <w:r>
        <w:t xml:space="preserve"> </w:t>
      </w:r>
      <w:r>
        <w:t xml:space="preserve">To estimate how much of the variation in methane oxidation rate can be explained by the presence, absence, and relative abundances of specific microbial taxa, we calculated the narrow-sense heritability of methane oxidation rate, which was 1.08 for the Positive treatment. A heritability of 1 would indicate that a trait is entirely genetically determined and thus offspring would have the exact same value of that trait as their parents. A heritability greater than 1 indicates that offspring exceed the value of their parents. This is unlikely in the context of a genomic trait, but microbiomes are not limited by the constraints of genomes because microbes are not alleles and communities are not chromosomes. Therefore, complementarity within a microbial community could result in offspring communities that exceed the trait values of their</w:t>
      </w:r>
      <w:r>
        <w:t xml:space="preserve"> </w:t>
      </w:r>
      <w:r>
        <w:t xml:space="preserve">“</w:t>
      </w:r>
      <w:r>
        <w:t xml:space="preserve">parent</w:t>
      </w:r>
      <w:r>
        <w:t xml:space="preserve">”</w:t>
      </w:r>
      <w:r>
        <w:t xml:space="preserve"> </w:t>
      </w:r>
      <w:r>
        <w:t xml:space="preserve">ecosystems. The large heritability we observed indicates that microbiome variation is a large contributor to the variation in methane oxidation in this experimental system.</w:t>
      </w:r>
    </w:p>
    <w:p>
      <w:pPr>
        <w:pStyle w:val="TextBody"/>
      </w:pPr>
      <w:r>
        <w:t xml:space="preserve">Next, we wanted to address what aspects of the microbiome, in terms of alpha diversity, beta diversity, or individual taxa, explain this contribution of the microbiome to variation in methane oxidation rate. There are three ways that the microbiome could respond to selection in this experiment: gain or loss of species, changes in the relative abundances of species, or changes within the genomes of the constituent species. Using 16S rRNA gene sequences, we are unable to address the third possibility of whether taxa in this experiment could have evolved changes in their genomes as a result of selection. Therefore, we will focus on the first two possibilities.</w:t>
      </w:r>
    </w:p>
    <w:p>
      <w:pPr>
        <w:pStyle w:val="TextBody"/>
      </w:pPr>
      <w:r>
        <w:t xml:space="preserve">Richness at the ASV level did not vary between the two treatments and there were relatively few taxa gained or lost in the Positive selection treatment and none of these were prevalent across the 12 jars in passage 5. Therefore, the gain or loss of species is unlikely to explain the increase in methane oxidation rate. However, we found that Bray-Curtis dissimilarity was greater between the two treatments in Passage 5 than within each treatment and was correlated with methane oxidation rate, which suggests that changes in the relative abundance of taxa could explain the response to selection. A difference in composition between the two treatments could be a direct result of selection for organisms that contribute to CH</w:t>
      </w:r>
      <w:r>
        <w:rPr>
          <w:vertAlign w:val="subscript"/>
        </w:rPr>
        <w:t xml:space="preserve">4</w:t>
      </w:r>
      <w:r>
        <w:t xml:space="preserve"> </w:t>
      </w:r>
      <w:r>
        <w:t xml:space="preserve">oxidation or a result of ecological drift over the course of the experiment. In the former case, that would suggest that changes in the relative abundance of specific microbial taxa could explain the response to selection on CH</w:t>
      </w:r>
      <w:r>
        <w:rPr>
          <w:vertAlign w:val="subscript"/>
        </w:rPr>
        <w:t xml:space="preserve">4</w:t>
      </w:r>
      <w:r>
        <w:t xml:space="preserve"> </w:t>
      </w:r>
      <w:r>
        <w:t xml:space="preserve">oxidation rate.</w:t>
      </w:r>
    </w:p>
    <w:p>
      <w:pPr>
        <w:pStyle w:val="TextBody"/>
      </w:pPr>
      <w:r>
        <w:t xml:space="preserve">Even though we observed an increase in methane oxidation rate in the Positive treatment and a difference in composition between the two treatments, we did not observe an increase in the relative abundance of methanotrophs. This contrasts with the usual assumption that the final step in a metabolic pathway is the rate-limiting step (citation?). In certain ecosystems, methane oxidation rate is correlated with the abundance of methanotrophs as estimated from marker genes (Cite. I know that one methanogenesis paper, not sure about methanotrophy). However, it does not appear generally true that the rate of an ecosystem function is limited by the abundance of the gene that encodes the final step in that pathway (cite rocca, maybe some of the methane work.) Since we did not observe an increase in the relative abundance of methanotrophs in the treatment that displayed an increase in methane oxidation rate, we may have to consider other microbial functional groups within an ecosystem to understand what drives changes in the rate of ecosystem functions.</w:t>
      </w:r>
    </w:p>
    <w:p>
      <w:pPr>
        <w:pStyle w:val="TextBody"/>
      </w:pPr>
      <w:r>
        <w:t xml:space="preserve">One of the goals of this study was to determine how much of the variation in ecosystem function is due to variation in the microbiome. In this experiment, we eliminated as much environmental variation as possible. This was intentional, because we wanted to determine whether it was possible for variation in the microbiome to generate variation in methane oxidation rate independent of the environment. As a result, our heritability estimates are likely to be greater than they would be in natural ecosystems with greater environmental variation. Future work could estimate heritability in experimental systems that manipulate environmental variation or across natural ecosystems to evaluate how much of the variation in ecosystem function can be explained by microbiome variation outside the lab. This experiment also had a relatively small sample size which resulted in heritability estimates with wide error bars. Increasing replication would help us more accurately estimate this parameter and give us a better understanding of the relative importance of environmental variation and microbiome variation in the rate of microbiome-mediated ecosystem functions.</w:t>
      </w:r>
    </w:p>
    <w:p>
      <w:pPr>
        <w:pStyle w:val="TextBody"/>
      </w:pPr>
      <w:r>
        <w:t xml:space="preserve">Another important question is whether selection at the ecosystem scale resulted in within-strain evolution. Using 16S rRNA gene sequencing we are unable to resolve genomic changes within taxa that may have undergone evolution. Future work could analyze an artificial ecosystem selection experiment using genome-resolved metagenomics to try to detect strain-level changes in the constituent taxa. This would help evaluate whether certain metabolic pathways were enriched in the positive selection treatment or if functional genes changed in frequency within the microbiome.</w:t>
      </w:r>
    </w:p>
    <w:p>
      <w:pPr>
        <w:pStyle w:val="TextBody"/>
      </w:pPr>
      <w:r>
        <w:t xml:space="preserve">As more is understood about the role of the microbiome in regulating ecosystem functions and the specific taxa involved, more detailed experiments could selectively add or remove important taxa or manipulate their relative abundance to start to estimate the quantitative relationship between specific taxa and the rate of an ecosystem function. Both our differential abundance analysis and this reductionist approach to manipulating individual taxa assumes that taxa act individually on ecosystem function. However, it is much more likely that the microbiome affects the rate of ecosystem function through the interactions of multiple taxa and future analyses with greater replication should test the role of multiple taxa simultaneously by, for example, using machine learning methods</w:t>
      </w:r>
      <w:r>
        <w:t xml:space="preserve"> </w:t>
      </w:r>
      <w:r>
        <w:t xml:space="preserve">(41)</w:t>
      </w:r>
    </w:p>
    <w:p>
      <w:pPr>
        <w:pStyle w:val="TextBody"/>
      </w:pPr>
      <w:r>
        <w:t xml:space="preserve">A fundamental question in microbial ecology is whether variation in the microbiome contributes to variation in ecosystem function. We performed artificial ecosystem selection on soil methane oxidation rate to test the relationship between microbiome variation and soil methane oxidation rate. We observed a response to selection on soil methane oxidation rate and found a high heritability for methane oxidation, which suggests that variation in the microbiome contributes to variation in soil methane oxidation rate. Surprisingly, we did not observe an increase in the relative of abundance of methanotrophs as a response to selection. Future research could estimate heritability under greater environmental variation to understand how much of the variation in methane oxidation rate is due to variation in the microbiome in a natural ecosystem. In addition, future selection experiments could use genome-resolved metagenomics to observe within-strain evolution and test changes in the functional pathways of the microbiome as a response to selection to determine what aspects of the microbiome explain this increase in oxidation rate. This study demonstrates that soil methane oxidation rate can vary greatly with variation in the microbiome and opens up future research opportunities to establish a more detailed understanding of the relationship between the microbiome and ecosystem function.</w:t>
      </w:r>
    </w:p>
    <w:bookmarkEnd w:id="35"/>
    <w:bookmarkStart w:id="36" w:name="old-discussion"/>
    <w:p>
      <w:pPr>
        <w:pStyle w:val="Heading1"/>
      </w:pPr>
      <w:r>
        <w:t xml:space="preserve">Old Discussion</w:t>
      </w:r>
    </w:p>
    <w:p>
      <w:pPr>
        <w:pStyle w:val="FirstParagraph"/>
      </w:pPr>
      <w:r>
        <w:t xml:space="preserve">We observed a response to</w:t>
      </w:r>
      <w:r>
        <w:t xml:space="preserve"> </w:t>
      </w:r>
      <w:r>
        <w:t xml:space="preserve">selection on whole-ecosystem soil CH</w:t>
      </w:r>
      <w:r>
        <w:rPr>
          <w:vertAlign w:val="subscript"/>
        </w:rPr>
        <w:t xml:space="preserve">4</w:t>
      </w:r>
      <w:r>
        <w:t xml:space="preserve"> </w:t>
      </w:r>
      <w:r>
        <w:t xml:space="preserve">oxidation rate. This type of response</w:t>
      </w:r>
      <w:r>
        <w:t xml:space="preserve"> </w:t>
      </w:r>
      <w:r>
        <w:t xml:space="preserve">has been observed for other functions, such as chloroaniline degradation in</w:t>
      </w:r>
      <w:r>
        <w:t xml:space="preserve"> </w:t>
      </w:r>
      <w:r>
        <w:t xml:space="preserve">water</w:t>
      </w:r>
      <w:r>
        <w:t xml:space="preserve"> </w:t>
      </w:r>
      <w:r>
        <w:t xml:space="preserve">(8)</w:t>
      </w:r>
      <w:r>
        <w:t xml:space="preserve">, but this is the first instance, to our knowledge, of</w:t>
      </w:r>
      <w:r>
        <w:t xml:space="preserve"> </w:t>
      </w:r>
      <w:r>
        <w:t xml:space="preserve">selection being performed directly on soil biogeochemical cycling. With this</w:t>
      </w:r>
      <w:r>
        <w:t xml:space="preserve"> </w:t>
      </w:r>
      <w:r>
        <w:t xml:space="preserve">experimental design, we attempted to create multiple ecosystems that were very</w:t>
      </w:r>
      <w:r>
        <w:t xml:space="preserve"> </w:t>
      </w:r>
      <w:r>
        <w:t xml:space="preserve">similar with respect to the type and quantity of soil, soil moisture content,</w:t>
      </w:r>
      <w:r>
        <w:t xml:space="preserve"> </w:t>
      </w:r>
      <w:r>
        <w:t xml:space="preserve">and the headspace concentration of CH</w:t>
      </w:r>
      <w:r>
        <w:rPr>
          <w:vertAlign w:val="subscript"/>
        </w:rPr>
        <w:t xml:space="preserve">4</w:t>
      </w:r>
      <w:r>
        <w:t xml:space="preserve">. we further controlled for environmental</w:t>
      </w:r>
      <w:r>
        <w:t xml:space="preserve"> </w:t>
      </w:r>
      <w:r>
        <w:t xml:space="preserve">variation across replicates by having twelve replicates per treatment, using</w:t>
      </w:r>
      <w:r>
        <w:t xml:space="preserve"> </w:t>
      </w:r>
      <w:r>
        <w:t xml:space="preserve">controlled laboratory conditions, and by having a random selection treatment as</w:t>
      </w:r>
      <w:r>
        <w:t xml:space="preserve"> </w:t>
      </w:r>
      <w:r>
        <w:t xml:space="preserve">a control. Therefore, the observed response to selection on</w:t>
      </w:r>
      <w:r>
        <w:t xml:space="preserve"> </w:t>
      </w:r>
      <w:r>
        <w:t xml:space="preserve">CH</w:t>
      </w:r>
      <w:r>
        <w:rPr>
          <w:vertAlign w:val="subscript"/>
        </w:rPr>
        <w:t xml:space="preserve">4</w:t>
      </w:r>
      <w:r>
        <w:t xml:space="preserve"> </w:t>
      </w:r>
      <w:r>
        <w:t xml:space="preserve">oxidation rate is likely due to changes in the microbiome.</w:t>
      </w:r>
    </w:p>
    <w:p>
      <w:pPr>
        <w:pStyle w:val="TextBody"/>
      </w:pPr>
      <w:r>
        <w:t xml:space="preserve">To investigate the relationship between microbiome structure and</w:t>
      </w:r>
      <w:r>
        <w:t xml:space="preserve"> </w:t>
      </w:r>
      <w:r>
        <w:t xml:space="preserve">ecosystem function, we wanted to determine how much of the variation in soil CH4</w:t>
      </w:r>
      <w:r>
        <w:t xml:space="preserve"> </w:t>
      </w:r>
      <w:r>
        <w:t xml:space="preserve">oxidation was attributable to variation in the microbiome. This ecological</w:t>
      </w:r>
      <w:r>
        <w:t xml:space="preserve"> </w:t>
      </w:r>
      <w:r>
        <w:t xml:space="preserve">question is analogous to the problem of estimating heritability in quantitative</w:t>
      </w:r>
      <w:r>
        <w:t xml:space="preserve"> </w:t>
      </w:r>
      <w:r>
        <w:t xml:space="preserve">genetics</w:t>
      </w:r>
      <w:r>
        <w:t xml:space="preserve"> </w:t>
      </w:r>
      <w:r>
        <w:t xml:space="preserve">(7)</w:t>
      </w:r>
      <w:r>
        <w:t xml:space="preserve">. Variation in an organismal trait is</w:t>
      </w:r>
      <w:r>
        <w:t xml:space="preserve"> </w:t>
      </w:r>
      <w:r>
        <w:t xml:space="preserve">determined by the sum of genetic variation, environmental variation, and the</w:t>
      </w:r>
      <w:r>
        <w:t xml:space="preserve"> </w:t>
      </w:r>
      <w:r>
        <w:t xml:space="preserve">interaction between the two</w:t>
      </w:r>
      <w:r>
        <w:t xml:space="preserve"> </w:t>
      </w:r>
      <w:r>
        <w:t xml:space="preserve">(25)</w:t>
      </w:r>
      <w:r>
        <w:t xml:space="preserve">. One goal of quantitative</w:t>
      </w:r>
      <w:r>
        <w:t xml:space="preserve"> </w:t>
      </w:r>
      <w:r>
        <w:t xml:space="preserve">genetics is to determine the proportion of phenotypic variation attributable to</w:t>
      </w:r>
      <w:r>
        <w:t xml:space="preserve"> </w:t>
      </w:r>
      <w:r>
        <w:t xml:space="preserve">genetic variation. This is commonly estimated as the narrow-sense heritability</w:t>
      </w:r>
      <w:r>
        <w:t xml:space="preserve"> </w:t>
      </w:r>
      <w:r>
        <w:t xml:space="preserve">defined as the additive genetic variance. This goal can be achieved through</w:t>
      </w:r>
      <w:r>
        <w:t xml:space="preserve"> </w:t>
      </w:r>
      <w:r>
        <w:t xml:space="preserve">artificial selection experiments with selection on the character of interest</w:t>
      </w:r>
      <w:r>
        <w:t xml:space="preserve"> </w:t>
      </w:r>
      <w:r>
        <w:t xml:space="preserve">(25)</w:t>
      </w:r>
      <w:r>
        <w:t xml:space="preserve">.</w:t>
      </w:r>
    </w:p>
    <w:p>
      <w:pPr>
        <w:pStyle w:val="TextBody"/>
      </w:pPr>
      <w:r>
        <w:t xml:space="preserve">The heritability we observed in the Positive treatment was large (</w:t>
      </w:r>
      <m:oMath>
        <m:sSup>
          <m:e>
            <m:r>
              <m:t>h</m:t>
            </m:r>
          </m:e>
          <m:sup>
            <m:r>
              <m:t>2</m:t>
            </m:r>
          </m:sup>
        </m:sSup>
      </m:oMath>
      <w:r>
        <w:t xml:space="preserve"> </w:t>
      </w:r>
      <w:r>
        <w:t xml:space="preserve">=</w:t>
      </w:r>
      <w:r>
        <w:t xml:space="preserve"> </w:t>
      </w:r>
      <w:r>
        <w:t xml:space="preserve">1.08) relative to other studies of biological</w:t>
      </w:r>
      <w:r>
        <w:t xml:space="preserve"> </w:t>
      </w:r>
      <w:r>
        <w:t xml:space="preserve">heritability</w:t>
      </w:r>
      <w:r>
        <w:t xml:space="preserve"> </w:t>
      </w:r>
      <w:r>
        <w:t xml:space="preserve">(42)</w:t>
      </w:r>
      <w:r>
        <w:t xml:space="preserve">. However, given the small sample</w:t>
      </w:r>
      <w:r>
        <w:t xml:space="preserve"> </w:t>
      </w:r>
      <w:r>
        <w:t xml:space="preserve">size and wide confidence intervals (95% CI:</w:t>
      </w:r>
      <w:r>
        <w:t xml:space="preserve"> </w:t>
      </w:r>
      <w:r>
        <w:t xml:space="preserve">0.40, 1.75) it is likely that a larger study could</w:t>
      </w:r>
      <w:r>
        <w:t xml:space="preserve"> </w:t>
      </w:r>
      <w:r>
        <w:t xml:space="preserve">more precisely estimate the true heritability. We intentionally eliminated much of the</w:t>
      </w:r>
      <w:r>
        <w:t xml:space="preserve"> </w:t>
      </w:r>
      <w:r>
        <w:t xml:space="preserve">environmental variation that would be present in natural ecosystems, but it is</w:t>
      </w:r>
      <w:r>
        <w:t xml:space="preserve"> </w:t>
      </w:r>
      <w:r>
        <w:t xml:space="preserve">unclear how much jar-to-jar variation there is in the composition of the soil</w:t>
      </w:r>
      <w:r>
        <w:t xml:space="preserve"> </w:t>
      </w:r>
      <w:r>
        <w:t xml:space="preserve">substrate. Given these data, though, we conclude that variation within</w:t>
      </w:r>
      <w:r>
        <w:t xml:space="preserve"> </w:t>
      </w:r>
      <w:r>
        <w:t xml:space="preserve">the soil microbiome has a very strong effect on soil CH</w:t>
      </w:r>
      <w:r>
        <w:rPr>
          <w:vertAlign w:val="subscript"/>
        </w:rPr>
        <w:t xml:space="preserve">4</w:t>
      </w:r>
      <w:r>
        <w:t xml:space="preserve"> </w:t>
      </w:r>
      <w:r>
        <w:t xml:space="preserve">oxidation rates independent of any environmental variation.</w:t>
      </w:r>
    </w:p>
    <w:p>
      <w:pPr>
        <w:pStyle w:val="TextBody"/>
      </w:pPr>
      <w:r>
        <w:t xml:space="preserve">The negative heritability observed in the Neutral treatment could indicate a</w:t>
      </w:r>
      <w:r>
        <w:t xml:space="preserve"> </w:t>
      </w:r>
      <w:r>
        <w:t xml:space="preserve">negative genetic correlation between CH</w:t>
      </w:r>
      <w:r>
        <w:rPr>
          <w:vertAlign w:val="subscript"/>
        </w:rPr>
        <w:t xml:space="preserve">4</w:t>
      </w:r>
      <w:r>
        <w:t xml:space="preserve"> </w:t>
      </w:r>
      <w:r>
        <w:t xml:space="preserve">oxidation rate and traits</w:t>
      </w:r>
      <w:r>
        <w:t xml:space="preserve"> </w:t>
      </w:r>
      <w:r>
        <w:t xml:space="preserve">associated with persistence in a jar</w:t>
      </w:r>
      <w:r>
        <w:t xml:space="preserve"> </w:t>
      </w:r>
      <w:r>
        <w:t xml:space="preserve">(43)</w:t>
      </w:r>
      <w:r>
        <w:t xml:space="preserve">. The conditions in the</w:t>
      </w:r>
      <w:r>
        <w:t xml:space="preserve"> </w:t>
      </w:r>
      <w:r>
        <w:t xml:space="preserve">jar favor organisms that can grow in potting mix, reproduce within a three week</w:t>
      </w:r>
      <w:r>
        <w:t xml:space="preserve"> </w:t>
      </w:r>
      <w:r>
        <w:t xml:space="preserve">incubation, and survive passaging between jars. These traits might be</w:t>
      </w:r>
      <w:r>
        <w:t xml:space="preserve"> </w:t>
      </w:r>
      <w:r>
        <w:t xml:space="preserve">negatively correlated with a community’s ability to oxidize CH</w:t>
      </w:r>
      <w:r>
        <w:rPr>
          <w:vertAlign w:val="subscript"/>
        </w:rPr>
        <w:t xml:space="preserve">4</w:t>
      </w:r>
      <w:r>
        <w:t xml:space="preserve"> </w:t>
      </w:r>
      <w:r>
        <w:t xml:space="preserve">indicating</w:t>
      </w:r>
      <w:r>
        <w:t xml:space="preserve"> </w:t>
      </w:r>
      <w:r>
        <w:t xml:space="preserve">a potential trade-off</w:t>
      </w:r>
      <w:r>
        <w:t xml:space="preserve"> </w:t>
      </w:r>
      <w:r>
        <w:t xml:space="preserve">(43)</w:t>
      </w:r>
      <w:r>
        <w:t xml:space="preserve">. This trade-off would result in a</w:t>
      </w:r>
      <w:r>
        <w:t xml:space="preserve"> </w:t>
      </w:r>
      <w:r>
        <w:t xml:space="preserve">negative heritability of CH</w:t>
      </w:r>
      <w:r>
        <w:rPr>
          <w:vertAlign w:val="subscript"/>
        </w:rPr>
        <w:t xml:space="preserve">4</w:t>
      </w:r>
      <w:r>
        <w:t xml:space="preserve"> </w:t>
      </w:r>
      <w:r>
        <w:t xml:space="preserve">oxidation rate in the Neutral treatment,</w:t>
      </w:r>
      <w:r>
        <w:t xml:space="preserve"> </w:t>
      </w:r>
      <w:r>
        <w:t xml:space="preserve">which did not experience selection on CH</w:t>
      </w:r>
      <w:r>
        <w:rPr>
          <w:vertAlign w:val="subscript"/>
        </w:rPr>
        <w:t xml:space="preserve">4</w:t>
      </w:r>
      <w:r>
        <w:t xml:space="preserve"> </w:t>
      </w:r>
      <w:r>
        <w:t xml:space="preserve">oxidation rate.</w:t>
      </w:r>
    </w:p>
    <w:p>
      <w:pPr>
        <w:pStyle w:val="TextBody"/>
      </w:pPr>
      <w:r>
        <w:t xml:space="preserve">Since there was a response to selection, we wanted to identify</w:t>
      </w:r>
      <w:r>
        <w:t xml:space="preserve"> </w:t>
      </w:r>
      <w:r>
        <w:t xml:space="preserve">which taxa responded to selection. That is, the taxa that</w:t>
      </w:r>
      <w:r>
        <w:t xml:space="preserve"> </w:t>
      </w:r>
      <w:r>
        <w:t xml:space="preserve">were enriched in the Positive treatment relative to the Neutral treatment.</w:t>
      </w:r>
      <w:r>
        <w:t xml:space="preserve"> </w:t>
      </w:r>
      <w:r>
        <w:t xml:space="preserve">Studies of microbiome structure-function</w:t>
      </w:r>
      <w:r>
        <w:t xml:space="preserve"> </w:t>
      </w:r>
      <w:r>
        <w:t xml:space="preserve">relationships typically quantify marker genes for the final enzyme in a pathway</w:t>
      </w:r>
      <w:r>
        <w:t xml:space="preserve"> </w:t>
      </w:r>
      <w:r>
        <w:t xml:space="preserve">to try to predict the rate of flux through that pathway. However, of the</w:t>
      </w:r>
      <w:r>
        <w:t xml:space="preserve"> </w:t>
      </w:r>
      <w:r>
        <w:t xml:space="preserve">37 taxa identified by the differential abundance test, none</w:t>
      </w:r>
      <w:r>
        <w:t xml:space="preserve"> </w:t>
      </w:r>
      <w:r>
        <w:t xml:space="preserve">were members of a family known to oxidize CH</w:t>
      </w:r>
      <w:r>
        <w:rPr>
          <w:vertAlign w:val="subscript"/>
        </w:rPr>
        <w:t xml:space="preserve">4</w:t>
      </w:r>
      <w:r>
        <w:t xml:space="preserve">. This suggests</w:t>
      </w:r>
      <w:r>
        <w:t xml:space="preserve"> </w:t>
      </w:r>
      <w:r>
        <w:t xml:space="preserve">that, in this system, the taxa that perform the final step in the CH</w:t>
      </w:r>
      <w:r>
        <w:rPr>
          <w:vertAlign w:val="subscript"/>
        </w:rPr>
        <w:t xml:space="preserve">4</w:t>
      </w:r>
      <w:r>
        <w:t xml:space="preserve"> </w:t>
      </w:r>
      <w:r>
        <w:t xml:space="preserve">oxidation pathway</w:t>
      </w:r>
      <w:r>
        <w:t xml:space="preserve"> </w:t>
      </w:r>
      <w:r>
        <w:t xml:space="preserve">do not</w:t>
      </w:r>
      <w:r>
        <w:t xml:space="preserve"> </w:t>
      </w:r>
      <w:r>
        <w:t xml:space="preserve">limit the rate of flux through the pathway. Traits that we assume are important</w:t>
      </w:r>
      <w:r>
        <w:t xml:space="preserve"> </w:t>
      </w:r>
      <w:r>
        <w:t xml:space="preserve">for regulating function (such as the diversity or relative abundance of</w:t>
      </w:r>
      <w:r>
        <w:t xml:space="preserve"> </w:t>
      </w:r>
      <w:r>
        <w:t xml:space="preserve">methanotrophs estimated from phylogenetic marker genes) may not be important for</w:t>
      </w:r>
      <w:r>
        <w:t xml:space="preserve"> </w:t>
      </w:r>
      <w:r>
        <w:t xml:space="preserve">determining variation in function.</w:t>
      </w:r>
      <w:r>
        <w:t xml:space="preserve"> </w:t>
      </w:r>
      <w:r>
        <w:t xml:space="preserve">Perhaps once a sufficient number of methanotrophs are present, the</w:t>
      </w:r>
      <w:r>
        <w:t xml:space="preserve"> </w:t>
      </w:r>
      <w:r>
        <w:t xml:space="preserve">process itself is limited by other metabolic processes in the ecosystem, such</w:t>
      </w:r>
      <w:r>
        <w:t xml:space="preserve"> </w:t>
      </w:r>
      <w:r>
        <w:t xml:space="preserve">as nitrogen cycling mediated by non-methanotrophic organisms.</w:t>
      </w:r>
    </w:p>
    <w:p>
      <w:pPr>
        <w:pStyle w:val="TextBody"/>
      </w:pPr>
      <w:r>
        <w:t xml:space="preserve">We found that 24 taxa were enriched in the Positive treatment,</w:t>
      </w:r>
      <w:r>
        <w:t xml:space="preserve"> </w:t>
      </w:r>
      <w:r>
        <w:t xml:space="preserve">which might indicate that the soil CH</w:t>
      </w:r>
      <w:r>
        <w:rPr>
          <w:vertAlign w:val="subscript"/>
        </w:rPr>
        <w:t xml:space="preserve">4</w:t>
      </w:r>
      <w:r>
        <w:t xml:space="preserve"> </w:t>
      </w:r>
      <w:r>
        <w:t xml:space="preserve">oxidation rate in these jars is controlled by</w:t>
      </w:r>
      <w:r>
        <w:t xml:space="preserve"> </w:t>
      </w:r>
      <w:r>
        <w:t xml:space="preserve">multiple taxa.</w:t>
      </w:r>
      <w:r>
        <w:t xml:space="preserve"> </w:t>
      </w:r>
      <w:r>
        <w:t xml:space="preserve">This conclusion is analogous to the conclusion in quantitative genetics that</w:t>
      </w:r>
      <w:r>
        <w:t xml:space="preserve"> </w:t>
      </w:r>
      <w:r>
        <w:t xml:space="preserve">most traits at the organismal level are the result of the interaction between</w:t>
      </w:r>
      <w:r>
        <w:t xml:space="preserve"> </w:t>
      </w:r>
      <w:r>
        <w:t xml:space="preserve">many independent genes. Indeed, very few traits or genetic diseases are the</w:t>
      </w:r>
      <w:r>
        <w:t xml:space="preserve"> </w:t>
      </w:r>
      <w:r>
        <w:t xml:space="preserve">result of a single gene or mutation</w:t>
      </w:r>
      <w:r>
        <w:t xml:space="preserve"> </w:t>
      </w:r>
      <w:r>
        <w:t xml:space="preserve">(44,45)</w:t>
      </w:r>
      <w:r>
        <w:t xml:space="preserve">. This results in the use of polygenic risk scores for predicting</w:t>
      </w:r>
      <w:r>
        <w:t xml:space="preserve"> </w:t>
      </w:r>
      <w:r>
        <w:t xml:space="preserve">phenotype or disease risk in humans</w:t>
      </w:r>
      <w:r>
        <w:t xml:space="preserve"> </w:t>
      </w:r>
      <w:r>
        <w:t xml:space="preserve">(46,47)</w:t>
      </w:r>
      <w:r>
        <w:t xml:space="preserve">. An analogous conclusion can be drawn for predicting</w:t>
      </w:r>
      <w:r>
        <w:t xml:space="preserve"> </w:t>
      </w:r>
      <w:r>
        <w:t xml:space="preserve">the rate of ecosystem function from the presence or relative abundance of</w:t>
      </w:r>
      <w:r>
        <w:t xml:space="preserve"> </w:t>
      </w:r>
      <w:r>
        <w:t xml:space="preserve">microbial taxa. The rate of an ecosystem function at the whole-ecosystem level is</w:t>
      </w:r>
      <w:r>
        <w:t xml:space="preserve"> </w:t>
      </w:r>
      <w:r>
        <w:t xml:space="preserve">the result of interactions among a variety of disparate taxa with different traits.</w:t>
      </w:r>
      <w:r>
        <w:t xml:space="preserve"> </w:t>
      </w:r>
      <w:r>
        <w:t xml:space="preserve">To better understand microbiome structure-function relationships, our results suggest that we</w:t>
      </w:r>
      <w:r>
        <w:t xml:space="preserve"> </w:t>
      </w:r>
      <w:r>
        <w:t xml:space="preserve">should move away from single marker genes and instead investigate the role of</w:t>
      </w:r>
      <w:r>
        <w:t xml:space="preserve"> </w:t>
      </w:r>
      <w:r>
        <w:t xml:space="preserve">multiple functional groups in determining the function of ecosystems whether it</w:t>
      </w:r>
      <w:r>
        <w:t xml:space="preserve"> </w:t>
      </w:r>
      <w:r>
        <w:t xml:space="preserve">is CH</w:t>
      </w:r>
      <w:r>
        <w:rPr>
          <w:vertAlign w:val="subscript"/>
        </w:rPr>
        <w:t xml:space="preserve">4</w:t>
      </w:r>
      <w:r>
        <w:t xml:space="preserve"> </w:t>
      </w:r>
      <w:r>
        <w:t xml:space="preserve">flux from soil or host-microbiome health.</w:t>
      </w:r>
    </w:p>
    <w:p>
      <w:pPr>
        <w:pStyle w:val="TextBody"/>
      </w:pPr>
      <w:r>
        <w:t xml:space="preserve">Taxonomic richness dropped precipitously</w:t>
      </w:r>
      <w:r>
        <w:t xml:space="preserve"> </w:t>
      </w:r>
      <w:r>
        <w:t xml:space="preserve">between Passage 2 and Passage 5. There are several explanations for this drop</w:t>
      </w:r>
      <w:r>
        <w:t xml:space="preserve"> </w:t>
      </w:r>
      <w:r>
        <w:t xml:space="preserve">in diversity. The initial community was a diverse microbiome sampled from a natural soil.</w:t>
      </w:r>
      <w:r>
        <w:t xml:space="preserve"> </w:t>
      </w:r>
      <w:r>
        <w:t xml:space="preserve">With the initial inoculation and at</w:t>
      </w:r>
      <w:r>
        <w:t xml:space="preserve"> </w:t>
      </w:r>
      <w:r>
        <w:t xml:space="preserve">each subsequent passaging, the ecosystem was subsampled to 10% (5 g of living</w:t>
      </w:r>
      <w:r>
        <w:t xml:space="preserve"> </w:t>
      </w:r>
      <w:r>
        <w:t xml:space="preserve">soil was combined with 45 g of sterilized substrate). This subsampling likely</w:t>
      </w:r>
      <w:r>
        <w:t xml:space="preserve"> </w:t>
      </w:r>
      <w:r>
        <w:t xml:space="preserve">explains a large part of the drop in diversity. In addition, beyond the imposed</w:t>
      </w:r>
      <w:r>
        <w:t xml:space="preserve"> </w:t>
      </w:r>
      <w:r>
        <w:t xml:space="preserve">selection regime based on CH</w:t>
      </w:r>
      <w:r>
        <w:rPr>
          <w:vertAlign w:val="subscript"/>
        </w:rPr>
        <w:t xml:space="preserve">4</w:t>
      </w:r>
      <w:r>
        <w:t xml:space="preserve"> </w:t>
      </w:r>
      <w:r>
        <w:t xml:space="preserve">oxidation rate, these soil microbiomes were under</w:t>
      </w:r>
      <w:r>
        <w:t xml:space="preserve"> </w:t>
      </w:r>
      <w:r>
        <w:t xml:space="preserve">a variety of selection pressures such as persistence in a jar, survival during the transfer</w:t>
      </w:r>
      <w:r>
        <w:t xml:space="preserve"> </w:t>
      </w:r>
      <w:r>
        <w:t xml:space="preserve">from one jar to the next, and the ability to colonize a new jar in a couple of</w:t>
      </w:r>
      <w:r>
        <w:t xml:space="preserve"> </w:t>
      </w:r>
      <w:r>
        <w:t xml:space="preserve">weeks, to name a few. These selection pressures would have further filtered</w:t>
      </w:r>
      <w:r>
        <w:t xml:space="preserve"> </w:t>
      </w:r>
      <w:r>
        <w:t xml:space="preserve">the microbiome for taxa that could persist in this laboratory environment.</w:t>
      </w:r>
    </w:p>
    <w:p>
      <w:pPr>
        <w:pStyle w:val="TextBody"/>
      </w:pPr>
      <w:r>
        <w:t xml:space="preserve">In addition to the drop in richness, there was also a decrease in beta</w:t>
      </w:r>
      <w:r>
        <w:t xml:space="preserve"> </w:t>
      </w:r>
      <w:r>
        <w:t xml:space="preserve">diversity among the jars as a result of passaging. This could be due to the</w:t>
      </w:r>
      <w:r>
        <w:t xml:space="preserve"> </w:t>
      </w:r>
      <w:r>
        <w:t xml:space="preserve">homogenization step between each passage. Once the jars were selected to generate</w:t>
      </w:r>
      <w:r>
        <w:t xml:space="preserve"> </w:t>
      </w:r>
      <w:r>
        <w:t xml:space="preserve">the next set of jars, the soil from those jars was homogenized and this homogenate</w:t>
      </w:r>
      <w:r>
        <w:t xml:space="preserve"> </w:t>
      </w:r>
      <w:r>
        <w:t xml:space="preserve">was used to inoculate the next set of jars. The goal of this step was to</w:t>
      </w:r>
      <w:r>
        <w:t xml:space="preserve"> </w:t>
      </w:r>
      <w:r>
        <w:t xml:space="preserve">“</w:t>
      </w:r>
      <w:r>
        <w:t xml:space="preserve">shuffle</w:t>
      </w:r>
      <w:r>
        <w:t xml:space="preserve">”</w:t>
      </w:r>
      <w:r>
        <w:t xml:space="preserve"> </w:t>
      </w:r>
      <w:r>
        <w:t xml:space="preserve">membership in the microbiomes among the jars in order to test different</w:t>
      </w:r>
      <w:r>
        <w:t xml:space="preserve"> </w:t>
      </w:r>
      <w:r>
        <w:t xml:space="preserve">combinations and relative abundances of taxa in terms of their effect on CH</w:t>
      </w:r>
      <w:r>
        <w:rPr>
          <w:vertAlign w:val="subscript"/>
        </w:rPr>
        <w:t xml:space="preserve">4</w:t>
      </w:r>
      <w:r>
        <w:t xml:space="preserve"> </w:t>
      </w:r>
      <w:r>
        <w:t xml:space="preserve">oxidation rate. This likely also made the communities more similar in their</w:t>
      </w:r>
      <w:r>
        <w:t xml:space="preserve"> </w:t>
      </w:r>
      <w:r>
        <w:t xml:space="preserve">membership by increasing the likelihood that each taxon was represented in each</w:t>
      </w:r>
      <w:r>
        <w:t xml:space="preserve"> </w:t>
      </w:r>
      <w:r>
        <w:t xml:space="preserve">jar. Another explanation for this biotic homogenization is the aforementioned</w:t>
      </w:r>
      <w:r>
        <w:t xml:space="preserve"> </w:t>
      </w:r>
      <w:r>
        <w:t xml:space="preserve">selection for persistence in a jar. These selection pressures would have</w:t>
      </w:r>
      <w:r>
        <w:t xml:space="preserve"> </w:t>
      </w:r>
      <w:r>
        <w:t xml:space="preserve">favored the subset of taxa suited to these laboratory conditions regardless</w:t>
      </w:r>
      <w:r>
        <w:t xml:space="preserve"> </w:t>
      </w:r>
      <w:r>
        <w:t xml:space="preserve">of whether they were in the Positive or Neutral selection line. This can be</w:t>
      </w:r>
      <w:r>
        <w:t xml:space="preserve"> </w:t>
      </w:r>
      <w:r>
        <w:t xml:space="preserve">seen by the relative similarity of the Positive and Neutral jars in Passage 5.</w:t>
      </w:r>
      <w:r>
        <w:t xml:space="preserve"> </w:t>
      </w:r>
      <w:r>
        <w:t xml:space="preserve">Despite the Positive treatment undergoing selection on CH</w:t>
      </w:r>
      <w:r>
        <w:rPr>
          <w:vertAlign w:val="subscript"/>
        </w:rPr>
        <w:t xml:space="preserve">4</w:t>
      </w:r>
      <w:r>
        <w:t xml:space="preserve"> </w:t>
      </w:r>
      <w:r>
        <w:t xml:space="preserve">oxidation rate,</w:t>
      </w:r>
      <w:r>
        <w:t xml:space="preserve"> </w:t>
      </w:r>
      <w:r>
        <w:t xml:space="preserve">both the Positive and Neutral jars were experiencing selection on a variety</w:t>
      </w:r>
      <w:r>
        <w:t xml:space="preserve"> </w:t>
      </w:r>
      <w:r>
        <w:t xml:space="preserve">of other traits that made the overall soil microbiomes appear similar.</w:t>
      </w:r>
    </w:p>
    <w:p>
      <w:pPr>
        <w:pStyle w:val="TextBody"/>
      </w:pPr>
      <w:r>
        <w:t xml:space="preserve">One caveat that is important to keep in mind is that 16S rRNA genes are not</w:t>
      </w:r>
      <w:r>
        <w:t xml:space="preserve"> </w:t>
      </w:r>
      <w:r>
        <w:t xml:space="preserve">markers of functional characteristics of microorganisms. They are simply</w:t>
      </w:r>
      <w:r>
        <w:t xml:space="preserve"> </w:t>
      </w:r>
      <w:r>
        <w:t xml:space="preserve">phylogenetic markers useful for determining the relative position of taxa in a</w:t>
      </w:r>
      <w:r>
        <w:t xml:space="preserve"> </w:t>
      </w:r>
      <w:r>
        <w:t xml:space="preserve">phylogenetic tree. In addition, assigning functions to taxa based solely on</w:t>
      </w:r>
      <w:r>
        <w:t xml:space="preserve"> </w:t>
      </w:r>
      <w:r>
        <w:t xml:space="preserve">their taxonomy is a fraught exercise because many microbial functions are not</w:t>
      </w:r>
      <w:r>
        <w:t xml:space="preserve"> </w:t>
      </w:r>
      <w:r>
        <w:t xml:space="preserve">very deeply conserved, are spread across disparate lineages of the tree of life,</w:t>
      </w:r>
      <w:r>
        <w:t xml:space="preserve"> </w:t>
      </w:r>
      <w:r>
        <w:t xml:space="preserve">or are easily transferred between distantly related taxa. However,</w:t>
      </w:r>
      <w:r>
        <w:t xml:space="preserve"> </w:t>
      </w:r>
      <w:r>
        <w:t xml:space="preserve">methanotrophy and methanogenesis are two of the most deeply conserved microbial</w:t>
      </w:r>
      <w:r>
        <w:t xml:space="preserve"> </w:t>
      </w:r>
      <w:r>
        <w:t xml:space="preserve">traits</w:t>
      </w:r>
      <w:r>
        <w:t xml:space="preserve"> </w:t>
      </w:r>
      <w:r>
        <w:t xml:space="preserve">(17)</w:t>
      </w:r>
      <w:r>
        <w:t xml:space="preserve">. This results in part from the fact that</w:t>
      </w:r>
      <w:r>
        <w:t xml:space="preserve"> </w:t>
      </w:r>
      <w:r>
        <w:t xml:space="preserve">these functions require multiple genes to perform and are therefore not easy to</w:t>
      </w:r>
      <w:r>
        <w:t xml:space="preserve"> </w:t>
      </w:r>
      <w:r>
        <w:t xml:space="preserve">evolve independently or to transfer between lineages through horizontal gene</w:t>
      </w:r>
      <w:r>
        <w:t xml:space="preserve"> </w:t>
      </w:r>
      <w:r>
        <w:t xml:space="preserve">transfer. However, in order to be confident that the response we observed was not</w:t>
      </w:r>
      <w:r>
        <w:t xml:space="preserve"> </w:t>
      </w:r>
      <w:r>
        <w:t xml:space="preserve">simply due to a relative increase in methanotrophs, we would need to apply</w:t>
      </w:r>
      <w:r>
        <w:t xml:space="preserve"> </w:t>
      </w:r>
      <w:r>
        <w:t xml:space="preserve">a functional approach to characterizing the microbiome, for example, by sequencing</w:t>
      </w:r>
      <w:r>
        <w:t xml:space="preserve"> </w:t>
      </w:r>
      <w:r>
        <w:t xml:space="preserve">whole metagenomes.</w:t>
      </w:r>
    </w:p>
    <w:p>
      <w:pPr>
        <w:pStyle w:val="TextBody"/>
      </w:pPr>
      <w:r>
        <w:t xml:space="preserve">Future research in this area should use methods that are able to detect</w:t>
      </w:r>
      <w:r>
        <w:t xml:space="preserve"> </w:t>
      </w:r>
      <w:r>
        <w:t xml:space="preserve">functions and metabolic pathways within the community that respond to</w:t>
      </w:r>
      <w:r>
        <w:t xml:space="preserve"> </w:t>
      </w:r>
      <w:r>
        <w:t xml:space="preserve">selection. For example, genome-resolved metagenomics could identify pathways</w:t>
      </w:r>
      <w:r>
        <w:t xml:space="preserve"> </w:t>
      </w:r>
      <w:r>
        <w:t xml:space="preserve">that are enriched in the Positive selection treatment. This would further</w:t>
      </w:r>
      <w:r>
        <w:t xml:space="preserve"> </w:t>
      </w:r>
      <w:r>
        <w:t xml:space="preserve">advance our understanding of the exact traits that are enriched in high-flux</w:t>
      </w:r>
      <w:r>
        <w:t xml:space="preserve"> </w:t>
      </w:r>
      <w:r>
        <w:t xml:space="preserve">ecosystems and therefore could be markers of ecosystem function. In addition,</w:t>
      </w:r>
      <w:r>
        <w:t xml:space="preserve"> </w:t>
      </w:r>
      <w:r>
        <w:t xml:space="preserve">future studies could build on experimental results such as these to sample a</w:t>
      </w:r>
      <w:r>
        <w:t xml:space="preserve"> </w:t>
      </w:r>
      <w:r>
        <w:t xml:space="preserve">natural gradient of ecosystem CH</w:t>
      </w:r>
      <w:r>
        <w:rPr>
          <w:vertAlign w:val="subscript"/>
        </w:rPr>
        <w:t xml:space="preserve">4</w:t>
      </w:r>
      <w:r>
        <w:t xml:space="preserve"> </w:t>
      </w:r>
      <w:r>
        <w:t xml:space="preserve">fluxes to determine whether the taxa identified</w:t>
      </w:r>
      <w:r>
        <w:t xml:space="preserve"> </w:t>
      </w:r>
      <w:r>
        <w:t xml:space="preserve">in our selection experiment could be useful indicators of CH</w:t>
      </w:r>
      <w:r>
        <w:rPr>
          <w:vertAlign w:val="subscript"/>
        </w:rPr>
        <w:t xml:space="preserve">4</w:t>
      </w:r>
      <w:r>
        <w:t xml:space="preserve"> </w:t>
      </w:r>
      <w:r>
        <w:t xml:space="preserve">flux in the</w:t>
      </w:r>
      <w:r>
        <w:t xml:space="preserve"> </w:t>
      </w:r>
      <w:r>
        <w:t xml:space="preserve">field. These studies would allow us to build a picture of the multiple traits</w:t>
      </w:r>
      <w:r>
        <w:t xml:space="preserve"> </w:t>
      </w:r>
      <w:r>
        <w:t xml:space="preserve">that drive variation in ecosystem function at the whole-ecosystem level.</w:t>
      </w:r>
    </w:p>
    <w:p>
      <w:pPr>
        <w:pStyle w:val="TextBody"/>
      </w:pPr>
      <w:r>
        <w:t xml:space="preserve">We performed an artificial ecosystem selection experiment on whole-ecosystem</w:t>
      </w:r>
      <w:r>
        <w:t xml:space="preserve"> </w:t>
      </w:r>
      <w:r>
        <w:t xml:space="preserve">CH</w:t>
      </w:r>
      <w:r>
        <w:rPr>
          <w:vertAlign w:val="subscript"/>
        </w:rPr>
        <w:t xml:space="preserve">4</w:t>
      </w:r>
      <w:r>
        <w:t xml:space="preserve"> </w:t>
      </w:r>
      <w:r>
        <w:t xml:space="preserve">oxidation rate to determine whether variation in microbiome</w:t>
      </w:r>
      <w:r>
        <w:t xml:space="preserve"> </w:t>
      </w:r>
      <w:r>
        <w:t xml:space="preserve">composition can contribute to variation in ecosystem function. We observed</w:t>
      </w:r>
      <w:r>
        <w:t xml:space="preserve"> </w:t>
      </w:r>
      <w:r>
        <w:t xml:space="preserve">a significant response to selection on CH</w:t>
      </w:r>
      <w:r>
        <w:rPr>
          <w:vertAlign w:val="subscript"/>
        </w:rPr>
        <w:t xml:space="preserve">4</w:t>
      </w:r>
      <w:r>
        <w:t xml:space="preserve"> </w:t>
      </w:r>
      <w:r>
        <w:t xml:space="preserve">oxidation rate - the first</w:t>
      </w:r>
      <w:r>
        <w:t xml:space="preserve"> </w:t>
      </w:r>
      <w:r>
        <w:t xml:space="preserve">example of an experiment performing selection on soil biogeochemical cycling.</w:t>
      </w:r>
      <w:r>
        <w:t xml:space="preserve"> </w:t>
      </w:r>
      <w:r>
        <w:t xml:space="preserve">In addition, we observed strong heritability of CH</w:t>
      </w:r>
      <w:r>
        <w:rPr>
          <w:vertAlign w:val="subscript"/>
        </w:rPr>
        <w:t xml:space="preserve">4</w:t>
      </w:r>
      <w:r>
        <w:t xml:space="preserve"> </w:t>
      </w:r>
      <w:r>
        <w:t xml:space="preserve">flux between</w:t>
      </w:r>
      <w:r>
        <w:t xml:space="preserve"> </w:t>
      </w:r>
      <w:r>
        <w:t xml:space="preserve">passages, suggesting that variation in microbiome composition could be</w:t>
      </w:r>
      <w:r>
        <w:t xml:space="preserve"> </w:t>
      </w:r>
      <w:r>
        <w:t xml:space="preserve">a major source of variation in CH</w:t>
      </w:r>
      <w:r>
        <w:rPr>
          <w:vertAlign w:val="subscript"/>
        </w:rPr>
        <w:t xml:space="preserve">4</w:t>
      </w:r>
      <w:r>
        <w:t xml:space="preserve"> </w:t>
      </w:r>
      <w:r>
        <w:t xml:space="preserve">flux in ecosystems. Surprisingly,</w:t>
      </w:r>
      <w:r>
        <w:t xml:space="preserve"> </w:t>
      </w:r>
      <w:r>
        <w:t xml:space="preserve">the taxonomic groups that experienced selection on CH</w:t>
      </w:r>
      <w:r>
        <w:rPr>
          <w:vertAlign w:val="subscript"/>
        </w:rPr>
        <w:t xml:space="preserve">4</w:t>
      </w:r>
      <w:r>
        <w:t xml:space="preserve"> </w:t>
      </w:r>
      <w:r>
        <w:t xml:space="preserve">oxidation rate were not enriched in methanotrophs. This suggests that</w:t>
      </w:r>
      <w:r>
        <w:t xml:space="preserve"> </w:t>
      </w:r>
      <w:r>
        <w:t xml:space="preserve">understanding a single functional group is insufficient for predicting the</w:t>
      </w:r>
      <w:r>
        <w:t xml:space="preserve"> </w:t>
      </w:r>
      <w:r>
        <w:t xml:space="preserve">effect of microbiome composition on the rate of ecosystem function.</w:t>
      </w:r>
      <w:r>
        <w:t xml:space="preserve"> </w:t>
      </w:r>
      <w:r>
        <w:t xml:space="preserve">Instead, we may need to investigate alternative functional groups or multiple</w:t>
      </w:r>
      <w:r>
        <w:t xml:space="preserve"> </w:t>
      </w:r>
      <w:r>
        <w:t xml:space="preserve">interacting taxa to understand the role of microbiomes in ecosystem function. While it has often been assumed that</w:t>
      </w:r>
      <w:r>
        <w:t xml:space="preserve"> </w:t>
      </w:r>
      <w:r>
        <w:t xml:space="preserve">microorganisms play a major role in determining variation in ecosystem function,</w:t>
      </w:r>
      <w:r>
        <w:t xml:space="preserve"> </w:t>
      </w:r>
      <w:r>
        <w:t xml:space="preserve">this has not previously been shown empirically. This experiment demonstrates that</w:t>
      </w:r>
      <w:r>
        <w:t xml:space="preserve"> </w:t>
      </w:r>
      <w:r>
        <w:t xml:space="preserve">variation in microbiome composition can contribute to considerable variation</w:t>
      </w:r>
      <w:r>
        <w:t xml:space="preserve"> </w:t>
      </w:r>
      <w:r>
        <w:t xml:space="preserve">in ecosystem function.</w:t>
      </w:r>
    </w:p>
    <w:bookmarkEnd w:id="36"/>
    <w:bookmarkStart w:id="37" w:name="acknowledgments"/>
    <w:p>
      <w:pPr>
        <w:pStyle w:val="Heading1"/>
      </w:pPr>
      <w:r>
        <w:t xml:space="preserve">Acknowledgments</w:t>
      </w:r>
    </w:p>
    <w:p>
      <w:pPr>
        <w:pStyle w:val="FirstParagraph"/>
      </w:pPr>
      <w:r>
        <w:t xml:space="preserve">This project was supported by the National Science Foundation Graduate Research Fellowship Program (grant no. DGE 1255832) and the ARCS Foundation Florence and Mike Nudelman Scholarship.</w:t>
      </w:r>
    </w:p>
    <w:bookmarkEnd w:id="37"/>
    <w:bookmarkStart w:id="38" w:name="competing-interests"/>
    <w:p>
      <w:pPr>
        <w:pStyle w:val="Heading1"/>
      </w:pPr>
      <w:r>
        <w:t xml:space="preserve">Competing Interests</w:t>
      </w:r>
    </w:p>
    <w:p>
      <w:pPr>
        <w:pStyle w:val="FirstParagraph"/>
      </w:pPr>
      <w:r>
        <w:t xml:space="preserve">We declare we have no competing interests.</w:t>
      </w:r>
    </w:p>
    <w:bookmarkEnd w:id="38"/>
    <w:bookmarkStart w:id="41" w:name="data-availability-statement"/>
    <w:p>
      <w:pPr>
        <w:pStyle w:val="Heading1"/>
      </w:pPr>
      <w:r>
        <w:t xml:space="preserve">Data Availability Statement</w:t>
      </w:r>
    </w:p>
    <w:p>
      <w:pPr>
        <w:pStyle w:val="FirstParagraph"/>
      </w:pPr>
      <w:r>
        <w:t xml:space="preserve">The 16S rRNA sequencing data generated during the current study are available in the NCBI Sequence Read Archive (SRA) under BioProject accession number PRJNA832314,</w:t>
      </w:r>
      <w:r>
        <w:t xml:space="preserve"> </w:t>
      </w:r>
      <w:hyperlink r:id="rId39">
        <w:r>
          <w:rPr>
            <w:rStyle w:val="InternetLink"/>
          </w:rPr>
          <w:t xml:space="preserve">https://www.ncbi.nlm.nih.gov/sra/PRJNA832314</w:t>
        </w:r>
      </w:hyperlink>
      <w:r>
        <w:t xml:space="preserve">. The metadata generated during the current study as well as the scripts to recreate the analysis are available on Github,</w:t>
      </w:r>
      <w:r>
        <w:t xml:space="preserve"> </w:t>
      </w:r>
      <w:hyperlink r:id="rId40">
        <w:r>
          <w:rPr>
            <w:rStyle w:val="InternetLink"/>
          </w:rPr>
          <w:t xml:space="preserve">https://github.com/amorris28/artificial_ecosystem_selection</w:t>
        </w:r>
      </w:hyperlink>
      <w:r>
        <w:t xml:space="preserve">.</w:t>
      </w:r>
    </w:p>
    <w:bookmarkEnd w:id="41"/>
    <w:bookmarkStart w:id="42" w:name="supplement"/>
    <w:p>
      <w:pPr>
        <w:pStyle w:val="Heading1"/>
      </w:pPr>
      <w:r>
        <w:t xml:space="preserve">Supplement</w:t>
      </w:r>
    </w:p>
    <w:bookmarkEnd w:id="42"/>
    <w:bookmarkStart w:id="131" w:name="references"/>
    <w:p>
      <w:pPr>
        <w:pStyle w:val="Heading1"/>
      </w:pPr>
      <w:r>
        <w:t xml:space="preserve">References</w:t>
      </w:r>
    </w:p>
    <w:bookmarkStart w:id="130" w:name="refs"/>
    <w:bookmarkStart w:id="44" w:name="ref-crowther2019"/>
    <w:p>
      <w:pPr>
        <w:pStyle w:val="Bibliography"/>
      </w:pPr>
      <w:r>
        <w:t xml:space="preserve">1.</w:t>
      </w:r>
      <w:r>
        <w:t xml:space="preserve"> </w:t>
      </w:r>
      <w:r>
        <w:t xml:space="preserve">	</w:t>
      </w:r>
      <w:r>
        <w:t xml:space="preserve">Crowther TW, Hoogen J van den, Wan J, Mayes MA, Keiser AD, Mo L, et al.</w:t>
      </w:r>
      <w:r>
        <w:t xml:space="preserve"> </w:t>
      </w:r>
      <w:hyperlink r:id="rId43">
        <w:r>
          <w:rPr>
            <w:rStyle w:val="InternetLink"/>
          </w:rPr>
          <w:t xml:space="preserve">The global soil community and its influence on biogeochemistry</w:t>
        </w:r>
      </w:hyperlink>
      <w:r>
        <w:t xml:space="preserve">. Science. 2019 Aug;365(6455).</w:t>
      </w:r>
      <w:r>
        <w:t xml:space="preserve"> </w:t>
      </w:r>
    </w:p>
    <w:bookmarkEnd w:id="44"/>
    <w:bookmarkStart w:id="46" w:name="ref-cardinale2006"/>
    <w:p>
      <w:pPr>
        <w:pStyle w:val="Bibliography"/>
      </w:pPr>
      <w:r>
        <w:t xml:space="preserve">2.</w:t>
      </w:r>
      <w:r>
        <w:t xml:space="preserve"> </w:t>
      </w:r>
      <w:r>
        <w:t xml:space="preserve">	</w:t>
      </w:r>
      <w:r>
        <w:t xml:space="preserve">Cardinale BJ, Srivastava DS, Emmett Duffy J, Wright JP, Downing AL, Sankaran M, et al.</w:t>
      </w:r>
      <w:r>
        <w:t xml:space="preserve"> </w:t>
      </w:r>
      <w:hyperlink r:id="rId45">
        <w:r>
          <w:rPr>
            <w:rStyle w:val="InternetLink"/>
          </w:rPr>
          <w:t xml:space="preserve">Effects of biodiversity on the functioning of trophic groups and ecosystems</w:t>
        </w:r>
      </w:hyperlink>
      <w:r>
        <w:t xml:space="preserve">. Nature. 2006 Oct;443(7114):989–92.</w:t>
      </w:r>
      <w:r>
        <w:t xml:space="preserve"> </w:t>
      </w:r>
    </w:p>
    <w:bookmarkEnd w:id="46"/>
    <w:bookmarkStart w:id="48" w:name="ref-hooper2012"/>
    <w:p>
      <w:pPr>
        <w:pStyle w:val="Bibliography"/>
      </w:pPr>
      <w:r>
        <w:t xml:space="preserve">3.</w:t>
      </w:r>
      <w:r>
        <w:t xml:space="preserve"> </w:t>
      </w:r>
      <w:r>
        <w:t xml:space="preserve">	</w:t>
      </w:r>
      <w:r>
        <w:t xml:space="preserve">Hooper DU, Adair EC, Cardinale BJ, Byrnes JEK, Hungate BA, Matulich KL, et al.</w:t>
      </w:r>
      <w:r>
        <w:t xml:space="preserve"> </w:t>
      </w:r>
      <w:hyperlink r:id="rId47">
        <w:r>
          <w:rPr>
            <w:rStyle w:val="InternetLink"/>
          </w:rPr>
          <w:t xml:space="preserve">A global synthesis reveals biodiversity loss as a major driver of ecosystem change</w:t>
        </w:r>
      </w:hyperlink>
      <w:r>
        <w:t xml:space="preserve">. Nature. 2012 Jun;486(7401):105–8.</w:t>
      </w:r>
      <w:r>
        <w:t xml:space="preserve"> </w:t>
      </w:r>
    </w:p>
    <w:bookmarkEnd w:id="48"/>
    <w:bookmarkStart w:id="50" w:name="ref-gamfeldt2015"/>
    <w:p>
      <w:pPr>
        <w:pStyle w:val="Bibliography"/>
      </w:pPr>
      <w:r>
        <w:t xml:space="preserve">4.</w:t>
      </w:r>
      <w:r>
        <w:t xml:space="preserve"> </w:t>
      </w:r>
      <w:r>
        <w:t xml:space="preserve">	</w:t>
      </w:r>
      <w:r>
        <w:t xml:space="preserve">Gamfeldt L, Lefcheck JS, Byrnes JEK, Cardinale BJ, Duffy JE, Griffin JN.</w:t>
      </w:r>
      <w:r>
        <w:t xml:space="preserve"> </w:t>
      </w:r>
      <w:hyperlink r:id="rId49">
        <w:r>
          <w:rPr>
            <w:rStyle w:val="InternetLink"/>
          </w:rPr>
          <w:t xml:space="preserve">Marine biodiversity and ecosystem functioning: What’s known and what’s next?</w:t>
        </w:r>
      </w:hyperlink>
      <w:r>
        <w:t xml:space="preserve"> Oikos. 2015;124(3):252–65.</w:t>
      </w:r>
      <w:r>
        <w:t xml:space="preserve"> </w:t>
      </w:r>
    </w:p>
    <w:bookmarkEnd w:id="50"/>
    <w:bookmarkStart w:id="52" w:name="ref-rocca2015"/>
    <w:p>
      <w:pPr>
        <w:pStyle w:val="Bibliography"/>
      </w:pPr>
      <w:r>
        <w:t xml:space="preserve">5.</w:t>
      </w:r>
      <w:r>
        <w:t xml:space="preserve"> </w:t>
      </w:r>
      <w:r>
        <w:t xml:space="preserve">	</w:t>
      </w:r>
      <w:r>
        <w:t xml:space="preserve">Rocca JD, Hall EK, Lennon JT, Evans SE, Waldrop MP, Cotner JB, et al.</w:t>
      </w:r>
      <w:r>
        <w:t xml:space="preserve"> </w:t>
      </w:r>
      <w:hyperlink r:id="rId51">
        <w:r>
          <w:rPr>
            <w:rStyle w:val="InternetLink"/>
          </w:rPr>
          <w:t xml:space="preserve">Relationships between protein-encoding gene abundance and corresponding process are commonly assumed yet rarely observed</w:t>
        </w:r>
      </w:hyperlink>
      <w:r>
        <w:t xml:space="preserve">. The ISME Journal. 2015 Aug;9(8):1693–9.</w:t>
      </w:r>
      <w:r>
        <w:t xml:space="preserve"> </w:t>
      </w:r>
    </w:p>
    <w:bookmarkEnd w:id="52"/>
    <w:bookmarkStart w:id="54" w:name="ref-graham2016"/>
    <w:p>
      <w:pPr>
        <w:pStyle w:val="Bibliography"/>
      </w:pPr>
      <w:r>
        <w:t xml:space="preserve">6.</w:t>
      </w:r>
      <w:r>
        <w:t xml:space="preserve"> </w:t>
      </w:r>
      <w:r>
        <w:t xml:space="preserve">	</w:t>
      </w:r>
      <w:r>
        <w:t xml:space="preserve">Graham EB, Knelman JE, Schindlbacher A, Siciliano S, Breulmann M, Yannarell A, et al.</w:t>
      </w:r>
      <w:r>
        <w:t xml:space="preserve"> </w:t>
      </w:r>
      <w:hyperlink r:id="rId53">
        <w:r>
          <w:rPr>
            <w:rStyle w:val="InternetLink"/>
          </w:rPr>
          <w:t xml:space="preserve">Microbes as</w:t>
        </w:r>
        <w:r>
          <w:rPr>
            <w:rStyle w:val="InternetLink"/>
          </w:rPr>
          <w:t xml:space="preserve"> </w:t>
        </w:r>
        <w:r>
          <w:rPr>
            <w:rStyle w:val="InternetLink"/>
          </w:rPr>
          <w:t xml:space="preserve">Engines</w:t>
        </w:r>
        <w:r>
          <w:rPr>
            <w:rStyle w:val="InternetLink"/>
          </w:rPr>
          <w:t xml:space="preserve"> </w:t>
        </w:r>
        <w:r>
          <w:rPr>
            <w:rStyle w:val="InternetLink"/>
          </w:rPr>
          <w:t xml:space="preserve">of</w:t>
        </w:r>
        <w:r>
          <w:rPr>
            <w:rStyle w:val="InternetLink"/>
          </w:rPr>
          <w:t xml:space="preserve"> </w:t>
        </w:r>
        <w:r>
          <w:rPr>
            <w:rStyle w:val="InternetLink"/>
          </w:rPr>
          <w:t xml:space="preserve">Ecosystem Function</w:t>
        </w:r>
        <w:r>
          <w:rPr>
            <w:rStyle w:val="InternetLink"/>
          </w:rPr>
          <w:t xml:space="preserve">:</w:t>
        </w:r>
        <w:r>
          <w:rPr>
            <w:rStyle w:val="InternetLink"/>
          </w:rPr>
          <w:t xml:space="preserve"> </w:t>
        </w:r>
        <w:r>
          <w:rPr>
            <w:rStyle w:val="InternetLink"/>
          </w:rPr>
          <w:t xml:space="preserve">When Does Community Structure Enhance Predictions</w:t>
        </w:r>
        <w:r>
          <w:rPr>
            <w:rStyle w:val="InternetLink"/>
          </w:rPr>
          <w:t xml:space="preserve"> </w:t>
        </w:r>
        <w:r>
          <w:rPr>
            <w:rStyle w:val="InternetLink"/>
          </w:rPr>
          <w:t xml:space="preserve">of</w:t>
        </w:r>
        <w:r>
          <w:rPr>
            <w:rStyle w:val="InternetLink"/>
          </w:rPr>
          <w:t xml:space="preserve"> </w:t>
        </w:r>
        <w:r>
          <w:rPr>
            <w:rStyle w:val="InternetLink"/>
          </w:rPr>
          <w:t xml:space="preserve">Ecosystem Processes</w:t>
        </w:r>
        <w:r>
          <w:rPr>
            <w:rStyle w:val="InternetLink"/>
          </w:rPr>
          <w:t xml:space="preserve">?</w:t>
        </w:r>
      </w:hyperlink>
      <w:r>
        <w:t xml:space="preserve"> Frontiers in Microbiology. 2016;0.</w:t>
      </w:r>
      <w:r>
        <w:t xml:space="preserve"> </w:t>
      </w:r>
    </w:p>
    <w:bookmarkEnd w:id="54"/>
    <w:bookmarkStart w:id="56" w:name="ref-morris2020"/>
    <w:p>
      <w:pPr>
        <w:pStyle w:val="Bibliography"/>
      </w:pPr>
      <w:r>
        <w:t xml:space="preserve">7.</w:t>
      </w:r>
      <w:r>
        <w:t xml:space="preserve"> </w:t>
      </w:r>
      <w:r>
        <w:t xml:space="preserve">	</w:t>
      </w:r>
      <w:r>
        <w:t xml:space="preserve">Morris A, Meyer K, Bohannan B.</w:t>
      </w:r>
      <w:r>
        <w:t xml:space="preserve"> </w:t>
      </w:r>
      <w:hyperlink r:id="rId55">
        <w:r>
          <w:rPr>
            <w:rStyle w:val="InternetLink"/>
          </w:rPr>
          <w:t xml:space="preserve">Linking microbial communities to ecosystem functions: What we can learn from genotype</w:t>
        </w:r>
        <w:r>
          <w:rPr>
            <w:rStyle w:val="InternetLink"/>
          </w:rPr>
          <w:t xml:space="preserve">phenotype mapping in organisms</w:t>
        </w:r>
      </w:hyperlink>
      <w:r>
        <w:t xml:space="preserve">. Philosophical Transactions of the Royal Society B: Biological Sciences. 2020 May;375(1798):20190244.</w:t>
      </w:r>
      <w:r>
        <w:t xml:space="preserve"> </w:t>
      </w:r>
    </w:p>
    <w:bookmarkEnd w:id="56"/>
    <w:bookmarkStart w:id="58" w:name="ref-swenson2000"/>
    <w:p>
      <w:pPr>
        <w:pStyle w:val="Bibliography"/>
      </w:pPr>
      <w:r>
        <w:t xml:space="preserve">8.</w:t>
      </w:r>
      <w:r>
        <w:t xml:space="preserve"> </w:t>
      </w:r>
      <w:r>
        <w:t xml:space="preserve">	</w:t>
      </w:r>
      <w:r>
        <w:t xml:space="preserve">Swenson W, Wilson DS, Elias R.</w:t>
      </w:r>
      <w:r>
        <w:t xml:space="preserve"> </w:t>
      </w:r>
      <w:hyperlink r:id="rId57">
        <w:r>
          <w:rPr>
            <w:rStyle w:val="InternetLink"/>
          </w:rPr>
          <w:t xml:space="preserve">Artificial ecosystem selection</w:t>
        </w:r>
      </w:hyperlink>
      <w:r>
        <w:t xml:space="preserve">. Proceedings of the National Academy of Sciences. 2000 Aug;97(16):9110–4.</w:t>
      </w:r>
      <w:r>
        <w:t xml:space="preserve"> </w:t>
      </w:r>
    </w:p>
    <w:bookmarkEnd w:id="58"/>
    <w:bookmarkStart w:id="60" w:name="ref-panke-buisse2015"/>
    <w:p>
      <w:pPr>
        <w:pStyle w:val="Bibliography"/>
      </w:pPr>
      <w:r>
        <w:t xml:space="preserve">9.</w:t>
      </w:r>
      <w:r>
        <w:t xml:space="preserve"> </w:t>
      </w:r>
      <w:r>
        <w:t xml:space="preserve">	</w:t>
      </w:r>
      <w:r>
        <w:t xml:space="preserve">Panke-Buisse K, Poole AC, Goodrich JK, Ley RE, Kao-Kniffin J.</w:t>
      </w:r>
      <w:r>
        <w:t xml:space="preserve"> </w:t>
      </w:r>
      <w:hyperlink r:id="rId59">
        <w:r>
          <w:rPr>
            <w:rStyle w:val="InternetLink"/>
          </w:rPr>
          <w:t xml:space="preserve">Selection on soil microbiomes reveals reproducible impacts on plant function</w:t>
        </w:r>
      </w:hyperlink>
      <w:r>
        <w:t xml:space="preserve">. The ISME journal. 2015 Mar;9(4):980–9.</w:t>
      </w:r>
      <w:r>
        <w:t xml:space="preserve"> </w:t>
      </w:r>
    </w:p>
    <w:bookmarkEnd w:id="60"/>
    <w:bookmarkStart w:id="62" w:name="ref-goodnight2000"/>
    <w:p>
      <w:pPr>
        <w:pStyle w:val="Bibliography"/>
      </w:pPr>
      <w:r>
        <w:t xml:space="preserve">10.</w:t>
      </w:r>
      <w:r>
        <w:t xml:space="preserve"> </w:t>
      </w:r>
      <w:r>
        <w:t xml:space="preserve">	</w:t>
      </w:r>
      <w:r>
        <w:t xml:space="preserve">Goodnight CJ.</w:t>
      </w:r>
      <w:r>
        <w:t xml:space="preserve"> </w:t>
      </w:r>
      <w:hyperlink r:id="rId61">
        <w:r>
          <w:rPr>
            <w:rStyle w:val="InternetLink"/>
          </w:rPr>
          <w:t xml:space="preserve">Heritability at the ecosystem level</w:t>
        </w:r>
      </w:hyperlink>
      <w:r>
        <w:t xml:space="preserve">. Proceedings of the National Academy of Sciences. 2000 Aug;97(17):9365–6.</w:t>
      </w:r>
      <w:r>
        <w:t xml:space="preserve"> </w:t>
      </w:r>
    </w:p>
    <w:bookmarkEnd w:id="62"/>
    <w:bookmarkStart w:id="64" w:name="ref-arias-sanchez2019"/>
    <w:p>
      <w:pPr>
        <w:pStyle w:val="Bibliography"/>
      </w:pPr>
      <w:r>
        <w:t xml:space="preserve">11.</w:t>
      </w:r>
      <w:r>
        <w:t xml:space="preserve"> </w:t>
      </w:r>
      <w:r>
        <w:t xml:space="preserve">	</w:t>
      </w:r>
      <w:r>
        <w:t xml:space="preserve">Arias-Sánchez FI, Vessman B, Mitri S.</w:t>
      </w:r>
      <w:r>
        <w:t xml:space="preserve"> </w:t>
      </w:r>
      <w:hyperlink r:id="rId63">
        <w:r>
          <w:rPr>
            <w:rStyle w:val="InternetLink"/>
          </w:rPr>
          <w:t xml:space="preserve">Artificially selecting microbial communities:</w:t>
        </w:r>
        <w:r>
          <w:rPr>
            <w:rStyle w:val="InternetLink"/>
          </w:rPr>
          <w:t xml:space="preserve"> </w:t>
        </w:r>
        <w:r>
          <w:rPr>
            <w:rStyle w:val="InternetLink"/>
          </w:rPr>
          <w:t xml:space="preserve">If</w:t>
        </w:r>
        <w:r>
          <w:rPr>
            <w:rStyle w:val="InternetLink"/>
          </w:rPr>
          <w:t xml:space="preserve"> </w:t>
        </w:r>
        <w:r>
          <w:rPr>
            <w:rStyle w:val="InternetLink"/>
          </w:rPr>
          <w:t xml:space="preserve">we can breed dogs, why not microbiomes?</w:t>
        </w:r>
      </w:hyperlink>
      <w:r>
        <w:t xml:space="preserve"> PLOS Biology. 2019 Aug;17(8):e3000356.</w:t>
      </w:r>
      <w:r>
        <w:t xml:space="preserve"> </w:t>
      </w:r>
    </w:p>
    <w:bookmarkEnd w:id="64"/>
    <w:bookmarkStart w:id="66" w:name="ref-fuhrman2009"/>
    <w:p>
      <w:pPr>
        <w:pStyle w:val="Bibliography"/>
      </w:pPr>
      <w:r>
        <w:t xml:space="preserve">12.</w:t>
      </w:r>
      <w:r>
        <w:t xml:space="preserve"> </w:t>
      </w:r>
      <w:r>
        <w:t xml:space="preserve">	</w:t>
      </w:r>
      <w:r>
        <w:t xml:space="preserve">Fuhrman JA.</w:t>
      </w:r>
      <w:r>
        <w:t xml:space="preserve"> </w:t>
      </w:r>
      <w:hyperlink r:id="rId65">
        <w:r>
          <w:rPr>
            <w:rStyle w:val="InternetLink"/>
          </w:rPr>
          <w:t xml:space="preserve">Microbial community structure and its functional implications</w:t>
        </w:r>
      </w:hyperlink>
      <w:r>
        <w:t xml:space="preserve">. Nature. 2009 May;459(7244):193–9.</w:t>
      </w:r>
      <w:r>
        <w:t xml:space="preserve"> </w:t>
      </w:r>
    </w:p>
    <w:bookmarkEnd w:id="66"/>
    <w:bookmarkStart w:id="68" w:name="ref-schimel1998"/>
    <w:p>
      <w:pPr>
        <w:pStyle w:val="Bibliography"/>
      </w:pPr>
      <w:r>
        <w:t xml:space="preserve">13.</w:t>
      </w:r>
      <w:r>
        <w:t xml:space="preserve"> </w:t>
      </w:r>
      <w:r>
        <w:t xml:space="preserve">	</w:t>
      </w:r>
      <w:r>
        <w:t xml:space="preserve">Schimel JP, Gulledge J.</w:t>
      </w:r>
      <w:r>
        <w:t xml:space="preserve"> </w:t>
      </w:r>
      <w:hyperlink r:id="rId67">
        <w:r>
          <w:rPr>
            <w:rStyle w:val="InternetLink"/>
          </w:rPr>
          <w:t xml:space="preserve">Microbial community structure and global trace gases</w:t>
        </w:r>
      </w:hyperlink>
      <w:r>
        <w:t xml:space="preserve">. Global Change Biology. 1998;4(7):745–58.</w:t>
      </w:r>
      <w:r>
        <w:t xml:space="preserve"> </w:t>
      </w:r>
    </w:p>
    <w:bookmarkEnd w:id="68"/>
    <w:bookmarkStart w:id="70" w:name="ref-freitag2009"/>
    <w:p>
      <w:pPr>
        <w:pStyle w:val="Bibliography"/>
      </w:pPr>
      <w:r>
        <w:t xml:space="preserve">14.</w:t>
      </w:r>
      <w:r>
        <w:t xml:space="preserve"> </w:t>
      </w:r>
      <w:r>
        <w:t xml:space="preserve">	</w:t>
      </w:r>
      <w:r>
        <w:t xml:space="preserve">Freitag TE, Prosser JI.</w:t>
      </w:r>
      <w:r>
        <w:t xml:space="preserve"> </w:t>
      </w:r>
      <w:hyperlink r:id="rId69">
        <w:r>
          <w:rPr>
            <w:rStyle w:val="InternetLink"/>
          </w:rPr>
          <w:t xml:space="preserve">Correlation of</w:t>
        </w:r>
        <w:r>
          <w:rPr>
            <w:rStyle w:val="InternetLink"/>
          </w:rPr>
          <w:t xml:space="preserve"> </w:t>
        </w:r>
        <w:r>
          <w:rPr>
            <w:rStyle w:val="InternetLink"/>
          </w:rPr>
          <w:t xml:space="preserve">Methane Production</w:t>
        </w:r>
        <w:r>
          <w:rPr>
            <w:rStyle w:val="InternetLink"/>
          </w:rPr>
          <w:t xml:space="preserve"> </w:t>
        </w:r>
        <w:r>
          <w:rPr>
            <w:rStyle w:val="InternetLink"/>
          </w:rPr>
          <w:t xml:space="preserve">and</w:t>
        </w:r>
        <w:r>
          <w:rPr>
            <w:rStyle w:val="InternetLink"/>
          </w:rPr>
          <w:t xml:space="preserve"> </w:t>
        </w:r>
        <w:r>
          <w:rPr>
            <w:rStyle w:val="InternetLink"/>
          </w:rPr>
          <w:t xml:space="preserve">Functional Gene Transcriptional Activity</w:t>
        </w:r>
        <w:r>
          <w:rPr>
            <w:rStyle w:val="InternetLink"/>
          </w:rPr>
          <w:t xml:space="preserve"> </w:t>
        </w:r>
        <w:r>
          <w:rPr>
            <w:rStyle w:val="InternetLink"/>
          </w:rPr>
          <w:t xml:space="preserve">in a</w:t>
        </w:r>
        <w:r>
          <w:rPr>
            <w:rStyle w:val="InternetLink"/>
          </w:rPr>
          <w:t xml:space="preserve"> </w:t>
        </w:r>
        <w:r>
          <w:rPr>
            <w:rStyle w:val="InternetLink"/>
          </w:rPr>
          <w:t xml:space="preserve">Peat Soil</w:t>
        </w:r>
      </w:hyperlink>
      <w:r>
        <w:t xml:space="preserve">. Applied and Environmental Microbiology. 2009 Nov;75(21):6679–87.</w:t>
      </w:r>
      <w:r>
        <w:t xml:space="preserve"> </w:t>
      </w:r>
    </w:p>
    <w:bookmarkEnd w:id="70"/>
    <w:bookmarkStart w:id="72" w:name="ref-freitag2010"/>
    <w:p>
      <w:pPr>
        <w:pStyle w:val="Bibliography"/>
      </w:pPr>
      <w:r>
        <w:t xml:space="preserve">15.</w:t>
      </w:r>
      <w:r>
        <w:t xml:space="preserve"> </w:t>
      </w:r>
      <w:r>
        <w:t xml:space="preserve">	</w:t>
      </w:r>
      <w:r>
        <w:t xml:space="preserve">Freitag TE, Toet S, Ineson P, Prosser JI.</w:t>
      </w:r>
      <w:r>
        <w:t xml:space="preserve"> </w:t>
      </w:r>
      <w:hyperlink r:id="rId71">
        <w:r>
          <w:rPr>
            <w:rStyle w:val="InternetLink"/>
          </w:rPr>
          <w:t xml:space="preserve">Links between methane flux and transcriptional activities of methanogens and methane oxidizers in a blanket peat bog</w:t>
        </w:r>
      </w:hyperlink>
      <w:r>
        <w:t xml:space="preserve">. FEMS Microbiology Ecology. 2010 Jul;73(1):157–65.</w:t>
      </w:r>
      <w:r>
        <w:t xml:space="preserve"> </w:t>
      </w:r>
    </w:p>
    <w:bookmarkEnd w:id="72"/>
    <w:bookmarkStart w:id="74" w:name="ref-meyer2020"/>
    <w:p>
      <w:pPr>
        <w:pStyle w:val="Bibliography"/>
      </w:pPr>
      <w:r>
        <w:t xml:space="preserve">16.</w:t>
      </w:r>
      <w:r>
        <w:t xml:space="preserve"> </w:t>
      </w:r>
      <w:r>
        <w:t xml:space="preserve">	</w:t>
      </w:r>
      <w:r>
        <w:t xml:space="preserve">Meyer KM, Morris AH, Webster K, Klein AM, Kroeger ME, Meredith LK, et al.</w:t>
      </w:r>
      <w:r>
        <w:t xml:space="preserve"> </w:t>
      </w:r>
      <w:hyperlink r:id="rId73">
        <w:r>
          <w:rPr>
            <w:rStyle w:val="InternetLink"/>
          </w:rPr>
          <w:t xml:space="preserve">Belowground changes to community structure alter methane-cycling dynamics in</w:t>
        </w:r>
        <w:r>
          <w:rPr>
            <w:rStyle w:val="InternetLink"/>
          </w:rPr>
          <w:t xml:space="preserve"> </w:t>
        </w:r>
        <w:r>
          <w:rPr>
            <w:rStyle w:val="InternetLink"/>
          </w:rPr>
          <w:t xml:space="preserve">Amazonia</w:t>
        </w:r>
      </w:hyperlink>
      <w:r>
        <w:t xml:space="preserve">. Environment International. 2020 Dec;145:106131.</w:t>
      </w:r>
      <w:r>
        <w:t xml:space="preserve"> </w:t>
      </w:r>
    </w:p>
    <w:bookmarkEnd w:id="74"/>
    <w:bookmarkStart w:id="76" w:name="ref-martiny2013"/>
    <w:p>
      <w:pPr>
        <w:pStyle w:val="Bibliography"/>
      </w:pPr>
      <w:r>
        <w:t xml:space="preserve">17.</w:t>
      </w:r>
      <w:r>
        <w:t xml:space="preserve"> </w:t>
      </w:r>
      <w:r>
        <w:t xml:space="preserve">	</w:t>
      </w:r>
      <w:r>
        <w:t xml:space="preserve">Martiny AC, Treseder K, Pusch G.</w:t>
      </w:r>
      <w:r>
        <w:t xml:space="preserve"> </w:t>
      </w:r>
      <w:hyperlink r:id="rId75">
        <w:r>
          <w:rPr>
            <w:rStyle w:val="InternetLink"/>
          </w:rPr>
          <w:t xml:space="preserve">Phylogenetic conservatism of functional traits in microorganisms</w:t>
        </w:r>
      </w:hyperlink>
      <w:r>
        <w:t xml:space="preserve">. The ISME Journal. 2013 Apr;7(4):830–8.</w:t>
      </w:r>
      <w:r>
        <w:t xml:space="preserve"> </w:t>
      </w:r>
    </w:p>
    <w:bookmarkEnd w:id="76"/>
    <w:bookmarkStart w:id="78" w:name="ref-caporaso2011"/>
    <w:p>
      <w:pPr>
        <w:pStyle w:val="Bibliography"/>
      </w:pPr>
      <w:r>
        <w:t xml:space="preserve">18.</w:t>
      </w:r>
      <w:r>
        <w:t xml:space="preserve"> </w:t>
      </w:r>
      <w:r>
        <w:t xml:space="preserve">	</w:t>
      </w:r>
      <w:r>
        <w:t xml:space="preserve">Caporaso JG, Lauber CL, Walters WA, Berg-Lyons D, Lozupone CA, Turnbaugh PJ, et al.</w:t>
      </w:r>
      <w:r>
        <w:t xml:space="preserve"> </w:t>
      </w:r>
      <w:hyperlink r:id="rId77">
        <w:r>
          <w:rPr>
            <w:rStyle w:val="InternetLink"/>
          </w:rPr>
          <w:t xml:space="preserve">Global patterns of</w:t>
        </w:r>
        <w:r>
          <w:rPr>
            <w:rStyle w:val="InternetLink"/>
          </w:rPr>
          <w:t xml:space="preserve"> </w:t>
        </w:r>
        <w:r>
          <w:rPr>
            <w:rStyle w:val="InternetLink"/>
          </w:rPr>
          <w:t xml:space="preserve">16S rRNA</w:t>
        </w:r>
        <w:r>
          <w:rPr>
            <w:rStyle w:val="InternetLink"/>
          </w:rPr>
          <w:t xml:space="preserve"> </w:t>
        </w:r>
        <w:r>
          <w:rPr>
            <w:rStyle w:val="InternetLink"/>
          </w:rPr>
          <w:t xml:space="preserve">diversity at a depth of millions of sequences per sample</w:t>
        </w:r>
      </w:hyperlink>
      <w:r>
        <w:t xml:space="preserve">. Proceedings of the National Academy of Sciences. 2011 Mar;108(Supplement 1):4516–22.</w:t>
      </w:r>
      <w:r>
        <w:t xml:space="preserve"> </w:t>
      </w:r>
    </w:p>
    <w:bookmarkEnd w:id="78"/>
    <w:bookmarkStart w:id="80" w:name="ref-fadrosh2014"/>
    <w:p>
      <w:pPr>
        <w:pStyle w:val="Bibliography"/>
      </w:pPr>
      <w:r>
        <w:t xml:space="preserve">19.</w:t>
      </w:r>
      <w:r>
        <w:t xml:space="preserve"> </w:t>
      </w:r>
      <w:r>
        <w:t xml:space="preserve">	</w:t>
      </w:r>
      <w:r>
        <w:t xml:space="preserve">Fadrosh DW, Ma B, Gajer P, Sengamalay N, Ott S, Brotman RM, et al.</w:t>
      </w:r>
      <w:r>
        <w:t xml:space="preserve"> </w:t>
      </w:r>
      <w:hyperlink r:id="rId79">
        <w:r>
          <w:rPr>
            <w:rStyle w:val="InternetLink"/>
          </w:rPr>
          <w:t xml:space="preserve">An improved dual-indexing approach for multiplexed</w:t>
        </w:r>
        <w:r>
          <w:rPr>
            <w:rStyle w:val="InternetLink"/>
          </w:rPr>
          <w:t xml:space="preserve"> </w:t>
        </w:r>
        <w:r>
          <w:rPr>
            <w:rStyle w:val="InternetLink"/>
          </w:rPr>
          <w:t xml:space="preserve">16S rRNA</w:t>
        </w:r>
        <w:r>
          <w:rPr>
            <w:rStyle w:val="InternetLink"/>
          </w:rPr>
          <w:t xml:space="preserve"> </w:t>
        </w:r>
        <w:r>
          <w:rPr>
            <w:rStyle w:val="InternetLink"/>
          </w:rPr>
          <w:t xml:space="preserve">gene sequencing on the</w:t>
        </w:r>
        <w:r>
          <w:rPr>
            <w:rStyle w:val="InternetLink"/>
          </w:rPr>
          <w:t xml:space="preserve"> </w:t>
        </w:r>
        <w:r>
          <w:rPr>
            <w:rStyle w:val="InternetLink"/>
          </w:rPr>
          <w:t xml:space="preserve">Illumina MiSeq</w:t>
        </w:r>
        <w:r>
          <w:rPr>
            <w:rStyle w:val="InternetLink"/>
          </w:rPr>
          <w:t xml:space="preserve"> </w:t>
        </w:r>
        <w:r>
          <w:rPr>
            <w:rStyle w:val="InternetLink"/>
          </w:rPr>
          <w:t xml:space="preserve">platform</w:t>
        </w:r>
      </w:hyperlink>
      <w:r>
        <w:t xml:space="preserve">. Microbiome. 2014 Feb;2(1):6.</w:t>
      </w:r>
      <w:r>
        <w:t xml:space="preserve"> </w:t>
      </w:r>
    </w:p>
    <w:bookmarkEnd w:id="80"/>
    <w:bookmarkStart w:id="81" w:name="ref-kozich2013"/>
    <w:p>
      <w:pPr>
        <w:pStyle w:val="Bibliography"/>
      </w:pPr>
      <w:r>
        <w:t xml:space="preserve">20.</w:t>
      </w:r>
      <w:r>
        <w:t xml:space="preserve"> </w:t>
      </w:r>
      <w:r>
        <w:t xml:space="preserve">	</w:t>
      </w:r>
      <w:r>
        <w:t xml:space="preserve">Kozich JJ, Westcott SL, Baxter NT, Highlander SK, Schloss PD. Development of a</w:t>
      </w:r>
      <w:r>
        <w:t xml:space="preserve"> </w:t>
      </w:r>
      <w:r>
        <w:t xml:space="preserve">Dual-Index Sequencing Strategy</w:t>
      </w:r>
      <w:r>
        <w:t xml:space="preserve"> </w:t>
      </w:r>
      <w:r>
        <w:t xml:space="preserve">and</w:t>
      </w:r>
      <w:r>
        <w:t xml:space="preserve"> </w:t>
      </w:r>
      <w:r>
        <w:t xml:space="preserve">Curation Pipeline</w:t>
      </w:r>
      <w:r>
        <w:t xml:space="preserve"> </w:t>
      </w:r>
      <w:r>
        <w:t xml:space="preserve">for</w:t>
      </w:r>
      <w:r>
        <w:t xml:space="preserve"> </w:t>
      </w:r>
      <w:r>
        <w:t xml:space="preserve">Analyzing Amplicon Sequence Data</w:t>
      </w:r>
      <w:r>
        <w:t xml:space="preserve"> </w:t>
      </w:r>
      <w:r>
        <w:t xml:space="preserve">on the</w:t>
      </w:r>
      <w:r>
        <w:t xml:space="preserve"> </w:t>
      </w:r>
      <w:r>
        <w:t xml:space="preserve">MiSeq Illumina Sequencing Platform</w:t>
      </w:r>
      <w:r>
        <w:t xml:space="preserve">. Applied and Environmental Microbiology. 2013 Sep;</w:t>
      </w:r>
      <w:r>
        <w:t xml:space="preserve"> </w:t>
      </w:r>
    </w:p>
    <w:bookmarkEnd w:id="81"/>
    <w:bookmarkStart w:id="82" w:name="ref-rcoreteam2018"/>
    <w:p>
      <w:pPr>
        <w:pStyle w:val="Bibliography"/>
      </w:pPr>
      <w:r>
        <w:t xml:space="preserve">21.</w:t>
      </w:r>
      <w:r>
        <w:t xml:space="preserve"> </w:t>
      </w:r>
      <w:r>
        <w:t xml:space="preserve">	</w:t>
      </w:r>
      <w:r>
        <w:t xml:space="preserve">R Core Team. R:</w:t>
      </w:r>
      <w:r>
        <w:t xml:space="preserve"> </w:t>
      </w:r>
      <w:r>
        <w:t xml:space="preserve">A</w:t>
      </w:r>
      <w:r>
        <w:t xml:space="preserve"> </w:t>
      </w:r>
      <w:r>
        <w:t xml:space="preserve">language and environment for statistical computing.</w:t>
      </w:r>
      <w:r>
        <w:t xml:space="preserve"> </w:t>
      </w:r>
      <w:r>
        <w:t xml:space="preserve">Vienna, Austria</w:t>
      </w:r>
      <w:r>
        <w:t xml:space="preserve">:</w:t>
      </w:r>
      <w:r>
        <w:t xml:space="preserve"> </w:t>
      </w:r>
      <w:r>
        <w:t xml:space="preserve">R Foundation for Statistical Computing</w:t>
      </w:r>
      <w:r>
        <w:t xml:space="preserve">; 2018.</w:t>
      </w:r>
      <w:r>
        <w:t xml:space="preserve"> </w:t>
      </w:r>
    </w:p>
    <w:bookmarkEnd w:id="82"/>
    <w:bookmarkStart w:id="84" w:name="ref-callahan2016"/>
    <w:p>
      <w:pPr>
        <w:pStyle w:val="Bibliography"/>
      </w:pPr>
      <w:r>
        <w:t xml:space="preserve">22.</w:t>
      </w:r>
      <w:r>
        <w:t xml:space="preserve"> </w:t>
      </w:r>
      <w:r>
        <w:t xml:space="preserve">	</w:t>
      </w:r>
      <w:r>
        <w:t xml:space="preserve">Callahan BJ, McMurdie PJ, Rosen MJ, Han AW, Johnson AJA, Holmes SP.</w:t>
      </w:r>
      <w:r>
        <w:t xml:space="preserve"> </w:t>
      </w:r>
      <w:hyperlink r:id="rId83">
        <w:r>
          <w:rPr>
            <w:rStyle w:val="InternetLink"/>
          </w:rPr>
          <w:t xml:space="preserve">DADA2</w:t>
        </w:r>
        <w:r>
          <w:rPr>
            <w:rStyle w:val="InternetLink"/>
          </w:rPr>
          <w:t xml:space="preserve">:</w:t>
        </w:r>
        <w:r>
          <w:rPr>
            <w:rStyle w:val="InternetLink"/>
          </w:rPr>
          <w:t xml:space="preserve"> </w:t>
        </w:r>
        <w:r>
          <w:rPr>
            <w:rStyle w:val="InternetLink"/>
          </w:rPr>
          <w:t xml:space="preserve">High-resolution</w:t>
        </w:r>
        <w:r>
          <w:rPr>
            <w:rStyle w:val="InternetLink"/>
          </w:rPr>
          <w:t xml:space="preserve"> </w:t>
        </w:r>
        <w:r>
          <w:rPr>
            <w:rStyle w:val="InternetLink"/>
          </w:rPr>
          <w:t xml:space="preserve">sample inference from</w:t>
        </w:r>
        <w:r>
          <w:rPr>
            <w:rStyle w:val="InternetLink"/>
          </w:rPr>
          <w:t xml:space="preserve"> </w:t>
        </w:r>
        <w:r>
          <w:rPr>
            <w:rStyle w:val="InternetLink"/>
          </w:rPr>
          <w:t xml:space="preserve">Illumina</w:t>
        </w:r>
        <w:r>
          <w:rPr>
            <w:rStyle w:val="InternetLink"/>
          </w:rPr>
          <w:t xml:space="preserve"> </w:t>
        </w:r>
        <w:r>
          <w:rPr>
            <w:rStyle w:val="InternetLink"/>
          </w:rPr>
          <w:t xml:space="preserve">amplicon data</w:t>
        </w:r>
      </w:hyperlink>
      <w:r>
        <w:t xml:space="preserve">. Nature Methods. 2016 Jul;13(7):581–3.</w:t>
      </w:r>
      <w:r>
        <w:t xml:space="preserve"> </w:t>
      </w:r>
    </w:p>
    <w:bookmarkEnd w:id="84"/>
    <w:bookmarkStart w:id="86" w:name="ref-wang2007"/>
    <w:p>
      <w:pPr>
        <w:pStyle w:val="Bibliography"/>
      </w:pPr>
      <w:r>
        <w:t xml:space="preserve">23.</w:t>
      </w:r>
      <w:r>
        <w:t xml:space="preserve"> </w:t>
      </w:r>
      <w:r>
        <w:t xml:space="preserve">	</w:t>
      </w:r>
      <w:r>
        <w:t xml:space="preserve">Wang Q, Garrity GM, Tiedje JM, Cole JR.</w:t>
      </w:r>
      <w:r>
        <w:t xml:space="preserve"> </w:t>
      </w:r>
      <w:hyperlink r:id="rId85">
        <w:r>
          <w:rPr>
            <w:rStyle w:val="InternetLink"/>
          </w:rPr>
          <w:t xml:space="preserve">Naïve</w:t>
        </w:r>
        <w:r>
          <w:rPr>
            <w:rStyle w:val="InternetLink"/>
          </w:rPr>
          <w:t xml:space="preserve"> </w:t>
        </w:r>
        <w:r>
          <w:rPr>
            <w:rStyle w:val="InternetLink"/>
          </w:rPr>
          <w:t xml:space="preserve">Bayesian Classifier</w:t>
        </w:r>
        <w:r>
          <w:rPr>
            <w:rStyle w:val="InternetLink"/>
          </w:rPr>
          <w:t xml:space="preserve"> </w:t>
        </w:r>
        <w:r>
          <w:rPr>
            <w:rStyle w:val="InternetLink"/>
          </w:rPr>
          <w:t xml:space="preserve">for</w:t>
        </w:r>
        <w:r>
          <w:rPr>
            <w:rStyle w:val="InternetLink"/>
          </w:rPr>
          <w:t xml:space="preserve"> </w:t>
        </w:r>
        <w:r>
          <w:rPr>
            <w:rStyle w:val="InternetLink"/>
          </w:rPr>
          <w:t xml:space="preserve">Rapid Assignment</w:t>
        </w:r>
        <w:r>
          <w:rPr>
            <w:rStyle w:val="InternetLink"/>
          </w:rPr>
          <w:t xml:space="preserve"> </w:t>
        </w:r>
        <w:r>
          <w:rPr>
            <w:rStyle w:val="InternetLink"/>
          </w:rPr>
          <w:t xml:space="preserve">of</w:t>
        </w:r>
        <w:r>
          <w:rPr>
            <w:rStyle w:val="InternetLink"/>
          </w:rPr>
          <w:t xml:space="preserve"> </w:t>
        </w:r>
        <w:r>
          <w:rPr>
            <w:rStyle w:val="InternetLink"/>
          </w:rPr>
          <w:t xml:space="preserve">rRNA Sequences</w:t>
        </w:r>
        <w:r>
          <w:rPr>
            <w:rStyle w:val="InternetLink"/>
          </w:rPr>
          <w:t xml:space="preserve"> </w:t>
        </w:r>
        <w:r>
          <w:rPr>
            <w:rStyle w:val="InternetLink"/>
          </w:rPr>
          <w:t xml:space="preserve">into the</w:t>
        </w:r>
        <w:r>
          <w:rPr>
            <w:rStyle w:val="InternetLink"/>
          </w:rPr>
          <w:t xml:space="preserve"> </w:t>
        </w:r>
        <w:r>
          <w:rPr>
            <w:rStyle w:val="InternetLink"/>
          </w:rPr>
          <w:t xml:space="preserve">New Bacterial Taxonomy</w:t>
        </w:r>
      </w:hyperlink>
      <w:r>
        <w:t xml:space="preserve">. Applied and Environmental Microbiology. 2007 Aug;73(16):5261–7.</w:t>
      </w:r>
      <w:r>
        <w:t xml:space="preserve"> </w:t>
      </w:r>
    </w:p>
    <w:bookmarkEnd w:id="86"/>
    <w:bookmarkStart w:id="88" w:name="ref-davis2018"/>
    <w:p>
      <w:pPr>
        <w:pStyle w:val="Bibliography"/>
      </w:pPr>
      <w:r>
        <w:t xml:space="preserve">24.</w:t>
      </w:r>
      <w:r>
        <w:t xml:space="preserve"> </w:t>
      </w:r>
      <w:r>
        <w:t xml:space="preserve">	</w:t>
      </w:r>
      <w:r>
        <w:t xml:space="preserve">Davis NM, Proctor DM, Holmes SP, Relman DA, Callahan BJ.</w:t>
      </w:r>
      <w:r>
        <w:t xml:space="preserve"> </w:t>
      </w:r>
      <w:hyperlink r:id="rId87">
        <w:r>
          <w:rPr>
            <w:rStyle w:val="InternetLink"/>
          </w:rPr>
          <w:t xml:space="preserve">Simple statistical identification and removal of contaminant sequences in marker-gene and metagenomics data</w:t>
        </w:r>
      </w:hyperlink>
      <w:r>
        <w:t xml:space="preserve">. Microbiome. 2018 Dec;6(1):226.</w:t>
      </w:r>
      <w:r>
        <w:t xml:space="preserve"> </w:t>
      </w:r>
    </w:p>
    <w:bookmarkEnd w:id="88"/>
    <w:bookmarkStart w:id="89" w:name="ref-falconer1996"/>
    <w:p>
      <w:pPr>
        <w:pStyle w:val="Bibliography"/>
      </w:pPr>
      <w:r>
        <w:t xml:space="preserve">25.</w:t>
      </w:r>
      <w:r>
        <w:t xml:space="preserve"> </w:t>
      </w:r>
      <w:r>
        <w:t xml:space="preserve">	</w:t>
      </w:r>
      <w:r>
        <w:t xml:space="preserve">Falconer DS(DouglasS, MacKay TFC. Introduction to quantitative genetics.</w:t>
      </w:r>
      <w:r>
        <w:t xml:space="preserve"> </w:t>
      </w:r>
      <w:r>
        <w:t xml:space="preserve">Harlow : Prentice Hall</w:t>
      </w:r>
      <w:r>
        <w:t xml:space="preserve">; 1996.</w:t>
      </w:r>
      <w:r>
        <w:t xml:space="preserve"> </w:t>
      </w:r>
    </w:p>
    <w:bookmarkEnd w:id="89"/>
    <w:bookmarkStart w:id="91" w:name="ref-hurlbert1971"/>
    <w:p>
      <w:pPr>
        <w:pStyle w:val="Bibliography"/>
      </w:pPr>
      <w:r>
        <w:t xml:space="preserve">26.</w:t>
      </w:r>
      <w:r>
        <w:t xml:space="preserve"> </w:t>
      </w:r>
      <w:r>
        <w:t xml:space="preserve">	</w:t>
      </w:r>
      <w:r>
        <w:t xml:space="preserve">Hurlbert SH.</w:t>
      </w:r>
      <w:r>
        <w:t xml:space="preserve"> </w:t>
      </w:r>
      <w:hyperlink r:id="rId90">
        <w:r>
          <w:rPr>
            <w:rStyle w:val="InternetLink"/>
          </w:rPr>
          <w:t xml:space="preserve">The</w:t>
        </w:r>
        <w:r>
          <w:rPr>
            <w:rStyle w:val="InternetLink"/>
          </w:rPr>
          <w:t xml:space="preserve"> </w:t>
        </w:r>
        <w:r>
          <w:rPr>
            <w:rStyle w:val="InternetLink"/>
          </w:rPr>
          <w:t xml:space="preserve">Nonconcept</w:t>
        </w:r>
        <w:r>
          <w:rPr>
            <w:rStyle w:val="InternetLink"/>
          </w:rPr>
          <w:t xml:space="preserve"> </w:t>
        </w:r>
        <w:r>
          <w:rPr>
            <w:rStyle w:val="InternetLink"/>
          </w:rPr>
          <w:t xml:space="preserve">of</w:t>
        </w:r>
        <w:r>
          <w:rPr>
            <w:rStyle w:val="InternetLink"/>
          </w:rPr>
          <w:t xml:space="preserve"> </w:t>
        </w:r>
        <w:r>
          <w:rPr>
            <w:rStyle w:val="InternetLink"/>
          </w:rPr>
          <w:t xml:space="preserve">Species Diversity</w:t>
        </w:r>
        <w:r>
          <w:rPr>
            <w:rStyle w:val="InternetLink"/>
          </w:rPr>
          <w:t xml:space="preserve">:</w:t>
        </w:r>
        <w:r>
          <w:rPr>
            <w:rStyle w:val="InternetLink"/>
          </w:rPr>
          <w:t xml:space="preserve"> </w:t>
        </w:r>
        <w:r>
          <w:rPr>
            <w:rStyle w:val="InternetLink"/>
          </w:rPr>
          <w:t xml:space="preserve">A Critique</w:t>
        </w:r>
        <w:r>
          <w:rPr>
            <w:rStyle w:val="InternetLink"/>
          </w:rPr>
          <w:t xml:space="preserve"> </w:t>
        </w:r>
        <w:r>
          <w:rPr>
            <w:rStyle w:val="InternetLink"/>
          </w:rPr>
          <w:t xml:space="preserve">and</w:t>
        </w:r>
        <w:r>
          <w:rPr>
            <w:rStyle w:val="InternetLink"/>
          </w:rPr>
          <w:t xml:space="preserve"> </w:t>
        </w:r>
        <w:r>
          <w:rPr>
            <w:rStyle w:val="InternetLink"/>
          </w:rPr>
          <w:t xml:space="preserve">Alternative Parameters</w:t>
        </w:r>
      </w:hyperlink>
      <w:r>
        <w:t xml:space="preserve">. Ecology. 1971;52(4):577–86.</w:t>
      </w:r>
      <w:r>
        <w:t xml:space="preserve"> </w:t>
      </w:r>
    </w:p>
    <w:bookmarkEnd w:id="91"/>
    <w:bookmarkStart w:id="92" w:name="ref-oksanen2019"/>
    <w:p>
      <w:pPr>
        <w:pStyle w:val="Bibliography"/>
      </w:pPr>
      <w:r>
        <w:t xml:space="preserve">27.</w:t>
      </w:r>
      <w:r>
        <w:t xml:space="preserve"> </w:t>
      </w:r>
      <w:r>
        <w:t xml:space="preserve">	</w:t>
      </w:r>
      <w:r>
        <w:t xml:space="preserve">Oksanen J, Blanchet FG, Friendly M, Kindt R, Legendre P, McGlinn D, et al. Vegan: Community ecology package. 2019.</w:t>
      </w:r>
      <w:r>
        <w:t xml:space="preserve"> </w:t>
      </w:r>
    </w:p>
    <w:bookmarkEnd w:id="92"/>
    <w:bookmarkStart w:id="94" w:name="ref-bray1957"/>
    <w:p>
      <w:pPr>
        <w:pStyle w:val="Bibliography"/>
      </w:pPr>
      <w:r>
        <w:t xml:space="preserve">28.</w:t>
      </w:r>
      <w:r>
        <w:t xml:space="preserve"> </w:t>
      </w:r>
      <w:r>
        <w:t xml:space="preserve">	</w:t>
      </w:r>
      <w:r>
        <w:t xml:space="preserve">Bray JR, Curtis JT.</w:t>
      </w:r>
      <w:r>
        <w:t xml:space="preserve"> </w:t>
      </w:r>
      <w:hyperlink r:id="rId93">
        <w:r>
          <w:rPr>
            <w:rStyle w:val="InternetLink"/>
          </w:rPr>
          <w:t xml:space="preserve">An</w:t>
        </w:r>
        <w:r>
          <w:rPr>
            <w:rStyle w:val="InternetLink"/>
          </w:rPr>
          <w:t xml:space="preserve"> </w:t>
        </w:r>
        <w:r>
          <w:rPr>
            <w:rStyle w:val="InternetLink"/>
          </w:rPr>
          <w:t xml:space="preserve">Ordination</w:t>
        </w:r>
        <w:r>
          <w:rPr>
            <w:rStyle w:val="InternetLink"/>
          </w:rPr>
          <w:t xml:space="preserve"> </w:t>
        </w:r>
        <w:r>
          <w:rPr>
            <w:rStyle w:val="InternetLink"/>
          </w:rPr>
          <w:t xml:space="preserve">of the</w:t>
        </w:r>
        <w:r>
          <w:rPr>
            <w:rStyle w:val="InternetLink"/>
          </w:rPr>
          <w:t xml:space="preserve"> </w:t>
        </w:r>
        <w:r>
          <w:rPr>
            <w:rStyle w:val="InternetLink"/>
          </w:rPr>
          <w:t xml:space="preserve">Upland Forest Communities</w:t>
        </w:r>
        <w:r>
          <w:rPr>
            <w:rStyle w:val="InternetLink"/>
          </w:rPr>
          <w:t xml:space="preserve"> </w:t>
        </w:r>
        <w:r>
          <w:rPr>
            <w:rStyle w:val="InternetLink"/>
          </w:rPr>
          <w:t xml:space="preserve">of</w:t>
        </w:r>
        <w:r>
          <w:rPr>
            <w:rStyle w:val="InternetLink"/>
          </w:rPr>
          <w:t xml:space="preserve"> </w:t>
        </w:r>
        <w:r>
          <w:rPr>
            <w:rStyle w:val="InternetLink"/>
          </w:rPr>
          <w:t xml:space="preserve">Southern Wisconsin</w:t>
        </w:r>
      </w:hyperlink>
      <w:r>
        <w:t xml:space="preserve">. Ecological Monographs. 1957;27(4):325–49.</w:t>
      </w:r>
      <w:r>
        <w:t xml:space="preserve"> </w:t>
      </w:r>
    </w:p>
    <w:bookmarkEnd w:id="94"/>
    <w:bookmarkStart w:id="96" w:name="ref-mcardle2001"/>
    <w:p>
      <w:pPr>
        <w:pStyle w:val="Bibliography"/>
      </w:pPr>
      <w:r>
        <w:t xml:space="preserve">29.</w:t>
      </w:r>
      <w:r>
        <w:t xml:space="preserve"> </w:t>
      </w:r>
      <w:r>
        <w:t xml:space="preserve">	</w:t>
      </w:r>
      <w:r>
        <w:t xml:space="preserve">McArdle BH, Anderson MJ.</w:t>
      </w:r>
      <w:r>
        <w:t xml:space="preserve"> </w:t>
      </w:r>
      <w:hyperlink r:id="rId95">
        <w:r>
          <w:rPr>
            <w:rStyle w:val="InternetLink"/>
          </w:rPr>
          <w:t xml:space="preserve">Fitting</w:t>
        </w:r>
        <w:r>
          <w:rPr>
            <w:rStyle w:val="InternetLink"/>
          </w:rPr>
          <w:t xml:space="preserve"> </w:t>
        </w:r>
        <w:r>
          <w:rPr>
            <w:rStyle w:val="InternetLink"/>
          </w:rPr>
          <w:t xml:space="preserve">Multivariate Models</w:t>
        </w:r>
        <w:r>
          <w:rPr>
            <w:rStyle w:val="InternetLink"/>
          </w:rPr>
          <w:t xml:space="preserve"> </w:t>
        </w:r>
        <w:r>
          <w:rPr>
            <w:rStyle w:val="InternetLink"/>
          </w:rPr>
          <w:t xml:space="preserve">to</w:t>
        </w:r>
        <w:r>
          <w:rPr>
            <w:rStyle w:val="InternetLink"/>
          </w:rPr>
          <w:t xml:space="preserve"> </w:t>
        </w:r>
        <w:r>
          <w:rPr>
            <w:rStyle w:val="InternetLink"/>
          </w:rPr>
          <w:t xml:space="preserve">Community Data</w:t>
        </w:r>
        <w:r>
          <w:rPr>
            <w:rStyle w:val="InternetLink"/>
          </w:rPr>
          <w:t xml:space="preserve">:</w:t>
        </w:r>
        <w:r>
          <w:rPr>
            <w:rStyle w:val="InternetLink"/>
          </w:rPr>
          <w:t xml:space="preserve"> </w:t>
        </w:r>
        <w:r>
          <w:rPr>
            <w:rStyle w:val="InternetLink"/>
          </w:rPr>
          <w:t xml:space="preserve">A Comment</w:t>
        </w:r>
        <w:r>
          <w:rPr>
            <w:rStyle w:val="InternetLink"/>
          </w:rPr>
          <w:t xml:space="preserve"> </w:t>
        </w:r>
        <w:r>
          <w:rPr>
            <w:rStyle w:val="InternetLink"/>
          </w:rPr>
          <w:t xml:space="preserve">on</w:t>
        </w:r>
        <w:r>
          <w:rPr>
            <w:rStyle w:val="InternetLink"/>
          </w:rPr>
          <w:t xml:space="preserve"> </w:t>
        </w:r>
        <w:r>
          <w:rPr>
            <w:rStyle w:val="InternetLink"/>
          </w:rPr>
          <w:t xml:space="preserve">Distance-Based Redundancy Analysis</w:t>
        </w:r>
      </w:hyperlink>
      <w:r>
        <w:t xml:space="preserve">. Ecology. 2001;82(1):290–7.</w:t>
      </w:r>
      <w:r>
        <w:t xml:space="preserve"> </w:t>
      </w:r>
    </w:p>
    <w:bookmarkEnd w:id="96"/>
    <w:bookmarkStart w:id="98" w:name="ref-kaul2017"/>
    <w:p>
      <w:pPr>
        <w:pStyle w:val="Bibliography"/>
      </w:pPr>
      <w:r>
        <w:t xml:space="preserve">30.</w:t>
      </w:r>
      <w:r>
        <w:t xml:space="preserve"> </w:t>
      </w:r>
      <w:r>
        <w:t xml:space="preserve">	</w:t>
      </w:r>
      <w:r>
        <w:t xml:space="preserve">Kaul A, Mandal S, Davidov O, Peddada SD.</w:t>
      </w:r>
      <w:r>
        <w:t xml:space="preserve"> </w:t>
      </w:r>
      <w:hyperlink r:id="rId97">
        <w:r>
          <w:rPr>
            <w:rStyle w:val="InternetLink"/>
          </w:rPr>
          <w:t xml:space="preserve">Analysis of</w:t>
        </w:r>
        <w:r>
          <w:rPr>
            <w:rStyle w:val="InternetLink"/>
          </w:rPr>
          <w:t xml:space="preserve"> </w:t>
        </w:r>
        <w:r>
          <w:rPr>
            <w:rStyle w:val="InternetLink"/>
          </w:rPr>
          <w:t xml:space="preserve">Microbiome Data</w:t>
        </w:r>
        <w:r>
          <w:rPr>
            <w:rStyle w:val="InternetLink"/>
          </w:rPr>
          <w:t xml:space="preserve"> </w:t>
        </w:r>
        <w:r>
          <w:rPr>
            <w:rStyle w:val="InternetLink"/>
          </w:rPr>
          <w:t xml:space="preserve">in the</w:t>
        </w:r>
        <w:r>
          <w:rPr>
            <w:rStyle w:val="InternetLink"/>
          </w:rPr>
          <w:t xml:space="preserve"> </w:t>
        </w:r>
        <w:r>
          <w:rPr>
            <w:rStyle w:val="InternetLink"/>
          </w:rPr>
          <w:t xml:space="preserve">Presence</w:t>
        </w:r>
        <w:r>
          <w:rPr>
            <w:rStyle w:val="InternetLink"/>
          </w:rPr>
          <w:t xml:space="preserve"> </w:t>
        </w:r>
        <w:r>
          <w:rPr>
            <w:rStyle w:val="InternetLink"/>
          </w:rPr>
          <w:t xml:space="preserve">of</w:t>
        </w:r>
        <w:r>
          <w:rPr>
            <w:rStyle w:val="InternetLink"/>
          </w:rPr>
          <w:t xml:space="preserve"> </w:t>
        </w:r>
        <w:r>
          <w:rPr>
            <w:rStyle w:val="InternetLink"/>
          </w:rPr>
          <w:t xml:space="preserve">Excess Zeros</w:t>
        </w:r>
      </w:hyperlink>
      <w:r>
        <w:t xml:space="preserve">. Frontiers in Microbiology. 2017 Nov;8:2114.</w:t>
      </w:r>
      <w:r>
        <w:t xml:space="preserve"> </w:t>
      </w:r>
    </w:p>
    <w:bookmarkEnd w:id="98"/>
    <w:bookmarkStart w:id="100" w:name="ref-lin2020"/>
    <w:p>
      <w:pPr>
        <w:pStyle w:val="Bibliography"/>
      </w:pPr>
      <w:r>
        <w:t xml:space="preserve">31.</w:t>
      </w:r>
      <w:r>
        <w:t xml:space="preserve"> </w:t>
      </w:r>
      <w:r>
        <w:t xml:space="preserve">	</w:t>
      </w:r>
      <w:r>
        <w:t xml:space="preserve">Lin H, Peddada SD.</w:t>
      </w:r>
      <w:r>
        <w:t xml:space="preserve"> </w:t>
      </w:r>
      <w:hyperlink r:id="rId99">
        <w:r>
          <w:rPr>
            <w:rStyle w:val="InternetLink"/>
          </w:rPr>
          <w:t xml:space="preserve">Analysis of compositions of microbiomes with bias correction</w:t>
        </w:r>
      </w:hyperlink>
      <w:r>
        <w:t xml:space="preserve">. Nature Communications. 2020 Jul;11(1):3514.</w:t>
      </w:r>
      <w:r>
        <w:t xml:space="preserve"> </w:t>
      </w:r>
    </w:p>
    <w:bookmarkEnd w:id="100"/>
    <w:bookmarkStart w:id="102" w:name="ref-fernandes2014"/>
    <w:p>
      <w:pPr>
        <w:pStyle w:val="Bibliography"/>
      </w:pPr>
      <w:r>
        <w:t xml:space="preserve">32.</w:t>
      </w:r>
      <w:r>
        <w:t xml:space="preserve"> </w:t>
      </w:r>
      <w:r>
        <w:t xml:space="preserve">	</w:t>
      </w:r>
      <w:r>
        <w:t xml:space="preserve">Fernandes AD, Reid JN, Macklaim JM, McMurrough TA, Edgell DR, Gloor GB.</w:t>
      </w:r>
      <w:r>
        <w:t xml:space="preserve"> </w:t>
      </w:r>
      <w:hyperlink r:id="rId101">
        <w:r>
          <w:rPr>
            <w:rStyle w:val="InternetLink"/>
          </w:rPr>
          <w:t xml:space="preserve">Unifying the analysis of high-throughput sequencing datasets: Characterizing</w:t>
        </w:r>
        <w:r>
          <w:rPr>
            <w:rStyle w:val="InternetLink"/>
          </w:rPr>
          <w:t xml:space="preserve"> </w:t>
        </w:r>
        <w:r>
          <w:rPr>
            <w:rStyle w:val="InternetLink"/>
          </w:rPr>
          <w:t xml:space="preserve">RNA-seq</w:t>
        </w:r>
        <w:r>
          <w:rPr>
            <w:rStyle w:val="InternetLink"/>
          </w:rPr>
          <w:t xml:space="preserve">,</w:t>
        </w:r>
        <w:r>
          <w:rPr>
            <w:rStyle w:val="InternetLink"/>
          </w:rPr>
          <w:t xml:space="preserve"> </w:t>
        </w:r>
        <w:r>
          <w:rPr>
            <w:rStyle w:val="InternetLink"/>
          </w:rPr>
          <w:t xml:space="preserve">16S rRNA</w:t>
        </w:r>
        <w:r>
          <w:rPr>
            <w:rStyle w:val="InternetLink"/>
          </w:rPr>
          <w:t xml:space="preserve"> </w:t>
        </w:r>
        <w:r>
          <w:rPr>
            <w:rStyle w:val="InternetLink"/>
          </w:rPr>
          <w:t xml:space="preserve">gene sequencing and selective growth experiments by compositional data analysis</w:t>
        </w:r>
      </w:hyperlink>
      <w:r>
        <w:t xml:space="preserve">. Microbiome. 2014 May;2(1):15.</w:t>
      </w:r>
      <w:r>
        <w:t xml:space="preserve"> </w:t>
      </w:r>
    </w:p>
    <w:bookmarkEnd w:id="102"/>
    <w:bookmarkStart w:id="104" w:name="ref-martin2020"/>
    <w:p>
      <w:pPr>
        <w:pStyle w:val="Bibliography"/>
      </w:pPr>
      <w:r>
        <w:t xml:space="preserve">33.</w:t>
      </w:r>
      <w:r>
        <w:t xml:space="preserve"> </w:t>
      </w:r>
      <w:r>
        <w:t xml:space="preserve">	</w:t>
      </w:r>
      <w:r>
        <w:t xml:space="preserve">Martin BD, Witten D, Willis AD.</w:t>
      </w:r>
      <w:r>
        <w:t xml:space="preserve"> </w:t>
      </w:r>
      <w:hyperlink r:id="rId103">
        <w:r>
          <w:rPr>
            <w:rStyle w:val="InternetLink"/>
          </w:rPr>
          <w:t xml:space="preserve">Modeling microbial abundances and dysbiosis with beta-binomial regression</w:t>
        </w:r>
      </w:hyperlink>
      <w:r>
        <w:t xml:space="preserve">. The Annals of Applied Statistics. 2020 Mar;14(1):94–115.</w:t>
      </w:r>
      <w:r>
        <w:t xml:space="preserve"> </w:t>
      </w:r>
    </w:p>
    <w:bookmarkEnd w:id="104"/>
    <w:bookmarkStart w:id="106" w:name="ref-stein2012"/>
    <w:p>
      <w:pPr>
        <w:pStyle w:val="Bibliography"/>
      </w:pPr>
      <w:r>
        <w:t xml:space="preserve">34.</w:t>
      </w:r>
      <w:r>
        <w:t xml:space="preserve"> </w:t>
      </w:r>
      <w:r>
        <w:t xml:space="preserve">	</w:t>
      </w:r>
      <w:r>
        <w:t xml:space="preserve">Stein LY, Roy R, Dunfield PF.</w:t>
      </w:r>
      <w:r>
        <w:t xml:space="preserve"> </w:t>
      </w:r>
      <w:hyperlink r:id="rId105">
        <w:r>
          <w:rPr>
            <w:rStyle w:val="InternetLink"/>
          </w:rPr>
          <w:t xml:space="preserve">Aerobic</w:t>
        </w:r>
        <w:r>
          <w:rPr>
            <w:rStyle w:val="InternetLink"/>
          </w:rPr>
          <w:t xml:space="preserve"> </w:t>
        </w:r>
        <w:r>
          <w:rPr>
            <w:rStyle w:val="InternetLink"/>
          </w:rPr>
          <w:t xml:space="preserve">Methanotrophy</w:t>
        </w:r>
        <w:r>
          <w:rPr>
            <w:rStyle w:val="InternetLink"/>
          </w:rPr>
          <w:t xml:space="preserve"> </w:t>
        </w:r>
        <w:r>
          <w:rPr>
            <w:rStyle w:val="InternetLink"/>
          </w:rPr>
          <w:t xml:space="preserve">and</w:t>
        </w:r>
        <w:r>
          <w:rPr>
            <w:rStyle w:val="InternetLink"/>
          </w:rPr>
          <w:t xml:space="preserve"> </w:t>
        </w:r>
        <w:r>
          <w:rPr>
            <w:rStyle w:val="InternetLink"/>
          </w:rPr>
          <w:t xml:space="preserve">Nitrification</w:t>
        </w:r>
        <w:r>
          <w:rPr>
            <w:rStyle w:val="InternetLink"/>
          </w:rPr>
          <w:t xml:space="preserve">:</w:t>
        </w:r>
        <w:r>
          <w:rPr>
            <w:rStyle w:val="InternetLink"/>
          </w:rPr>
          <w:t xml:space="preserve"> </w:t>
        </w:r>
        <w:r>
          <w:rPr>
            <w:rStyle w:val="InternetLink"/>
          </w:rPr>
          <w:t xml:space="preserve">Processes</w:t>
        </w:r>
        <w:r>
          <w:rPr>
            <w:rStyle w:val="InternetLink"/>
          </w:rPr>
          <w:t xml:space="preserve"> </w:t>
        </w:r>
        <w:r>
          <w:rPr>
            <w:rStyle w:val="InternetLink"/>
          </w:rPr>
          <w:t xml:space="preserve">and</w:t>
        </w:r>
        <w:r>
          <w:rPr>
            <w:rStyle w:val="InternetLink"/>
          </w:rPr>
          <w:t xml:space="preserve"> </w:t>
        </w:r>
        <w:r>
          <w:rPr>
            <w:rStyle w:val="InternetLink"/>
          </w:rPr>
          <w:t xml:space="preserve">Connections</w:t>
        </w:r>
      </w:hyperlink>
      <w:r>
        <w:t xml:space="preserve">. In:</w:t>
      </w:r>
      <w:r>
        <w:t xml:space="preserve"> </w:t>
      </w:r>
      <w:r>
        <w:t xml:space="preserve">eLS</w:t>
      </w:r>
      <w:r>
        <w:t xml:space="preserve">.</w:t>
      </w:r>
      <w:r>
        <w:t xml:space="preserve"> </w:t>
      </w:r>
      <w:r>
        <w:t xml:space="preserve">John Wiley &amp; Sons, Ltd</w:t>
      </w:r>
      <w:r>
        <w:t xml:space="preserve">; 2012.</w:t>
      </w:r>
      <w:r>
        <w:t xml:space="preserve"> </w:t>
      </w:r>
    </w:p>
    <w:bookmarkEnd w:id="106"/>
    <w:bookmarkStart w:id="107" w:name="ref-garrity2005"/>
    <w:p>
      <w:pPr>
        <w:pStyle w:val="Bibliography"/>
      </w:pPr>
      <w:r>
        <w:t xml:space="preserve">35.</w:t>
      </w:r>
      <w:r>
        <w:t xml:space="preserve"> </w:t>
      </w:r>
      <w:r>
        <w:t xml:space="preserve">	</w:t>
      </w:r>
      <w:r>
        <w:t xml:space="preserve">Garrity GM, Bell JA, Lilburn TG. Class</w:t>
      </w:r>
      <w:r>
        <w:t xml:space="preserve"> </w:t>
      </w:r>
      <w:r>
        <w:t xml:space="preserve">III</w:t>
      </w:r>
      <w:r>
        <w:t xml:space="preserve">.</w:t>
      </w:r>
      <w:r>
        <w:t xml:space="preserve"> </w:t>
      </w:r>
      <w:r>
        <w:t xml:space="preserve">Gammaproteobacteria</w:t>
      </w:r>
      <w:r>
        <w:t xml:space="preserve"> </w:t>
      </w:r>
      <w:r>
        <w:t xml:space="preserve">class. Nov., P. 1. In: Brenner DJ, Krieg NR, Staley JT, Garrity GM, editors. Bergey’s manual of systematic bacteriology. Second.</w:t>
      </w:r>
      <w:r>
        <w:t xml:space="preserve"> </w:t>
      </w:r>
      <w:r>
        <w:t xml:space="preserve">New York, NY</w:t>
      </w:r>
      <w:r>
        <w:t xml:space="preserve">:</w:t>
      </w:r>
      <w:r>
        <w:t xml:space="preserve"> </w:t>
      </w:r>
      <w:r>
        <w:t xml:space="preserve">Springer</w:t>
      </w:r>
      <w:r>
        <w:t xml:space="preserve">; 2005.</w:t>
      </w:r>
      <w:r>
        <w:t xml:space="preserve"> </w:t>
      </w:r>
    </w:p>
    <w:bookmarkEnd w:id="107"/>
    <w:bookmarkStart w:id="108" w:name="ref-freitag2003"/>
    <w:p>
      <w:pPr>
        <w:pStyle w:val="Bibliography"/>
      </w:pPr>
      <w:r>
        <w:t xml:space="preserve">36.</w:t>
      </w:r>
      <w:r>
        <w:t xml:space="preserve"> </w:t>
      </w:r>
      <w:r>
        <w:t xml:space="preserve">	</w:t>
      </w:r>
      <w:r>
        <w:t xml:space="preserve">Freitag TE, Prosser JI. Community</w:t>
      </w:r>
      <w:r>
        <w:t xml:space="preserve"> </w:t>
      </w:r>
      <w:r>
        <w:t xml:space="preserve">Structure</w:t>
      </w:r>
      <w:r>
        <w:t xml:space="preserve"> </w:t>
      </w:r>
      <w:r>
        <w:t xml:space="preserve">of</w:t>
      </w:r>
      <w:r>
        <w:t xml:space="preserve"> </w:t>
      </w:r>
      <w:r>
        <w:t xml:space="preserve">Ammonia-Oxidizing Bacteria</w:t>
      </w:r>
      <w:r>
        <w:t xml:space="preserve"> </w:t>
      </w:r>
      <w:r>
        <w:t xml:space="preserve">within</w:t>
      </w:r>
      <w:r>
        <w:t xml:space="preserve"> </w:t>
      </w:r>
      <w:r>
        <w:t xml:space="preserve">Anoxic Marine Sediments</w:t>
      </w:r>
      <w:r>
        <w:t xml:space="preserve">. Applied and Environmental Microbiology. 2003 Mar;</w:t>
      </w:r>
      <w:r>
        <w:t xml:space="preserve"> </w:t>
      </w:r>
    </w:p>
    <w:bookmarkEnd w:id="108"/>
    <w:bookmarkStart w:id="110" w:name="ref-im2012"/>
    <w:p>
      <w:pPr>
        <w:pStyle w:val="Bibliography"/>
      </w:pPr>
      <w:r>
        <w:t xml:space="preserve">37.</w:t>
      </w:r>
      <w:r>
        <w:t xml:space="preserve"> </w:t>
      </w:r>
      <w:r>
        <w:t xml:space="preserve">	</w:t>
      </w:r>
      <w:r>
        <w:t xml:space="preserve">Im W-T, Hu Z-Y, Kim K-H, Rhee S-K, Meng H, Lee S-T, et al.</w:t>
      </w:r>
      <w:r>
        <w:t xml:space="preserve"> </w:t>
      </w:r>
      <w:hyperlink r:id="rId109">
        <w:r>
          <w:rPr>
            <w:rStyle w:val="InternetLink"/>
          </w:rPr>
          <w:t xml:space="preserve">Description of</w:t>
        </w:r>
        <w:r>
          <w:rPr>
            <w:rStyle w:val="InternetLink"/>
          </w:rPr>
          <w:t xml:space="preserve"> </w:t>
        </w:r>
        <w:r>
          <w:rPr>
            <w:rStyle w:val="InternetLink"/>
          </w:rPr>
          <w:t xml:space="preserve">Fimbriimonas</w:t>
        </w:r>
        <w:r>
          <w:rPr>
            <w:rStyle w:val="InternetLink"/>
          </w:rPr>
          <w:t xml:space="preserve"> </w:t>
        </w:r>
        <w:r>
          <w:rPr>
            <w:rStyle w:val="InternetLink"/>
          </w:rPr>
          <w:t xml:space="preserve">ginsengisoli gen. Nov., Sp. Nov. Within the</w:t>
        </w:r>
        <w:r>
          <w:rPr>
            <w:rStyle w:val="InternetLink"/>
          </w:rPr>
          <w:t xml:space="preserve"> </w:t>
        </w:r>
        <w:r>
          <w:rPr>
            <w:rStyle w:val="InternetLink"/>
          </w:rPr>
          <w:t xml:space="preserve">Fimbriimonadia</w:t>
        </w:r>
        <w:r>
          <w:rPr>
            <w:rStyle w:val="InternetLink"/>
          </w:rPr>
          <w:t xml:space="preserve"> </w:t>
        </w:r>
        <w:r>
          <w:rPr>
            <w:rStyle w:val="InternetLink"/>
          </w:rPr>
          <w:t xml:space="preserve">class nov., Of the phylum</w:t>
        </w:r>
        <w:r>
          <w:rPr>
            <w:rStyle w:val="InternetLink"/>
          </w:rPr>
          <w:t xml:space="preserve"> </w:t>
        </w:r>
        <w:r>
          <w:rPr>
            <w:rStyle w:val="InternetLink"/>
          </w:rPr>
          <w:t xml:space="preserve">Armatimonadetes</w:t>
        </w:r>
      </w:hyperlink>
      <w:r>
        <w:t xml:space="preserve">. Antonie van Leeuwenhoek. 2012 Aug;102(2):307–17.</w:t>
      </w:r>
      <w:r>
        <w:t xml:space="preserve"> </w:t>
      </w:r>
    </w:p>
    <w:bookmarkEnd w:id="110"/>
    <w:bookmarkStart w:id="112" w:name="ref-mcbride2014"/>
    <w:p>
      <w:pPr>
        <w:pStyle w:val="Bibliography"/>
      </w:pPr>
      <w:r>
        <w:t xml:space="preserve">38.</w:t>
      </w:r>
      <w:r>
        <w:t xml:space="preserve"> </w:t>
      </w:r>
      <w:r>
        <w:t xml:space="preserve">	</w:t>
      </w:r>
      <w:r>
        <w:t xml:space="preserve">McBride MJ, Liu W, Lu X, Zhu Y, Zhang W.</w:t>
      </w:r>
      <w:r>
        <w:t xml:space="preserve"> </w:t>
      </w:r>
      <w:hyperlink r:id="rId111">
        <w:r>
          <w:rPr>
            <w:rStyle w:val="InternetLink"/>
          </w:rPr>
          <w:t xml:space="preserve">The</w:t>
        </w:r>
        <w:r>
          <w:rPr>
            <w:rStyle w:val="InternetLink"/>
          </w:rPr>
          <w:t xml:space="preserve"> </w:t>
        </w:r>
        <w:r>
          <w:rPr>
            <w:rStyle w:val="InternetLink"/>
          </w:rPr>
          <w:t xml:space="preserve">Family Cytophagaceae</w:t>
        </w:r>
      </w:hyperlink>
      <w:r>
        <w:t xml:space="preserve">. In: Rosenberg E, DeLong EF, Lory S, Stackebrandt E, Thompson F, editors. The</w:t>
      </w:r>
      <w:r>
        <w:t xml:space="preserve"> </w:t>
      </w:r>
      <w:r>
        <w:t xml:space="preserve">Prokaryotes</w:t>
      </w:r>
      <w:r>
        <w:t xml:space="preserve">:</w:t>
      </w:r>
      <w:r>
        <w:t xml:space="preserve"> </w:t>
      </w:r>
      <w:r>
        <w:t xml:space="preserve">Other Major Lineages</w:t>
      </w:r>
      <w:r>
        <w:t xml:space="preserve"> </w:t>
      </w:r>
      <w:r>
        <w:t xml:space="preserve">of</w:t>
      </w:r>
      <w:r>
        <w:t xml:space="preserve"> </w:t>
      </w:r>
      <w:r>
        <w:t xml:space="preserve">Bacteria</w:t>
      </w:r>
      <w:r>
        <w:t xml:space="preserve"> </w:t>
      </w:r>
      <w:r>
        <w:t xml:space="preserve">and</w:t>
      </w:r>
      <w:r>
        <w:t xml:space="preserve"> </w:t>
      </w:r>
      <w:r>
        <w:t xml:space="preserve">The Archaea</w:t>
      </w:r>
      <w:r>
        <w:t xml:space="preserve">.</w:t>
      </w:r>
      <w:r>
        <w:t xml:space="preserve"> </w:t>
      </w:r>
      <w:r>
        <w:t xml:space="preserve">Berlin, Heidelberg</w:t>
      </w:r>
      <w:r>
        <w:t xml:space="preserve">:</w:t>
      </w:r>
      <w:r>
        <w:t xml:space="preserve"> </w:t>
      </w:r>
      <w:r>
        <w:t xml:space="preserve">Springer</w:t>
      </w:r>
      <w:r>
        <w:t xml:space="preserve">; 2014. p. 577–93.</w:t>
      </w:r>
      <w:r>
        <w:t xml:space="preserve"> </w:t>
      </w:r>
    </w:p>
    <w:bookmarkEnd w:id="112"/>
    <w:bookmarkStart w:id="114" w:name="ref-tamas2014"/>
    <w:p>
      <w:pPr>
        <w:pStyle w:val="Bibliography"/>
      </w:pPr>
      <w:r>
        <w:t xml:space="preserve">39.</w:t>
      </w:r>
      <w:r>
        <w:t xml:space="preserve"> </w:t>
      </w:r>
      <w:r>
        <w:t xml:space="preserve">	</w:t>
      </w:r>
      <w:r>
        <w:t xml:space="preserve">Tamas I, Smirnova AV, He Z, Dunfield PF.</w:t>
      </w:r>
      <w:r>
        <w:t xml:space="preserve"> </w:t>
      </w:r>
      <w:hyperlink r:id="rId113">
        <w:r>
          <w:rPr>
            <w:rStyle w:val="InternetLink"/>
          </w:rPr>
          <w:t xml:space="preserve">The (d)evolution of methanotrophy in the</w:t>
        </w:r>
        <w:r>
          <w:rPr>
            <w:rStyle w:val="InternetLink"/>
          </w:rPr>
          <w:t xml:space="preserve"> </w:t>
        </w:r>
        <w:r>
          <w:rPr>
            <w:rStyle w:val="InternetLink"/>
          </w:rPr>
          <w:t xml:space="preserve">Beijerinckiaceae</w:t>
        </w:r>
        <w:r>
          <w:rPr>
            <w:rStyle w:val="InternetLink"/>
          </w:rPr>
          <w:t xml:space="preserve">a comparative genomics analysis</w:t>
        </w:r>
      </w:hyperlink>
      <w:r>
        <w:t xml:space="preserve">. The ISME Journal. 2014 Feb;8(2):369–82.</w:t>
      </w:r>
      <w:r>
        <w:t xml:space="preserve"> </w:t>
      </w:r>
    </w:p>
    <w:bookmarkEnd w:id="114"/>
    <w:bookmarkStart w:id="116" w:name="ref-dedysh2016"/>
    <w:p>
      <w:pPr>
        <w:pStyle w:val="Bibliography"/>
      </w:pPr>
      <w:r>
        <w:t xml:space="preserve">40.</w:t>
      </w:r>
      <w:r>
        <w:t xml:space="preserve"> </w:t>
      </w:r>
      <w:r>
        <w:t xml:space="preserve">	</w:t>
      </w:r>
      <w:r>
        <w:t xml:space="preserve">Dedysh SN, Haupt ES, Dunfield PFY2016.</w:t>
      </w:r>
      <w:r>
        <w:t xml:space="preserve"> </w:t>
      </w:r>
      <w:hyperlink r:id="rId115">
        <w:r>
          <w:rPr>
            <w:rStyle w:val="InternetLink"/>
          </w:rPr>
          <w:t xml:space="preserve">Emended description of the family</w:t>
        </w:r>
        <w:r>
          <w:rPr>
            <w:rStyle w:val="InternetLink"/>
          </w:rPr>
          <w:t xml:space="preserve"> </w:t>
        </w:r>
        <w:r>
          <w:rPr>
            <w:rStyle w:val="InternetLink"/>
          </w:rPr>
          <w:t xml:space="preserve">Beijerinckiaceae</w:t>
        </w:r>
        <w:r>
          <w:rPr>
            <w:rStyle w:val="InternetLink"/>
          </w:rPr>
          <w:t xml:space="preserve"> </w:t>
        </w:r>
        <w:r>
          <w:rPr>
            <w:rStyle w:val="InternetLink"/>
          </w:rPr>
          <w:t xml:space="preserve">and transfer of the genera</w:t>
        </w:r>
        <w:r>
          <w:rPr>
            <w:rStyle w:val="InternetLink"/>
          </w:rPr>
          <w:t xml:space="preserve"> </w:t>
        </w:r>
        <w:r>
          <w:rPr>
            <w:rStyle w:val="InternetLink"/>
          </w:rPr>
          <w:t xml:space="preserve">Chelatococcus</w:t>
        </w:r>
        <w:r>
          <w:rPr>
            <w:rStyle w:val="InternetLink"/>
          </w:rPr>
          <w:t xml:space="preserve"> </w:t>
        </w:r>
        <w:r>
          <w:rPr>
            <w:rStyle w:val="InternetLink"/>
          </w:rPr>
          <w:t xml:space="preserve">and</w:t>
        </w:r>
        <w:r>
          <w:rPr>
            <w:rStyle w:val="InternetLink"/>
          </w:rPr>
          <w:t xml:space="preserve"> </w:t>
        </w:r>
        <w:r>
          <w:rPr>
            <w:rStyle w:val="InternetLink"/>
          </w:rPr>
          <w:t xml:space="preserve">Camelimonas</w:t>
        </w:r>
        <w:r>
          <w:rPr>
            <w:rStyle w:val="InternetLink"/>
          </w:rPr>
          <w:t xml:space="preserve"> </w:t>
        </w:r>
        <w:r>
          <w:rPr>
            <w:rStyle w:val="InternetLink"/>
          </w:rPr>
          <w:t xml:space="preserve">to the family</w:t>
        </w:r>
        <w:r>
          <w:rPr>
            <w:rStyle w:val="InternetLink"/>
          </w:rPr>
          <w:t xml:space="preserve"> </w:t>
        </w:r>
        <w:r>
          <w:rPr>
            <w:rStyle w:val="InternetLink"/>
          </w:rPr>
          <w:t xml:space="preserve">Chelatococcaceae</w:t>
        </w:r>
        <w:r>
          <w:rPr>
            <w:rStyle w:val="InternetLink"/>
          </w:rPr>
          <w:t xml:space="preserve"> </w:t>
        </w:r>
        <w:r>
          <w:rPr>
            <w:rStyle w:val="InternetLink"/>
          </w:rPr>
          <w:t xml:space="preserve">fam. nov.</w:t>
        </w:r>
      </w:hyperlink>
      <w:r>
        <w:t xml:space="preserve"> International Journal of Systematic and Evolutionary Microbiology. 2016;66(8):3177–82.</w:t>
      </w:r>
      <w:r>
        <w:t xml:space="preserve"> </w:t>
      </w:r>
    </w:p>
    <w:bookmarkEnd w:id="116"/>
    <w:bookmarkStart w:id="118" w:name="ref-topçuoğlu2020"/>
    <w:p>
      <w:pPr>
        <w:pStyle w:val="Bibliography"/>
      </w:pPr>
      <w:r>
        <w:t xml:space="preserve">41.</w:t>
      </w:r>
      <w:r>
        <w:t xml:space="preserve"> </w:t>
      </w:r>
      <w:r>
        <w:t xml:space="preserve">	</w:t>
      </w:r>
      <w:r>
        <w:t xml:space="preserve">Topçuoğlu BD, Lesniak NA, Ruffin MT, Wiens J, Schloss PD.</w:t>
      </w:r>
      <w:r>
        <w:t xml:space="preserve"> </w:t>
      </w:r>
      <w:hyperlink r:id="rId117">
        <w:r>
          <w:rPr>
            <w:rStyle w:val="InternetLink"/>
          </w:rPr>
          <w:t xml:space="preserve">A</w:t>
        </w:r>
        <w:r>
          <w:rPr>
            <w:rStyle w:val="InternetLink"/>
          </w:rPr>
          <w:t xml:space="preserve"> </w:t>
        </w:r>
        <w:r>
          <w:rPr>
            <w:rStyle w:val="InternetLink"/>
          </w:rPr>
          <w:t xml:space="preserve">Framework</w:t>
        </w:r>
        <w:r>
          <w:rPr>
            <w:rStyle w:val="InternetLink"/>
          </w:rPr>
          <w:t xml:space="preserve"> </w:t>
        </w:r>
        <w:r>
          <w:rPr>
            <w:rStyle w:val="InternetLink"/>
          </w:rPr>
          <w:t xml:space="preserve">for</w:t>
        </w:r>
        <w:r>
          <w:rPr>
            <w:rStyle w:val="InternetLink"/>
          </w:rPr>
          <w:t xml:space="preserve"> </w:t>
        </w:r>
        <w:r>
          <w:rPr>
            <w:rStyle w:val="InternetLink"/>
          </w:rPr>
          <w:t xml:space="preserve">Effective Application</w:t>
        </w:r>
        <w:r>
          <w:rPr>
            <w:rStyle w:val="InternetLink"/>
          </w:rPr>
          <w:t xml:space="preserve"> </w:t>
        </w:r>
        <w:r>
          <w:rPr>
            <w:rStyle w:val="InternetLink"/>
          </w:rPr>
          <w:t xml:space="preserve">of</w:t>
        </w:r>
        <w:r>
          <w:rPr>
            <w:rStyle w:val="InternetLink"/>
          </w:rPr>
          <w:t xml:space="preserve"> </w:t>
        </w:r>
        <w:r>
          <w:rPr>
            <w:rStyle w:val="InternetLink"/>
          </w:rPr>
          <w:t xml:space="preserve">Machine Learning</w:t>
        </w:r>
        <w:r>
          <w:rPr>
            <w:rStyle w:val="InternetLink"/>
          </w:rPr>
          <w:t xml:space="preserve"> </w:t>
        </w:r>
        <w:r>
          <w:rPr>
            <w:rStyle w:val="InternetLink"/>
          </w:rPr>
          <w:t xml:space="preserve">to</w:t>
        </w:r>
        <w:r>
          <w:rPr>
            <w:rStyle w:val="InternetLink"/>
          </w:rPr>
          <w:t xml:space="preserve"> </w:t>
        </w:r>
        <w:r>
          <w:rPr>
            <w:rStyle w:val="InternetLink"/>
          </w:rPr>
          <w:t xml:space="preserve">Microbiome-Based Classification Problems</w:t>
        </w:r>
      </w:hyperlink>
      <w:r>
        <w:t xml:space="preserve">. mBio. 2020 Jun;11(3):e00434–20.</w:t>
      </w:r>
      <w:r>
        <w:t xml:space="preserve"> </w:t>
      </w:r>
    </w:p>
    <w:bookmarkEnd w:id="118"/>
    <w:bookmarkStart w:id="120" w:name="ref-visscher2008"/>
    <w:p>
      <w:pPr>
        <w:pStyle w:val="Bibliography"/>
      </w:pPr>
      <w:r>
        <w:t xml:space="preserve">42.</w:t>
      </w:r>
      <w:r>
        <w:t xml:space="preserve"> </w:t>
      </w:r>
      <w:r>
        <w:t xml:space="preserve">	</w:t>
      </w:r>
      <w:r>
        <w:t xml:space="preserve">Visscher PM, Hill WG, Wray NR.</w:t>
      </w:r>
      <w:r>
        <w:t xml:space="preserve"> </w:t>
      </w:r>
      <w:hyperlink r:id="rId119">
        <w:r>
          <w:rPr>
            <w:rStyle w:val="InternetLink"/>
          </w:rPr>
          <w:t xml:space="preserve">Heritability in the genomics era</w:t>
        </w:r>
        <w:r>
          <w:rPr>
            <w:rStyle w:val="InternetLink"/>
          </w:rPr>
          <w:t xml:space="preserve"> </w:t>
        </w:r>
        <w:r>
          <w:rPr>
            <w:rStyle w:val="InternetLink"/>
          </w:rPr>
          <w:t xml:space="preserve"> </w:t>
        </w:r>
        <w:r>
          <w:rPr>
            <w:rStyle w:val="InternetLink"/>
          </w:rPr>
          <w:t xml:space="preserve">concepts and misconceptions</w:t>
        </w:r>
      </w:hyperlink>
      <w:r>
        <w:t xml:space="preserve">. Nature Reviews Genetics. 2008 Apr;9(4):255–66.</w:t>
      </w:r>
      <w:r>
        <w:t xml:space="preserve"> </w:t>
      </w:r>
    </w:p>
    <w:bookmarkEnd w:id="120"/>
    <w:bookmarkStart w:id="121" w:name="ref-conner2003"/>
    <w:p>
      <w:pPr>
        <w:pStyle w:val="Bibliography"/>
      </w:pPr>
      <w:r>
        <w:t xml:space="preserve">43.</w:t>
      </w:r>
      <w:r>
        <w:t xml:space="preserve"> </w:t>
      </w:r>
      <w:r>
        <w:t xml:space="preserve">	</w:t>
      </w:r>
      <w:r>
        <w:t xml:space="preserve">Conner JK. Artificial</w:t>
      </w:r>
      <w:r>
        <w:t xml:space="preserve"> </w:t>
      </w:r>
      <w:r>
        <w:t xml:space="preserve">Selection</w:t>
      </w:r>
      <w:r>
        <w:t xml:space="preserve">:</w:t>
      </w:r>
      <w:r>
        <w:t xml:space="preserve"> </w:t>
      </w:r>
      <w:r>
        <w:t xml:space="preserve">A Powerful Tool</w:t>
      </w:r>
      <w:r>
        <w:t xml:space="preserve"> </w:t>
      </w:r>
      <w:r>
        <w:t xml:space="preserve">for</w:t>
      </w:r>
      <w:r>
        <w:t xml:space="preserve"> </w:t>
      </w:r>
      <w:r>
        <w:t xml:space="preserve">Ecologists</w:t>
      </w:r>
      <w:r>
        <w:t xml:space="preserve">. Ecology. 2003;84(7):1650–60.</w:t>
      </w:r>
      <w:r>
        <w:t xml:space="preserve"> </w:t>
      </w:r>
    </w:p>
    <w:bookmarkEnd w:id="121"/>
    <w:bookmarkStart w:id="123" w:name="ref-kerem1989"/>
    <w:p>
      <w:pPr>
        <w:pStyle w:val="Bibliography"/>
      </w:pPr>
      <w:r>
        <w:t xml:space="preserve">44.</w:t>
      </w:r>
      <w:r>
        <w:t xml:space="preserve"> </w:t>
      </w:r>
      <w:r>
        <w:t xml:space="preserve">	</w:t>
      </w:r>
      <w:r>
        <w:t xml:space="preserve">Kerem B, Rommens JM, Buchanan JA, Markiewicz D, Cox TK, Chakravarti A, et al.</w:t>
      </w:r>
      <w:r>
        <w:t xml:space="preserve"> </w:t>
      </w:r>
      <w:hyperlink r:id="rId122">
        <w:r>
          <w:rPr>
            <w:rStyle w:val="InternetLink"/>
          </w:rPr>
          <w:t xml:space="preserve">Identification of the cystic fibrosis gene: Genetic analysis</w:t>
        </w:r>
      </w:hyperlink>
      <w:r>
        <w:t xml:space="preserve">. Science. 1989 Sep;245(4922):1073–80.</w:t>
      </w:r>
      <w:r>
        <w:t xml:space="preserve"> </w:t>
      </w:r>
    </w:p>
    <w:bookmarkEnd w:id="123"/>
    <w:bookmarkStart w:id="125" w:name="ref-macdonald1992"/>
    <w:p>
      <w:pPr>
        <w:pStyle w:val="Bibliography"/>
      </w:pPr>
      <w:r>
        <w:t xml:space="preserve">45.</w:t>
      </w:r>
      <w:r>
        <w:t xml:space="preserve"> </w:t>
      </w:r>
      <w:r>
        <w:t xml:space="preserve">	</w:t>
      </w:r>
      <w:r>
        <w:t xml:space="preserve">MacDonald ME, Novelletto A, Lin C, Tagle D, Barnes G, Bates G, et al.</w:t>
      </w:r>
      <w:r>
        <w:t xml:space="preserve"> </w:t>
      </w:r>
      <w:hyperlink r:id="rId124">
        <w:r>
          <w:rPr>
            <w:rStyle w:val="InternetLink"/>
          </w:rPr>
          <w:t xml:space="preserve">The</w:t>
        </w:r>
        <w:r>
          <w:rPr>
            <w:rStyle w:val="InternetLink"/>
          </w:rPr>
          <w:t xml:space="preserve"> </w:t>
        </w:r>
        <w:r>
          <w:rPr>
            <w:rStyle w:val="InternetLink"/>
          </w:rPr>
          <w:t xml:space="preserve">Huntington</w:t>
        </w:r>
        <w:r>
          <w:rPr>
            <w:rStyle w:val="InternetLink"/>
          </w:rPr>
          <w:t xml:space="preserve">’s disease candidate region exhibits many different haplotypes</w:t>
        </w:r>
      </w:hyperlink>
      <w:r>
        <w:t xml:space="preserve">. Nature Genetics. 1992 May;1(2):99–103.</w:t>
      </w:r>
      <w:r>
        <w:t xml:space="preserve"> </w:t>
      </w:r>
    </w:p>
    <w:bookmarkEnd w:id="125"/>
    <w:bookmarkStart w:id="127" w:name="ref-reich2001"/>
    <w:p>
      <w:pPr>
        <w:pStyle w:val="Bibliography"/>
      </w:pPr>
      <w:r>
        <w:t xml:space="preserve">46.</w:t>
      </w:r>
      <w:r>
        <w:t xml:space="preserve"> </w:t>
      </w:r>
      <w:r>
        <w:t xml:space="preserve">	</w:t>
      </w:r>
      <w:r>
        <w:t xml:space="preserve">Reich DE, Lander ES.</w:t>
      </w:r>
      <w:r>
        <w:t xml:space="preserve"> </w:t>
      </w:r>
      <w:hyperlink r:id="rId126">
        <w:r>
          <w:rPr>
            <w:rStyle w:val="InternetLink"/>
          </w:rPr>
          <w:t xml:space="preserve">On the allelic spectrum of human disease</w:t>
        </w:r>
      </w:hyperlink>
      <w:r>
        <w:t xml:space="preserve">. Trends in Genetics. 2001 Sep;17(9):502–10.</w:t>
      </w:r>
      <w:r>
        <w:t xml:space="preserve"> </w:t>
      </w:r>
    </w:p>
    <w:bookmarkEnd w:id="127"/>
    <w:bookmarkStart w:id="129" w:name="ref-hindorff2009"/>
    <w:p>
      <w:pPr>
        <w:pStyle w:val="Bibliography"/>
      </w:pPr>
      <w:r>
        <w:t xml:space="preserve">47.</w:t>
      </w:r>
      <w:r>
        <w:t xml:space="preserve"> </w:t>
      </w:r>
      <w:r>
        <w:t xml:space="preserve">	</w:t>
      </w:r>
      <w:r>
        <w:t xml:space="preserve">Hindorff LA, Sethupathy P, Junkins HA, Ramos EM, Mehta JP, Collins FS, et al.</w:t>
      </w:r>
      <w:r>
        <w:t xml:space="preserve"> </w:t>
      </w:r>
      <w:hyperlink r:id="rId128">
        <w:r>
          <w:rPr>
            <w:rStyle w:val="InternetLink"/>
          </w:rPr>
          <w:t xml:space="preserve">Potential etiologic and functional implications of genome-wide association loci for human diseases and traits</w:t>
        </w:r>
      </w:hyperlink>
      <w:r>
        <w:t xml:space="preserve">. Proceedings of the National Academy of Sciences. 2009 Jun;106(23):9362–7.</w:t>
      </w:r>
      <w:r>
        <w:t xml:space="preserve"> </w:t>
      </w:r>
    </w:p>
    <w:bookmarkEnd w:id="129"/>
    <w:bookmarkEnd w:id="130"/>
    <w:bookmarkEnd w:id="131"/>
    <w:bookmarkStart w:id="144" w:name="figures"/>
    <w:p>
      <w:pPr>
        <w:pStyle w:val="Heading1"/>
      </w:pPr>
      <w:r>
        <w:t xml:space="preserve">Figures</w:t>
      </w:r>
    </w:p>
    <w:p>
      <w:pPr>
        <w:pStyle w:val="FirstParagraph"/>
      </w:pPr>
      <w:r>
        <w:drawing>
          <wp:inline>
            <wp:extent cx="3696101" cy="2772075"/>
            <wp:effectExtent b="0" l="0" r="0" t="0"/>
            <wp:docPr descr="" title="" id="133" name="Picture"/>
            <a:graphic>
              <a:graphicData uri="http://schemas.openxmlformats.org/drawingml/2006/picture">
                <pic:pic>
                  <pic:nvPicPr>
                    <pic:cNvPr descr="manuscript_files/figure-docx/response-1.png" id="134" name="Picture"/>
                    <pic:cNvPicPr>
                      <a:picLocks noChangeArrowheads="1" noChangeAspect="1"/>
                    </pic:cNvPicPr>
                  </pic:nvPicPr>
                  <pic:blipFill>
                    <a:blip r:embed="rId132"/>
                    <a:stretch>
                      <a:fillRect/>
                    </a:stretch>
                  </pic:blipFill>
                  <pic:spPr bwMode="auto">
                    <a:xfrm>
                      <a:off x="0" y="0"/>
                      <a:ext cx="3696101" cy="2772075"/>
                    </a:xfrm>
                    <a:prstGeom prst="rect">
                      <a:avLst/>
                    </a:prstGeom>
                    <a:noFill/>
                    <a:ln w="9525">
                      <a:noFill/>
                      <a:headEnd/>
                      <a:tailEnd/>
                    </a:ln>
                  </pic:spPr>
                </pic:pic>
              </a:graphicData>
            </a:graphic>
          </wp:inline>
        </w:drawing>
      </w:r>
    </w:p>
    <w:p>
      <w:pPr>
        <w:pStyle w:val="TextBody"/>
      </w:pPr>
      <w:r>
        <w:t xml:space="preserve">Figure 1: Response to selection on soil CH</w:t>
      </w:r>
      <w:r>
        <w:rPr>
          <w:vertAlign w:val="subscript"/>
        </w:rPr>
        <w:t xml:space="preserve">4</w:t>
      </w:r>
      <w:r>
        <w:t xml:space="preserve"> </w:t>
      </w:r>
      <w:r>
        <w:t xml:space="preserve">oxidation rate fit by ordinary least squares regression. The y-axis is the log</w:t>
      </w:r>
      <w:r>
        <w:rPr>
          <w:vertAlign w:val="subscript"/>
        </w:rPr>
        <w:t xml:space="preserve">10</w:t>
      </w:r>
      <w:r>
        <w:t xml:space="preserve"> </w:t>
      </w:r>
      <w:r>
        <w:t xml:space="preserve">of the additive inverse of the first-order exponential decay constant</w:t>
      </w:r>
      <w:r>
        <w:t xml:space="preserve"> </w:t>
      </w:r>
      <m:oMath>
        <m:r>
          <m:t>k</m:t>
        </m:r>
      </m:oMath>
      <w:r>
        <w:t xml:space="preserve"> </w:t>
      </w:r>
      <w:r>
        <w:t xml:space="preserve">(i.e.,</w:t>
      </w:r>
      <w:r>
        <w:t xml:space="preserve"> </w:t>
      </w:r>
      <m:oMath>
        <m:r>
          <m:rPr>
            <m:sty m:val="p"/>
          </m:rPr>
          <m:t>−</m:t>
        </m:r>
        <m:r>
          <m:t>k</m:t>
        </m:r>
      </m:oMath>
      <w:r>
        <w:t xml:space="preserve">) with units day</w:t>
      </w:r>
      <w:r>
        <w:rPr>
          <w:vertAlign w:val="superscript"/>
        </w:rPr>
        <w:t xml:space="preserve">-1</w:t>
      </w:r>
      <w:r>
        <w:t xml:space="preserve">. The x-axis is the passage number. The orange line and points are the Positive treatment and the gray line and points are the Neutral treatment.</w:t>
      </w:r>
    </w:p>
    <w:p>
      <w:pPr>
        <w:pStyle w:val="TextBody"/>
      </w:pPr>
      <w:r>
        <w:drawing>
          <wp:inline>
            <wp:extent cx="4620126" cy="2772075"/>
            <wp:effectExtent b="0" l="0" r="0" t="0"/>
            <wp:docPr descr="" title="" id="136" name="Picture"/>
            <a:graphic>
              <a:graphicData uri="http://schemas.openxmlformats.org/drawingml/2006/picture">
                <pic:pic>
                  <pic:nvPicPr>
                    <pic:cNvPr descr="manuscript_files/figure-docx/herit-1.png" id="137" name="Picture"/>
                    <pic:cNvPicPr>
                      <a:picLocks noChangeArrowheads="1" noChangeAspect="1"/>
                    </pic:cNvPicPr>
                  </pic:nvPicPr>
                  <pic:blipFill>
                    <a:blip r:embed="rId135"/>
                    <a:stretch>
                      <a:fillRect/>
                    </a:stretch>
                  </pic:blipFill>
                  <pic:spPr bwMode="auto">
                    <a:xfrm>
                      <a:off x="0" y="0"/>
                      <a:ext cx="4620126" cy="2772075"/>
                    </a:xfrm>
                    <a:prstGeom prst="rect">
                      <a:avLst/>
                    </a:prstGeom>
                    <a:noFill/>
                    <a:ln w="9525">
                      <a:noFill/>
                      <a:headEnd/>
                      <a:tailEnd/>
                    </a:ln>
                  </pic:spPr>
                </pic:pic>
              </a:graphicData>
            </a:graphic>
          </wp:inline>
        </w:drawing>
      </w:r>
    </w:p>
    <w:p>
      <w:pPr>
        <w:pStyle w:val="TextBody"/>
      </w:pPr>
      <w:r>
        <w:t xml:space="preserve">Figure 2: Ordinary least squares regression of mid-offspring CH</w:t>
      </w:r>
      <w:r>
        <w:rPr>
          <w:vertAlign w:val="subscript"/>
        </w:rPr>
        <w:t xml:space="preserve">4</w:t>
      </w:r>
      <w:r>
        <w:t xml:space="preserve"> </w:t>
      </w:r>
      <w:r>
        <w:t xml:space="preserve">flux on mid-parent CH</w:t>
      </w:r>
      <w:r>
        <w:rPr>
          <w:vertAlign w:val="subscript"/>
        </w:rPr>
        <w:t xml:space="preserve">4</w:t>
      </w:r>
      <w:r>
        <w:t xml:space="preserve"> </w:t>
      </w:r>
      <w:r>
        <w:t xml:space="preserve">flux (</w:t>
      </w:r>
      <m:oMath>
        <m:r>
          <m:rPr>
            <m:sty m:val="p"/>
          </m:rPr>
          <m:t>−</m:t>
        </m:r>
        <m:r>
          <m:t>k</m:t>
        </m:r>
      </m:oMath>
      <w:r>
        <w:t xml:space="preserve"> </w:t>
      </w:r>
      <w:r>
        <w:t xml:space="preserve">with units day</w:t>
      </w:r>
      <w:r>
        <w:rPr>
          <w:vertAlign w:val="superscript"/>
        </w:rPr>
        <w:t xml:space="preserve">-1</w:t>
      </w:r>
      <w:r>
        <w:t xml:space="preserve">). Mid-parent is the mean of the jars selected to inoculate the next passage. Mid-offspring is the mean of all twelve jars produced in one passage. The orange lines and points are the Positive treatment and the gray lines and points are the Neutral treatment</w:t>
      </w:r>
    </w:p>
    <w:p>
      <w:pPr>
        <w:pStyle w:val="TextBody"/>
      </w:pPr>
      <w:r>
        <w:drawing>
          <wp:inline>
            <wp:extent cx="4620126" cy="2310063"/>
            <wp:effectExtent b="0" l="0" r="0" t="0"/>
            <wp:docPr descr="" title="" id="139" name="Picture"/>
            <a:graphic>
              <a:graphicData uri="http://schemas.openxmlformats.org/drawingml/2006/picture">
                <pic:pic>
                  <pic:nvPicPr>
                    <pic:cNvPr descr="manuscript_files/figure-docx/beta-1.png" id="140" name="Picture"/>
                    <pic:cNvPicPr>
                      <a:picLocks noChangeArrowheads="1" noChangeAspect="1"/>
                    </pic:cNvPicPr>
                  </pic:nvPicPr>
                  <pic:blipFill>
                    <a:blip r:embed="rId138"/>
                    <a:stretch>
                      <a:fillRect/>
                    </a:stretch>
                  </pic:blipFill>
                  <pic:spPr bwMode="auto">
                    <a:xfrm>
                      <a:off x="0" y="0"/>
                      <a:ext cx="4620126" cy="2310063"/>
                    </a:xfrm>
                    <a:prstGeom prst="rect">
                      <a:avLst/>
                    </a:prstGeom>
                    <a:noFill/>
                    <a:ln w="9525">
                      <a:noFill/>
                      <a:headEnd/>
                      <a:tailEnd/>
                    </a:ln>
                  </pic:spPr>
                </pic:pic>
              </a:graphicData>
            </a:graphic>
          </wp:inline>
        </w:drawing>
      </w:r>
    </w:p>
    <w:p>
      <w:pPr>
        <w:pStyle w:val="TextBody"/>
      </w:pPr>
      <w:r>
        <w:t xml:space="preserve">Figure 3: Principal component analysis plot of beta diversity for all jars. Dissimilarities are based on rarefied Bray-Curtis dissimilarity. Colors represent treatment and shapes represent passage number.</w:t>
      </w:r>
    </w:p>
    <w:p>
      <w:pPr>
        <w:pStyle w:val="TextBody"/>
      </w:pPr>
      <w:r>
        <w:drawing>
          <wp:inline>
            <wp:extent cx="4620126" cy="3696101"/>
            <wp:effectExtent b="0" l="0" r="0" t="0"/>
            <wp:docPr descr="" title="" id="142" name="Picture"/>
            <a:graphic>
              <a:graphicData uri="http://schemas.openxmlformats.org/drawingml/2006/picture">
                <pic:pic>
                  <pic:nvPicPr>
                    <pic:cNvPr descr="manuscript_files/figure-docx/da-1.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Figure 4: Differentially abundant family-level taxa identified by ANCOM-II, ALDEx2, and CORNCOB. Values on the x-axis are relative abundances on a log</w:t>
      </w:r>
      <w:r>
        <w:rPr>
          <w:vertAlign w:val="subscript"/>
        </w:rPr>
        <w:t xml:space="preserve">10</w:t>
      </w:r>
      <w:r>
        <w:t xml:space="preserve"> </w:t>
      </w:r>
      <w:r>
        <w:t xml:space="preserve">scale. Points are colored by treatment. Large points with error bars are the median relative abundance and interquartile range. Taxa in the top panel are enriched in the Positive treatment and taxa in the bottom panel are depleted in the Positive treatment. Taxa are sorted by their effect size with taxa at the top having the largest positive effect size and taxa at the bottom with the largest negative effect size.</w:t>
      </w:r>
    </w:p>
    <w:bookmarkEnd w:id="144"/>
    <w:sectPr>
      <w:type w:val="nextPage"/>
      <w:pgSz w:h="15840" w:w="12240"/>
      <w:pgMar w:bottom="1440" w:footer="0" w:gutter="0" w:header="0" w:left="1800" w:right="180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line="480" w:lineRule="auto"/>
      <w:jc w:val="left"/>
    </w:pPr>
    <w:rPr>
      <w:rFonts w:ascii="Times" w:cs="" w:cstheme="minorBidi" w:eastAsia="Cambria" w:eastAsiaTheme="minorHAnsi" w:hAnsi="Times"/>
      <w:color w:val="auto"/>
      <w:kern w:val="0"/>
      <w:sz w:val="24"/>
      <w:szCs w:val="24"/>
      <w:lang w:bidi="ar-SA" w:eastAsia="en-US" w:val="en-US"/>
    </w:rPr>
  </w:style>
  <w:style w:styleId="Heading1" w:type="paragraph">
    <w:name w:val="Heading 1"/>
    <w:basedOn w:val="Normal"/>
    <w:uiPriority w:val="9"/>
    <w:qFormat/>
    <w:pPr>
      <w:keepNext w:val="true"/>
      <w:keepLines/>
      <w:spacing w:after="0" w:before="480"/>
    </w:pPr>
    <w:rPr>
      <w:rFonts w:ascii="Times" w:cs="" w:cstheme="majorBidi" w:eastAsia="" w:eastAsiaTheme="majorEastAsia" w:hAnsi="Times"/>
      <w:b/>
      <w:bCs/>
      <w:color w:themeShade="b5" w:val="auto"/>
      <w:sz w:val="32"/>
      <w:szCs w:val="32"/>
    </w:rPr>
  </w:style>
  <w:style w:styleId="Heading2" w:type="paragraph">
    <w:name w:val="Heading 2"/>
    <w:basedOn w:val="Normal"/>
    <w:uiPriority w:val="9"/>
    <w:unhideWhenUsed/>
    <w:qFormat/>
    <w:pPr>
      <w:keepNext w:val="true"/>
      <w:keepLines/>
      <w:spacing w:after="0" w:before="200"/>
    </w:pPr>
    <w:rPr>
      <w:rFonts w:ascii="Times" w:cs="" w:cstheme="majorBidi" w:eastAsia="" w:eastAsiaTheme="majorEastAsia" w:hAnsi="Times"/>
      <w:b w:val="false"/>
      <w:bCs/>
      <w:color w:val="auto"/>
      <w:sz w:val="32"/>
      <w:szCs w:val="32"/>
    </w:rPr>
  </w:style>
  <w:style w:styleId="Heading3" w:type="paragraph">
    <w:name w:val="Heading 3"/>
    <w:basedOn w:val="Normal"/>
    <w:uiPriority w:val="9"/>
    <w:unhideWhenUsed/>
    <w:qFormat/>
    <w:pPr>
      <w:keepNext w:val="true"/>
      <w:keepLines/>
      <w:spacing w:after="0" w:before="200"/>
    </w:pPr>
    <w:rPr>
      <w:rFonts w:ascii="Times" w:cs="" w:cstheme="majorBidi" w:eastAsia="" w:eastAsiaTheme="majorEastAsia" w:hAnsi="Times"/>
      <w:b/>
      <w:bCs/>
      <w:color w:val="auto"/>
      <w:sz w:val="28"/>
      <w:szCs w:val="28"/>
    </w:rPr>
  </w:style>
  <w:style w:styleId="Heading4" w:type="paragraph">
    <w:name w:val="Heading 4"/>
    <w:basedOn w:val="Normal"/>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007020"/>
    </w:rPr>
  </w:style>
  <w:style w:customStyle="1" w:styleId="DataTypeTok" w:type="character">
    <w:name w:val="DataTypeTok"/>
    <w:basedOn w:val="VerbatimChar"/>
    <w:qFormat/>
    <w:rPr>
      <w:color w:val="902000"/>
    </w:rPr>
  </w:style>
  <w:style w:customStyle="1" w:styleId="DecValTok" w:type="character">
    <w:name w:val="DecValTok"/>
    <w:basedOn w:val="VerbatimChar"/>
    <w:qFormat/>
    <w:rPr>
      <w:color w:val="40A070"/>
    </w:rPr>
  </w:style>
  <w:style w:customStyle="1" w:styleId="BaseNTok" w:type="character">
    <w:name w:val="BaseNTok"/>
    <w:basedOn w:val="VerbatimChar"/>
    <w:qFormat/>
    <w:rPr>
      <w:color w:val="40A070"/>
    </w:rPr>
  </w:style>
  <w:style w:customStyle="1" w:styleId="FloatTok" w:type="character">
    <w:name w:val="FloatTok"/>
    <w:basedOn w:val="VerbatimChar"/>
    <w:qFormat/>
    <w:rPr>
      <w:color w:val="40A070"/>
    </w:rPr>
  </w:style>
  <w:style w:customStyle="1" w:styleId="ConstantTok" w:type="character">
    <w:name w:val="ConstantTok"/>
    <w:basedOn w:val="VerbatimChar"/>
    <w:qFormat/>
    <w:rPr>
      <w:color w:val="880000"/>
    </w:rPr>
  </w:style>
  <w:style w:customStyle="1" w:styleId="CharTok" w:type="character">
    <w:name w:val="CharTok"/>
    <w:basedOn w:val="VerbatimChar"/>
    <w:qFormat/>
    <w:rPr>
      <w:color w:val="4070A0"/>
    </w:rPr>
  </w:style>
  <w:style w:customStyle="1" w:styleId="SpecialCharTok" w:type="character">
    <w:name w:val="SpecialCharTok"/>
    <w:basedOn w:val="VerbatimChar"/>
    <w:qFormat/>
    <w:rPr>
      <w:color w:val="4070A0"/>
    </w:rPr>
  </w:style>
  <w:style w:customStyle="1" w:styleId="StringTok" w:type="character">
    <w:name w:val="StringTok"/>
    <w:basedOn w:val="VerbatimChar"/>
    <w:qFormat/>
    <w:rPr>
      <w:color w:val="4070A0"/>
    </w:rPr>
  </w:style>
  <w:style w:customStyle="1" w:styleId="VerbatimStringTok" w:type="character">
    <w:name w:val="VerbatimStringTok"/>
    <w:basedOn w:val="VerbatimChar"/>
    <w:qFormat/>
    <w:rPr>
      <w:color w:val="4070A0"/>
    </w:rPr>
  </w:style>
  <w:style w:customStyle="1" w:styleId="SpecialStringTok" w:type="character">
    <w:name w:val="SpecialStringTok"/>
    <w:basedOn w:val="VerbatimChar"/>
    <w:qFormat/>
    <w:rPr>
      <w:color w:val="BB6688"/>
    </w:rPr>
  </w:style>
  <w:style w:customStyle="1" w:styleId="ImportTok" w:type="character">
    <w:name w:val="ImportTok"/>
    <w:basedOn w:val="VerbatimChar"/>
    <w:qFormat/>
    <w:rPr/>
  </w:style>
  <w:style w:customStyle="1" w:styleId="CommentTok" w:type="character">
    <w:name w:val="CommentTok"/>
    <w:basedOn w:val="VerbatimChar"/>
    <w:qFormat/>
    <w:rPr>
      <w:i/>
      <w:color w:val="60A0B0"/>
    </w:rPr>
  </w:style>
  <w:style w:customStyle="1" w:styleId="DocumentationTok" w:type="character">
    <w:name w:val="DocumentationTok"/>
    <w:basedOn w:val="VerbatimChar"/>
    <w:qFormat/>
    <w:rPr>
      <w:i/>
      <w:color w:val="BA2121"/>
    </w:rPr>
  </w:style>
  <w:style w:customStyle="1" w:styleId="AnnotationTok" w:type="character">
    <w:name w:val="AnnotationTok"/>
    <w:basedOn w:val="VerbatimChar"/>
    <w:qFormat/>
    <w:rPr>
      <w:b/>
      <w:i/>
      <w:color w:val="60A0B0"/>
    </w:rPr>
  </w:style>
  <w:style w:customStyle="1" w:styleId="CommentVarTok" w:type="character">
    <w:name w:val="CommentVarTok"/>
    <w:basedOn w:val="VerbatimChar"/>
    <w:qFormat/>
    <w:rPr>
      <w:b/>
      <w:i/>
      <w:color w:val="60A0B0"/>
    </w:rPr>
  </w:style>
  <w:style w:customStyle="1" w:styleId="OtherTok" w:type="character">
    <w:name w:val="OtherTok"/>
    <w:basedOn w:val="VerbatimChar"/>
    <w:qFormat/>
    <w:rPr>
      <w:color w:val="007020"/>
    </w:rPr>
  </w:style>
  <w:style w:customStyle="1" w:styleId="FunctionTok" w:type="character">
    <w:name w:val="FunctionTok"/>
    <w:basedOn w:val="VerbatimChar"/>
    <w:qFormat/>
    <w:rPr>
      <w:color w:val="06287E"/>
    </w:rPr>
  </w:style>
  <w:style w:customStyle="1" w:styleId="VariableTok" w:type="character">
    <w:name w:val="VariableTok"/>
    <w:basedOn w:val="VerbatimChar"/>
    <w:qFormat/>
    <w:rPr>
      <w:color w:val="19177C"/>
    </w:rPr>
  </w:style>
  <w:style w:customStyle="1" w:styleId="ControlFlowTok" w:type="character">
    <w:name w:val="ControlFlowTok"/>
    <w:basedOn w:val="VerbatimChar"/>
    <w:qFormat/>
    <w:rPr>
      <w:b/>
      <w:color w:val="007020"/>
    </w:rPr>
  </w:style>
  <w:style w:customStyle="1" w:styleId="OperatorTok" w:type="character">
    <w:name w:val="OperatorTok"/>
    <w:basedOn w:val="VerbatimChar"/>
    <w:qFormat/>
    <w:rPr>
      <w:color w:val="666666"/>
    </w:rPr>
  </w:style>
  <w:style w:customStyle="1" w:styleId="BuiltInTok" w:type="character">
    <w:name w:val="BuiltInTok"/>
    <w:basedOn w:val="VerbatimChar"/>
    <w:qFormat/>
    <w:rPr/>
  </w:style>
  <w:style w:customStyle="1" w:styleId="ExtensionTok" w:type="character">
    <w:name w:val="ExtensionTok"/>
    <w:basedOn w:val="VerbatimChar"/>
    <w:qFormat/>
    <w:rPr/>
  </w:style>
  <w:style w:customStyle="1" w:styleId="PreprocessorTok" w:type="character">
    <w:name w:val="PreprocessorTok"/>
    <w:basedOn w:val="VerbatimChar"/>
    <w:qFormat/>
    <w:rPr>
      <w:color w:val="BC7A00"/>
    </w:rPr>
  </w:style>
  <w:style w:customStyle="1" w:styleId="AttributeTok" w:type="character">
    <w:name w:val="AttributeTok"/>
    <w:basedOn w:val="VerbatimChar"/>
    <w:qFormat/>
    <w:rPr>
      <w:color w:val="7D9029"/>
    </w:rPr>
  </w:style>
  <w:style w:customStyle="1" w:styleId="RegionMarkerTok" w:type="character">
    <w:name w:val="RegionMarkerTok"/>
    <w:basedOn w:val="VerbatimChar"/>
    <w:qFormat/>
    <w:rPr/>
  </w:style>
  <w:style w:customStyle="1" w:styleId="InformationTok" w:type="character">
    <w:name w:val="InformationTok"/>
    <w:basedOn w:val="VerbatimChar"/>
    <w:qFormat/>
    <w:rPr>
      <w:b/>
      <w:i/>
      <w:color w:val="60A0B0"/>
    </w:rPr>
  </w:style>
  <w:style w:customStyle="1" w:styleId="WarningTok" w:type="character">
    <w:name w:val="WarningTok"/>
    <w:basedOn w:val="VerbatimChar"/>
    <w:qFormat/>
    <w:rPr>
      <w:b/>
      <w:i/>
      <w:color w:val="60A0B0"/>
    </w:rPr>
  </w:style>
  <w:style w:customStyle="1" w:styleId="AlertTok" w:type="character">
    <w:name w:val="AlertTok"/>
    <w:basedOn w:val="VerbatimChar"/>
    <w:qFormat/>
    <w:rPr>
      <w:b/>
      <w:color w:val="FF0000"/>
    </w:rPr>
  </w:style>
  <w:style w:customStyle="1" w:styleId="ErrorTok" w:type="character">
    <w:name w:val="ErrorTok"/>
    <w:basedOn w:val="VerbatimChar"/>
    <w:qFormat/>
    <w:rPr>
      <w:b/>
      <w:color w:val="FF0000"/>
    </w:rPr>
  </w:style>
  <w:style w:customStyle="1" w:styleId="NormalTok" w:type="character">
    <w:name w:val="NormalTok"/>
    <w:basedOn w:val="VerbatimChar"/>
    <w:qFormat/>
    <w:rPr/>
  </w:style>
  <w:style w:styleId="LineNumbering" w:type="character">
    <w:name w:val="Line Numbering"/>
    <w:rPr/>
  </w:style>
  <w:style w:styleId="Emphasis" w:type="character">
    <w:name w:val="Emphasis"/>
    <w:qFormat/>
    <w:rPr>
      <w:i/>
      <w:iCs/>
    </w:rPr>
  </w:style>
  <w:style w:styleId="Heading" w:type="paragraph">
    <w:name w:val="Heading"/>
    <w:basedOn w:val="Normal"/>
    <w:next w:val="TextBody"/>
    <w:qFormat/>
    <w:pPr>
      <w:keepNext w:val="true"/>
      <w:spacing w:after="120" w:before="240"/>
    </w:pPr>
    <w:rPr>
      <w:rFonts w:ascii="Times" w:cs="Droid Sans Devanagari" w:eastAsia="Droid Sans Fallback" w:hAnsi="Times"/>
      <w:sz w:val="28"/>
      <w:szCs w:val="28"/>
    </w:rPr>
  </w:style>
  <w:style w:styleId="TextBody" w:type="paragraph">
    <w:name w:val="Body Text"/>
    <w:basedOn w:val="Normal"/>
    <w:link w:val="BodyTextChar"/>
    <w:qFormat/>
    <w:pPr>
      <w:spacing w:after="0" w:before="0" w:line="480" w:lineRule="auto"/>
      <w:ind w:firstLine="576" w:left="0" w:right="0"/>
      <w:contextualSpacing/>
    </w:pPr>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qFormat/>
    <w:pPr>
      <w:spacing w:after="0" w:before="187" w:line="480" w:lineRule="auto"/>
      <w:ind w:hanging="0" w:left="0" w:right="0"/>
      <w:contextualSpacing/>
    </w:pPr>
    <w:rPr>
      <w:rFonts w:ascii="Times" w:hAnsi="Times"/>
    </w:rPr>
  </w:style>
  <w:style w:customStyle="1" w:styleId="Compact" w:type="paragraph">
    <w:name w:val="Compact"/>
    <w:basedOn w:val="TextBody"/>
    <w:qFormat/>
    <w:pPr>
      <w:spacing w:after="36" w:before="36"/>
      <w:contextualSpacing/>
    </w:pPr>
    <w:rPr/>
  </w:style>
  <w:style w:styleId="Title" w:type="paragraph">
    <w:name w:val="Title"/>
    <w:basedOn w:val="Normal"/>
    <w:qFormat/>
    <w:pPr>
      <w:keepNext w:val="true"/>
      <w:keepLines/>
      <w:spacing w:after="240" w:before="480"/>
      <w:jc w:val="left"/>
    </w:pPr>
    <w:rPr>
      <w:rFonts w:ascii="Times" w:cs="" w:cstheme="majorBidi" w:eastAsia="" w:eastAsiaTheme="majorEastAsia" w:hAnsi="Times"/>
      <w:b/>
      <w:bCs/>
      <w:color w:themeShade="b5" w:val="auto"/>
      <w:sz w:val="36"/>
      <w:szCs w:val="36"/>
    </w:rPr>
  </w:style>
  <w:style w:styleId="Subtitle" w:type="paragraph">
    <w:name w:val="Subtitle"/>
    <w:basedOn w:val="Title"/>
    <w:qFormat/>
    <w:pPr>
      <w:keepNext w:val="true"/>
      <w:keepLines/>
      <w:spacing w:after="240" w:before="240"/>
      <w:jc w:val="center"/>
    </w:pPr>
    <w:rPr>
      <w:sz w:val="30"/>
      <w:szCs w:val="30"/>
    </w:rPr>
  </w:style>
  <w:style w:customStyle="1" w:styleId="Author" w:type="paragraph">
    <w:name w:val="Author"/>
    <w:qFormat/>
    <w:pPr>
      <w:keepNext w:val="true"/>
      <w:keepLines/>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qFormat/>
    <w:pPr>
      <w:keepNext w:val="true"/>
      <w:keepLines/>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uiPriority w:val="9"/>
    <w:unhideWhenUsed/>
    <w:qFormat/>
    <w:pPr>
      <w:spacing w:after="100" w:before="100"/>
      <w:ind w:hanging="0" w:left="0" w:right="0"/>
      <w:contextualSpacing/>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rPr/>
  </w:style>
  <w:style w:styleId="HeaderandFooter" w:type="paragraph">
    <w:name w:val="Header and Footer"/>
    <w:basedOn w:val="Normal"/>
    <w:qFormat/>
    <w:pPr>
      <w:suppressLineNumbers/>
      <w:tabs>
        <w:tab w:pos="720" w:val="clear"/>
        <w:tab w:leader="none" w:pos="4320" w:val="center"/>
        <w:tab w:leader="none" w:pos="864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styleId="Heading1NoNumber" w:type="paragraph">
    <w:name w:val="Heading 1 No Number"/>
    <w:basedOn w:val="Heading1"/>
    <w:qFormat/>
    <w:pPr/>
    <w:rPr/>
  </w:style>
  <w:style w:styleId="TextBodyIndent" w:type="paragraph">
    <w:name w:val="Body Text Indent"/>
    <w:basedOn w:val="TextBody"/>
    <w:qFormat/>
    <w:pPr>
      <w:ind w:firstLine="283" w:left="0" w:right="0"/>
    </w:pPr>
    <w:rPr/>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135" Target="media/rId135.png" /><Relationship Type="http://schemas.openxmlformats.org/officeDocument/2006/relationships/image" Id="rId132" Target="media/rId132.png" /><Relationship Type="http://schemas.openxmlformats.org/officeDocument/2006/relationships/hyperlink" Id="rId105" Target="https://doi.org/10.1002/9780470015902.a0022213" TargetMode="External" /><Relationship Type="http://schemas.openxmlformats.org/officeDocument/2006/relationships/hyperlink" Id="rId111" Target="https://doi.org/10.1007/978-3-642-38954-2_382" TargetMode="External" /><Relationship Type="http://schemas.openxmlformats.org/officeDocument/2006/relationships/hyperlink" Id="rId109" Target="https://doi.org/10.1007/s10482-012-9739-6" TargetMode="External" /><Relationship Type="http://schemas.openxmlformats.org/officeDocument/2006/relationships/hyperlink" Id="rId126" Target="https://doi.org/10.1016/S0168-9525(01)02410-6" TargetMode="External" /><Relationship Type="http://schemas.openxmlformats.org/officeDocument/2006/relationships/hyperlink" Id="rId73" Target="https://doi.org/10.1016/j.envint.2020.106131" TargetMode="External" /><Relationship Type="http://schemas.openxmlformats.org/officeDocument/2006/relationships/hyperlink" Id="rId75" Target="https://doi.org/10.1038/ismej.2012.160" TargetMode="External" /><Relationship Type="http://schemas.openxmlformats.org/officeDocument/2006/relationships/hyperlink" Id="rId113" Target="https://doi.org/10.1038/ismej.2013.145" TargetMode="External" /><Relationship Type="http://schemas.openxmlformats.org/officeDocument/2006/relationships/hyperlink" Id="rId59" Target="https://doi.org/10.1038/ismej.2014.196" TargetMode="External" /><Relationship Type="http://schemas.openxmlformats.org/officeDocument/2006/relationships/hyperlink" Id="rId51" Target="https://doi.org/10.1038/ismej.2014.252" TargetMode="External" /><Relationship Type="http://schemas.openxmlformats.org/officeDocument/2006/relationships/hyperlink" Id="rId45" Target="https://doi.org/10.1038/nature05202" TargetMode="External" /><Relationship Type="http://schemas.openxmlformats.org/officeDocument/2006/relationships/hyperlink" Id="rId65" Target="https://doi.org/10.1038/nature08058" TargetMode="External" /><Relationship Type="http://schemas.openxmlformats.org/officeDocument/2006/relationships/hyperlink" Id="rId47" Target="https://doi.org/10.1038/nature11118" TargetMode="External" /><Relationship Type="http://schemas.openxmlformats.org/officeDocument/2006/relationships/hyperlink" Id="rId124" Target="https://doi.org/10.1038/ng0592-99" TargetMode="External" /><Relationship Type="http://schemas.openxmlformats.org/officeDocument/2006/relationships/hyperlink" Id="rId83" Target="https://doi.org/10.1038/nmeth.3869" TargetMode="External" /><Relationship Type="http://schemas.openxmlformats.org/officeDocument/2006/relationships/hyperlink" Id="rId119" Target="https://doi.org/10.1038/nrg2322" TargetMode="External" /><Relationship Type="http://schemas.openxmlformats.org/officeDocument/2006/relationships/hyperlink" Id="rId99" Target="https://doi.org/10.1038/s41467-020-17041-7" TargetMode="External" /><Relationship Type="http://schemas.openxmlformats.org/officeDocument/2006/relationships/hyperlink" Id="rId67" Target="https://doi.org/10.1046/j.1365-2486.1998.00195.x" TargetMode="External" /><Relationship Type="http://schemas.openxmlformats.org/officeDocument/2006/relationships/hyperlink" Id="rId128" Target="https://doi.org/10.1073/pnas.0903103106" TargetMode="External" /><Relationship Type="http://schemas.openxmlformats.org/officeDocument/2006/relationships/hyperlink" Id="rId77" Target="https://doi.org/10.1073/pnas.1000080107" TargetMode="External" /><Relationship Type="http://schemas.openxmlformats.org/officeDocument/2006/relationships/hyperlink" Id="rId57" Target="https://doi.org/10.1073/pnas.150237597" TargetMode="External" /><Relationship Type="http://schemas.openxmlformats.org/officeDocument/2006/relationships/hyperlink" Id="rId61" Target="https://doi.org/10.1073/pnas.97.17.9365" TargetMode="External" /><Relationship Type="http://schemas.openxmlformats.org/officeDocument/2006/relationships/hyperlink" Id="rId55" Target="https://doi.org/10.1098/rstb.2019.0244" TargetMode="External" /><Relationship Type="http://schemas.openxmlformats.org/officeDocument/2006/relationships/hyperlink" Id="rId115" Target="https://doi.org/10.1099/ijsem.0.001167" TargetMode="External" /><Relationship Type="http://schemas.openxmlformats.org/officeDocument/2006/relationships/hyperlink" Id="rId71" Target="https://doi.org/10.1111/j.1574-6941.2010.00871.x" TargetMode="External" /><Relationship Type="http://schemas.openxmlformats.org/officeDocument/2006/relationships/hyperlink" Id="rId49" Target="https://doi.org/10.1111/oik.01549" TargetMode="External" /><Relationship Type="http://schemas.openxmlformats.org/officeDocument/2006/relationships/hyperlink" Id="rId122" Target="https://doi.org/10.1126/science.2570460" TargetMode="External" /><Relationship Type="http://schemas.openxmlformats.org/officeDocument/2006/relationships/hyperlink" Id="rId43" Target="https://doi.org/10.1126/science.aav0550" TargetMode="External" /><Relationship Type="http://schemas.openxmlformats.org/officeDocument/2006/relationships/hyperlink" Id="rId85" Target="https://doi.org/10.1128/AEM.00062-07" TargetMode="External" /><Relationship Type="http://schemas.openxmlformats.org/officeDocument/2006/relationships/hyperlink" Id="rId69" Target="https://doi.org/10.1128/AEM.01021-09" TargetMode="External" /><Relationship Type="http://schemas.openxmlformats.org/officeDocument/2006/relationships/hyperlink" Id="rId117" Target="https://doi.org/10.1128/mBio.00434-20" TargetMode="External" /><Relationship Type="http://schemas.openxmlformats.org/officeDocument/2006/relationships/hyperlink" Id="rId101" Target="https://doi.org/10.1186/2049-2618-2-15" TargetMode="External" /><Relationship Type="http://schemas.openxmlformats.org/officeDocument/2006/relationships/hyperlink" Id="rId79" Target="https://doi.org/10.1186/2049-2618-2-6" TargetMode="External" /><Relationship Type="http://schemas.openxmlformats.org/officeDocument/2006/relationships/hyperlink" Id="rId87" Target="https://doi.org/10.1186/s40168-018-0605-2" TargetMode="External" /><Relationship Type="http://schemas.openxmlformats.org/officeDocument/2006/relationships/hyperlink" Id="rId103" Target="https://doi.org/10.1214/19-AOAS1283" TargetMode="External" /><Relationship Type="http://schemas.openxmlformats.org/officeDocument/2006/relationships/hyperlink" Id="rId63" Target="https://doi.org/10.1371/journal.pbio.3000356" TargetMode="External" /><Relationship Type="http://schemas.openxmlformats.org/officeDocument/2006/relationships/hyperlink" Id="rId95" Target="https://doi.org/10.1890/0012-9658(2001)082[0290:FMMTCD]2.0.CO;2" TargetMode="External" /><Relationship Type="http://schemas.openxmlformats.org/officeDocument/2006/relationships/hyperlink" Id="rId90" Target="https://doi.org/10.2307/1934145" TargetMode="External" /><Relationship Type="http://schemas.openxmlformats.org/officeDocument/2006/relationships/hyperlink" Id="rId93" Target="https://doi.org/10.2307/1942268" TargetMode="External" /><Relationship Type="http://schemas.openxmlformats.org/officeDocument/2006/relationships/hyperlink" Id="rId53" Target="https://doi.org/10.3389/fmicb.2016.00214" TargetMode="External" /><Relationship Type="http://schemas.openxmlformats.org/officeDocument/2006/relationships/hyperlink" Id="rId97" Target="https://doi.org/10.3389/fmicb.2017.02114" TargetMode="External" /><Relationship Type="http://schemas.openxmlformats.org/officeDocument/2006/relationships/hyperlink" Id="rId40" Target="https://github.com/amorris28/artificial_ecosystem_selection" TargetMode="External" /><Relationship Type="http://schemas.openxmlformats.org/officeDocument/2006/relationships/hyperlink" Id="rId39" Target="https://www.ncbi.nlm.nih.gov/sra/PRJNA832314" TargetMode="External" /><Relationship Type="http://schemas.openxmlformats.org/officeDocument/2006/relationships/hyperlink" Id="rId20" Target="mailto:amorris3@uoregon.edu" TargetMode="External" /></Relationships>
</file>

<file path=word/_rels/footnotes.xml.rels><?xml version="1.0" encoding="UTF-8"?><Relationships xmlns="http://schemas.openxmlformats.org/package/2006/relationships"><Relationship Type="http://schemas.openxmlformats.org/officeDocument/2006/relationships/hyperlink" Id="rId105" Target="https://doi.org/10.1002/9780470015902.a0022213" TargetMode="External" /><Relationship Type="http://schemas.openxmlformats.org/officeDocument/2006/relationships/hyperlink" Id="rId111" Target="https://doi.org/10.1007/978-3-642-38954-2_382" TargetMode="External" /><Relationship Type="http://schemas.openxmlformats.org/officeDocument/2006/relationships/hyperlink" Id="rId109" Target="https://doi.org/10.1007/s10482-012-9739-6" TargetMode="External" /><Relationship Type="http://schemas.openxmlformats.org/officeDocument/2006/relationships/hyperlink" Id="rId126" Target="https://doi.org/10.1016/S0168-9525(01)02410-6" TargetMode="External" /><Relationship Type="http://schemas.openxmlformats.org/officeDocument/2006/relationships/hyperlink" Id="rId73" Target="https://doi.org/10.1016/j.envint.2020.106131" TargetMode="External" /><Relationship Type="http://schemas.openxmlformats.org/officeDocument/2006/relationships/hyperlink" Id="rId75" Target="https://doi.org/10.1038/ismej.2012.160" TargetMode="External" /><Relationship Type="http://schemas.openxmlformats.org/officeDocument/2006/relationships/hyperlink" Id="rId113" Target="https://doi.org/10.1038/ismej.2013.145" TargetMode="External" /><Relationship Type="http://schemas.openxmlformats.org/officeDocument/2006/relationships/hyperlink" Id="rId59" Target="https://doi.org/10.1038/ismej.2014.196" TargetMode="External" /><Relationship Type="http://schemas.openxmlformats.org/officeDocument/2006/relationships/hyperlink" Id="rId51" Target="https://doi.org/10.1038/ismej.2014.252" TargetMode="External" /><Relationship Type="http://schemas.openxmlformats.org/officeDocument/2006/relationships/hyperlink" Id="rId45" Target="https://doi.org/10.1038/nature05202" TargetMode="External" /><Relationship Type="http://schemas.openxmlformats.org/officeDocument/2006/relationships/hyperlink" Id="rId65" Target="https://doi.org/10.1038/nature08058" TargetMode="External" /><Relationship Type="http://schemas.openxmlformats.org/officeDocument/2006/relationships/hyperlink" Id="rId47" Target="https://doi.org/10.1038/nature11118" TargetMode="External" /><Relationship Type="http://schemas.openxmlformats.org/officeDocument/2006/relationships/hyperlink" Id="rId124" Target="https://doi.org/10.1038/ng0592-99" TargetMode="External" /><Relationship Type="http://schemas.openxmlformats.org/officeDocument/2006/relationships/hyperlink" Id="rId83" Target="https://doi.org/10.1038/nmeth.3869" TargetMode="External" /><Relationship Type="http://schemas.openxmlformats.org/officeDocument/2006/relationships/hyperlink" Id="rId119" Target="https://doi.org/10.1038/nrg2322" TargetMode="External" /><Relationship Type="http://schemas.openxmlformats.org/officeDocument/2006/relationships/hyperlink" Id="rId99" Target="https://doi.org/10.1038/s41467-020-17041-7" TargetMode="External" /><Relationship Type="http://schemas.openxmlformats.org/officeDocument/2006/relationships/hyperlink" Id="rId67" Target="https://doi.org/10.1046/j.1365-2486.1998.00195.x" TargetMode="External" /><Relationship Type="http://schemas.openxmlformats.org/officeDocument/2006/relationships/hyperlink" Id="rId128" Target="https://doi.org/10.1073/pnas.0903103106" TargetMode="External" /><Relationship Type="http://schemas.openxmlformats.org/officeDocument/2006/relationships/hyperlink" Id="rId77" Target="https://doi.org/10.1073/pnas.1000080107" TargetMode="External" /><Relationship Type="http://schemas.openxmlformats.org/officeDocument/2006/relationships/hyperlink" Id="rId57" Target="https://doi.org/10.1073/pnas.150237597" TargetMode="External" /><Relationship Type="http://schemas.openxmlformats.org/officeDocument/2006/relationships/hyperlink" Id="rId61" Target="https://doi.org/10.1073/pnas.97.17.9365" TargetMode="External" /><Relationship Type="http://schemas.openxmlformats.org/officeDocument/2006/relationships/hyperlink" Id="rId55" Target="https://doi.org/10.1098/rstb.2019.0244" TargetMode="External" /><Relationship Type="http://schemas.openxmlformats.org/officeDocument/2006/relationships/hyperlink" Id="rId115" Target="https://doi.org/10.1099/ijsem.0.001167" TargetMode="External" /><Relationship Type="http://schemas.openxmlformats.org/officeDocument/2006/relationships/hyperlink" Id="rId71" Target="https://doi.org/10.1111/j.1574-6941.2010.00871.x" TargetMode="External" /><Relationship Type="http://schemas.openxmlformats.org/officeDocument/2006/relationships/hyperlink" Id="rId49" Target="https://doi.org/10.1111/oik.01549" TargetMode="External" /><Relationship Type="http://schemas.openxmlformats.org/officeDocument/2006/relationships/hyperlink" Id="rId122" Target="https://doi.org/10.1126/science.2570460" TargetMode="External" /><Relationship Type="http://schemas.openxmlformats.org/officeDocument/2006/relationships/hyperlink" Id="rId43" Target="https://doi.org/10.1126/science.aav0550" TargetMode="External" /><Relationship Type="http://schemas.openxmlformats.org/officeDocument/2006/relationships/hyperlink" Id="rId85" Target="https://doi.org/10.1128/AEM.00062-07" TargetMode="External" /><Relationship Type="http://schemas.openxmlformats.org/officeDocument/2006/relationships/hyperlink" Id="rId69" Target="https://doi.org/10.1128/AEM.01021-09" TargetMode="External" /><Relationship Type="http://schemas.openxmlformats.org/officeDocument/2006/relationships/hyperlink" Id="rId117" Target="https://doi.org/10.1128/mBio.00434-20" TargetMode="External" /><Relationship Type="http://schemas.openxmlformats.org/officeDocument/2006/relationships/hyperlink" Id="rId101" Target="https://doi.org/10.1186/2049-2618-2-15" TargetMode="External" /><Relationship Type="http://schemas.openxmlformats.org/officeDocument/2006/relationships/hyperlink" Id="rId79" Target="https://doi.org/10.1186/2049-2618-2-6" TargetMode="External" /><Relationship Type="http://schemas.openxmlformats.org/officeDocument/2006/relationships/hyperlink" Id="rId87" Target="https://doi.org/10.1186/s40168-018-0605-2" TargetMode="External" /><Relationship Type="http://schemas.openxmlformats.org/officeDocument/2006/relationships/hyperlink" Id="rId103" Target="https://doi.org/10.1214/19-AOAS1283" TargetMode="External" /><Relationship Type="http://schemas.openxmlformats.org/officeDocument/2006/relationships/hyperlink" Id="rId63" Target="https://doi.org/10.1371/journal.pbio.3000356" TargetMode="External" /><Relationship Type="http://schemas.openxmlformats.org/officeDocument/2006/relationships/hyperlink" Id="rId95" Target="https://doi.org/10.1890/0012-9658(2001)082[0290:FMMTCD]2.0.CO;2" TargetMode="External" /><Relationship Type="http://schemas.openxmlformats.org/officeDocument/2006/relationships/hyperlink" Id="rId90" Target="https://doi.org/10.2307/1934145" TargetMode="External" /><Relationship Type="http://schemas.openxmlformats.org/officeDocument/2006/relationships/hyperlink" Id="rId93" Target="https://doi.org/10.2307/1942268" TargetMode="External" /><Relationship Type="http://schemas.openxmlformats.org/officeDocument/2006/relationships/hyperlink" Id="rId53" Target="https://doi.org/10.3389/fmicb.2016.00214" TargetMode="External" /><Relationship Type="http://schemas.openxmlformats.org/officeDocument/2006/relationships/hyperlink" Id="rId97" Target="https://doi.org/10.3389/fmicb.2017.02114" TargetMode="External" /><Relationship Type="http://schemas.openxmlformats.org/officeDocument/2006/relationships/hyperlink" Id="rId40" Target="https://github.com/amorris28/artificial_ecosystem_selection" TargetMode="External" /><Relationship Type="http://schemas.openxmlformats.org/officeDocument/2006/relationships/hyperlink" Id="rId39" Target="https://www.ncbi.nlm.nih.gov/sra/PRJNA832314" TargetMode="External" /><Relationship Type="http://schemas.openxmlformats.org/officeDocument/2006/relationships/hyperlink" Id="rId20" Target="mailto:amorris3@uoreg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LibreOffice/6.4.7.2$Linux_X86_64 LibreOffice_project/40$Build-2</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ecosystem selection reveals relationships between microbiome composition and ecosystem function</dc:title>
  <dc:creator>Andrew H. Morris1* and Brendan J. M. Bohannan1</dc:creator>
  <cp:keywords/>
  <dcterms:created xsi:type="dcterms:W3CDTF">2022-07-30T21:30:03Z</dcterms:created>
  <dcterms:modified xsi:type="dcterms:W3CDTF">2022-07-30T21:30:03Z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