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144.png" ContentType="image/png"/>
  <Override PartName="/word/media/rId138.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bookmarkStart w:id="21" w:name="abstract"/>
    <w:p>
      <w:pPr>
        <w:pStyle w:val="Heading1"/>
      </w:pP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 a priori which</w:t>
      </w:r>
      <w:r>
        <w:t xml:space="preserve"> </w:t>
      </w:r>
      <w:r>
        <w:t xml:space="preserve">members of a microbiome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microcosms to select for increased soil methane oxidation rate. We observed a</w:t>
      </w:r>
      <w:r>
        <w:t xml:space="preserve"> </w:t>
      </w:r>
      <w:r>
        <w:t xml:space="preserve">strong response to selection with a 51% increase in methane oxidation rate per</w:t>
      </w:r>
      <w:r>
        <w:t xml:space="preserve"> </w:t>
      </w:r>
      <w:r>
        <w:t xml:space="preserve">round over five rounds of selection. This suggests that a large portion of the</w:t>
      </w:r>
      <w:r>
        <w:t xml:space="preserve"> </w:t>
      </w:r>
      <w:r>
        <w:t xml:space="preserve">variation in methane oxidation rate in these soils can be attributed to</w:t>
      </w:r>
      <w:r>
        <w:t xml:space="preserve"> </w:t>
      </w:r>
      <w:r>
        <w:t xml:space="preserve">microbiome variation. We also found that selection did not enrich for known</w:t>
      </w:r>
      <w:r>
        <w:t xml:space="preserve"> </w:t>
      </w:r>
      <w:r>
        <w:t xml:space="preserve">methane oxidizers; rather microbes that responded to selection included members</w:t>
      </w:r>
      <w:r>
        <w:t xml:space="preserve"> </w:t>
      </w:r>
      <w:r>
        <w:t xml:space="preserve">of 12 families such as</w:t>
      </w:r>
      <w:r>
        <w:t xml:space="preserve"> </w:t>
      </w:r>
      <w:r>
        <w:rPr>
          <w:iCs/>
          <w:i/>
        </w:rPr>
        <w:t xml:space="preserve">Fimbriimonadaceae</w:t>
      </w:r>
      <w:r>
        <w:t xml:space="preserve">,</w:t>
      </w:r>
      <w:r>
        <w:t xml:space="preserve"> </w:t>
      </w:r>
      <w:r>
        <w:rPr>
          <w:iCs/>
          <w:i/>
        </w:rPr>
        <w:t xml:space="preserve">Cytophagaceae</w:t>
      </w:r>
      <w:r>
        <w:t xml:space="preserve">,</w:t>
      </w:r>
      <w:r>
        <w:t xml:space="preserve"> </w:t>
      </w:r>
      <w:r>
        <w:t xml:space="preserve">and</w:t>
      </w:r>
      <w:r>
        <w:t xml:space="preserve"> </w:t>
      </w:r>
      <w:r>
        <w:rPr>
          <w:iCs/>
          <w:i/>
        </w:rPr>
        <w:t xml:space="preserve">Diplorickettsiaceae</w:t>
      </w:r>
      <w:r>
        <w:t xml:space="preserve">. This result is in contrast to the typical assumption</w:t>
      </w:r>
      <w:r>
        <w:t xml:space="preserve"> </w:t>
      </w:r>
      <w:r>
        <w:t xml:space="preserve">that the rate of an ecosystem function is limited by the final step in the</w:t>
      </w:r>
      <w:r>
        <w:t xml:space="preserve"> </w:t>
      </w:r>
      <w:r>
        <w:t xml:space="preserve">associated microbial pathway. Our study demonstrates that variation in</w:t>
      </w:r>
      <w:r>
        <w:t xml:space="preserve"> </w:t>
      </w:r>
      <w:r>
        <w:t xml:space="preserve">microbiome composition can contribute to variation in the rate of ecosystem</w:t>
      </w:r>
      <w:r>
        <w:t xml:space="preserve"> </w:t>
      </w:r>
      <w:r>
        <w:t xml:space="preserve">function and that this relationship can be revealed via artificial ecosystem</w:t>
      </w:r>
      <w:r>
        <w:t xml:space="preserve"> </w:t>
      </w:r>
      <w:r>
        <w:t xml:space="preserve">selection.</w:t>
      </w:r>
    </w:p>
    <w:bookmarkEnd w:id="21"/>
    <w:bookmarkStart w:id="22" w:name="introduction"/>
    <w:p>
      <w:pPr>
        <w:pStyle w:val="Heading1"/>
      </w:pPr>
      <w:r>
        <w:t xml:space="preserve">Introduction</w:t>
      </w:r>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(1–3)</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(4–6)</w:t>
      </w:r>
      <w:r>
        <w:t xml:space="preserve">. While there is some evidence that</w:t>
      </w:r>
      <w:r>
        <w:t xml:space="preserve"> </w:t>
      </w:r>
      <w:r>
        <w:t xml:space="preserve">variation in microbiomes can contribute to variation in ecosystem functions,</w:t>
      </w:r>
      <w:r>
        <w:t xml:space="preserve"> </w:t>
      </w:r>
      <w:r>
        <w:t xml:space="preserve">documenting this relationship has been elusive</w:t>
      </w:r>
      <w:r>
        <w:t xml:space="preserve"> </w:t>
      </w:r>
      <w:r>
        <w:t xml:space="preserve">(1,7,8)</w:t>
      </w:r>
      <w:r>
        <w:t xml:space="preserve">.</w:t>
      </w:r>
    </w:p>
    <w:p>
      <w:pPr>
        <w:pStyle w:val="TextBody"/>
      </w:pPr>
      <w:r>
        <w:t xml:space="preserve">There are several reasons for this difficulty. One reason is that it is</w:t>
      </w:r>
      <w:r>
        <w:t xml:space="preserve"> </w:t>
      </w:r>
      <w:r>
        <w:t xml:space="preserve">challenging to manipulate microbiome composition and diversity directly.</w:t>
      </w:r>
      <w:r>
        <w:t xml:space="preserve"> </w:t>
      </w:r>
      <w:r>
        <w:t xml:space="preserve">Experimental manipulations of community composition and diversity have been</w:t>
      </w:r>
      <w:r>
        <w:t xml:space="preserve"> </w:t>
      </w:r>
      <w:r>
        <w:t xml:space="preserve">central to documenting the relationships between ecosystem functions and the</w:t>
      </w:r>
      <w:r>
        <w:t xml:space="preserve"> </w:t>
      </w:r>
      <w:r>
        <w:t xml:space="preserve">biodiversity of plants and animals</w:t>
      </w:r>
      <w:r>
        <w:t xml:space="preserve"> </w:t>
      </w:r>
      <w:r>
        <w:t xml:space="preserve">(5)</w:t>
      </w:r>
      <w:r>
        <w:t xml:space="preserve">, but this is seldom possible</w:t>
      </w:r>
      <w:r>
        <w:t xml:space="preserve"> </w:t>
      </w:r>
      <w:r>
        <w:t xml:space="preserve">with microbiomes. Most microorganisms cannot yet be cultured and most</w:t>
      </w:r>
      <w:r>
        <w:t xml:space="preserve"> </w:t>
      </w:r>
      <w:r>
        <w:t xml:space="preserve">available methods for manipulation of microbiomes (e.g., antibiotics, dilution,</w:t>
      </w:r>
      <w:r>
        <w:t xml:space="preserve"> </w:t>
      </w:r>
      <w:r>
        <w:t xml:space="preserve">etc.) are not sufficiently specific to manipulate individual microbial</w:t>
      </w:r>
      <w:r>
        <w:t xml:space="preserve"> </w:t>
      </w:r>
      <w:r>
        <w:t xml:space="preserve">lineages. Microbial ecologists are thus often restricted to using comparative</w:t>
      </w:r>
      <w:r>
        <w:t xml:space="preserve"> </w:t>
      </w:r>
      <w:r>
        <w:t xml:space="preserve">methods, in which microbiome composition and diversity is surveyed via</w:t>
      </w:r>
      <w:r>
        <w:t xml:space="preserve"> </w:t>
      </w:r>
      <w:r>
        <w:t xml:space="preserve">environmental DNA and then correlated with the rate of an ecosystem function</w:t>
      </w:r>
      <w:r>
        <w:t xml:space="preserve"> </w:t>
      </w:r>
      <w:r>
        <w:t xml:space="preserve">{cite examples}. However, such studies are rarely successful</w:t>
      </w:r>
      <w:r>
        <w:t xml:space="preserve"> </w:t>
      </w:r>
      <w:r>
        <w:t xml:space="preserve">(8)</w:t>
      </w:r>
      <w:r>
        <w:t xml:space="preserve">. In an</w:t>
      </w:r>
      <w:r>
        <w:t xml:space="preserve"> </w:t>
      </w:r>
      <w:r>
        <w:t xml:space="preserve">attempt to increase the likelihood of detecting such a correlation, microbial</w:t>
      </w:r>
      <w:r>
        <w:t xml:space="preserve"> </w:t>
      </w:r>
      <w:r>
        <w:t xml:space="preserve">ecologists may focus their survey efforts on a particular group of microbes</w:t>
      </w:r>
      <w:r>
        <w:t xml:space="preserve"> </w:t>
      </w:r>
      <w:r>
        <w:t xml:space="preserve">thought to be involved in the ecosystem function of interest. For example, many</w:t>
      </w:r>
      <w:r>
        <w:t xml:space="preserve"> </w:t>
      </w:r>
      <w:r>
        <w:t xml:space="preserve">studies have looked for relationships between an ecosystem function and the</w:t>
      </w:r>
      <w:r>
        <w:t xml:space="preserve"> </w:t>
      </w:r>
      <w:r>
        <w:t xml:space="preserve">abundance or diversity of a microbial gene that codes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 how</w:t>
      </w:r>
      <w:r>
        <w:t xml:space="preserve"> </w:t>
      </w:r>
      <w:r>
        <w:t xml:space="preserve">little is understood about microbial diversity, seems highly unlikely. And in</w:t>
      </w:r>
      <w:r>
        <w:t xml:space="preserve"> </w:t>
      </w:r>
      <w:r>
        <w:t xml:space="preserve">fact these studies are rarely successful</w:t>
      </w:r>
      <w:r>
        <w:t xml:space="preserve"> </w:t>
      </w:r>
      <w:r>
        <w:t xml:space="preserve">(7)</w:t>
      </w:r>
      <w:r>
        <w:t xml:space="preserve">.</w:t>
      </w:r>
    </w:p>
    <w:p>
      <w:pPr>
        <w:pStyle w:val="TextBody"/>
      </w:pPr>
      <w:r>
        <w:t xml:space="preserve">Another likely reason that microbiome-ecosystem function relationships have</w:t>
      </w:r>
      <w:r>
        <w:t xml:space="preserve"> </w:t>
      </w:r>
      <w:r>
        <w:t xml:space="preserve">been difficult to document is that microbiomes often covary with other drivers</w:t>
      </w:r>
      <w:r>
        <w:t xml:space="preserve"> </w:t>
      </w:r>
      <w:r>
        <w:t xml:space="preserve">of variation in ecosystem functions, such as environmental conditions or</w:t>
      </w:r>
      <w:r>
        <w:t xml:space="preserve"> </w:t>
      </w:r>
      <w:r>
        <w:t xml:space="preserve">resources. Such covariation can make it impossible to determine whether</w:t>
      </w:r>
      <w:r>
        <w:t xml:space="preserve"> </w:t>
      </w:r>
      <w:r>
        <w:t xml:space="preserve">microbiomes directly contribute to functional variation. Understanding the</w:t>
      </w:r>
      <w:r>
        <w:t xml:space="preserve"> </w:t>
      </w:r>
      <w:r>
        <w:t xml:space="preserve">degree to which microbiomes directly influence functional variation is crucial</w:t>
      </w:r>
      <w:r>
        <w:t xml:space="preserve"> </w:t>
      </w:r>
      <w:r>
        <w:t xml:space="preserve">if scientists are to develop microbiome-focused methods for altering or</w:t>
      </w:r>
      <w:r>
        <w:t xml:space="preserve"> </w:t>
      </w:r>
      <w:r>
        <w:t xml:space="preserve">maintaining ecosystem functions.</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(9)</w:t>
      </w:r>
      <w:r>
        <w:t xml:space="preserve">. For example, one approach to the problem</w:t>
      </w:r>
      <w:r>
        <w:t xml:space="preserve"> </w:t>
      </w:r>
      <w:r>
        <w:t xml:space="preserve">of 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(10–12)</w:t>
      </w:r>
      <w:r>
        <w:t xml:space="preserve">.</w:t>
      </w:r>
      <w:r>
        <w:t xml:space="preserve"> </w:t>
      </w:r>
      <w:r>
        <w:t xml:space="preserve">Microbiomes have been shown to respond to selection at the ecosystem-trait</w:t>
      </w:r>
      <w:r>
        <w:t xml:space="preserve"> </w:t>
      </w:r>
      <w:r>
        <w:t xml:space="preserve">level</w:t>
      </w:r>
      <w:r>
        <w:t xml:space="preserve"> </w:t>
      </w:r>
      <w:r>
        <w:t xml:space="preserve">(10)</w:t>
      </w:r>
      <w:r>
        <w:t xml:space="preserve">, and some ecosystem-scale microbiome traits have been</w:t>
      </w:r>
      <w:r>
        <w:t xml:space="preserve"> </w:t>
      </w:r>
      <w:r>
        <w:t xml:space="preserve">shown to be transferable through microbiome inoculations</w:t>
      </w:r>
      <w:r>
        <w:t xml:space="preserve"> </w:t>
      </w:r>
      <w:r>
        <w:t xml:space="preserve">(11)</w:t>
      </w:r>
      <w:r>
        <w:t xml:space="preserve">.</w:t>
      </w:r>
      <w:r>
        <w:t xml:space="preserve"> </w:t>
      </w:r>
      <w:r>
        <w:t xml:space="preserve">Applying artificial selection to whole microbiomes could be a novel approach</w:t>
      </w:r>
      <w:r>
        <w:t xml:space="preserve"> </w:t>
      </w:r>
      <w:r>
        <w:t xml:space="preserve">for quantifying how much of the variation in the rate of an ecosystem function</w:t>
      </w:r>
      <w:r>
        <w:t xml:space="preserve"> </w:t>
      </w:r>
      <w:r>
        <w:t xml:space="preserve">could be attributed independently to microbiome variation</w:t>
      </w:r>
      <w:r>
        <w:t xml:space="preserve"> </w:t>
      </w:r>
      <w:r>
        <w:t xml:space="preserve">(13)</w:t>
      </w:r>
      <w:r>
        <w:t xml:space="preserve">. In</w:t>
      </w:r>
      <w:r>
        <w:t xml:space="preserve"> </w:t>
      </w:r>
      <w:r>
        <w:t xml:space="preserve">addition, this approach could be used to identify microbiome attributes, such</w:t>
      </w:r>
      <w:r>
        <w:t xml:space="preserve"> </w:t>
      </w:r>
      <w:r>
        <w:t xml:space="preserve">as genes or taxa, associated with the rate of an ecosystem function, although,</w:t>
      </w:r>
      <w:r>
        <w:t xml:space="preserve"> </w:t>
      </w:r>
      <w:r>
        <w:t xml:space="preserve">to our knowledge this has not previously been accomplished</w:t>
      </w:r>
      <w:r>
        <w:t xml:space="preserve"> </w:t>
      </w:r>
      <w:r>
        <w:t xml:space="preserve">(9,14)</w:t>
      </w:r>
      <w:r>
        <w:t xml:space="preserve">. Such an approach has the potential to expand our ability to more</w:t>
      </w:r>
      <w:r>
        <w:t xml:space="preserve"> </w:t>
      </w:r>
      <w:r>
        <w:t xml:space="preserve">accurately model microbial ecosystem-function relationships and allow us to</w:t>
      </w:r>
      <w:r>
        <w:t xml:space="preserve"> </w:t>
      </w:r>
      <w:r>
        <w:t xml:space="preserve">manage ecosystems for particular outcomes</w:t>
      </w:r>
      <w:r>
        <w:t xml:space="preserve"> </w:t>
      </w:r>
      <w:r>
        <w:t xml:space="preserve">(2,15)</w:t>
      </w:r>
      <w:r>
        <w:t xml:space="preserve">.</w:t>
      </w:r>
    </w:p>
    <w:p>
      <w:pPr>
        <w:pStyle w:val="TextBody"/>
      </w:pPr>
      <w:r>
        <w:t xml:space="preserve">We use this approach to estimate how much of the variation in an ecosystem</w:t>
      </w:r>
      <w:r>
        <w:t xml:space="preserve"> </w:t>
      </w:r>
      <w:r>
        <w:t xml:space="preserve">function - the flux of CH</w:t>
      </w:r>
      <w:r>
        <w:rPr>
          <w:vertAlign w:val="subscript"/>
        </w:rPr>
        <w:t xml:space="preserve">4</w:t>
      </w:r>
      <w:r>
        <w:t xml:space="preserve"> </w:t>
      </w:r>
      <w:r>
        <w:t xml:space="preserve">gas between the soil and atmosphere - can be</w:t>
      </w:r>
      <w:r>
        <w:t xml:space="preserve"> </w:t>
      </w:r>
      <w:r>
        <w:t xml:space="preserve">attributed to variation in the microbiome and to identify microbial markers</w:t>
      </w:r>
      <w:r>
        <w:t xml:space="preserve"> </w:t>
      </w:r>
      <w:r>
        <w:t xml:space="preserve">associated with this ecosystem function. Soil CH</w:t>
      </w:r>
      <w:r>
        <w:rPr>
          <w:vertAlign w:val="subscript"/>
        </w:rPr>
        <w:t xml:space="preserve">4</w:t>
      </w:r>
      <w:r>
        <w:t xml:space="preserve"> </w:t>
      </w:r>
      <w:r>
        <w:t xml:space="preserve">oxidation is a suitable</w:t>
      </w:r>
      <w:r>
        <w:t xml:space="preserve"> </w:t>
      </w:r>
      <w:r>
        <w:t xml:space="preserve">function for this study because there is evidence that it may vary with</w:t>
      </w:r>
      <w:r>
        <w:t xml:space="preserve"> </w:t>
      </w:r>
      <w:r>
        <w:t xml:space="preserve">microbiome attributes. For example, variation in CH</w:t>
      </w:r>
      <w:r>
        <w:rPr>
          <w:vertAlign w:val="subscript"/>
        </w:rPr>
        <w:t xml:space="preserve">4</w:t>
      </w:r>
      <w:r>
        <w:t xml:space="preserve"> </w:t>
      </w:r>
      <w:r>
        <w:t xml:space="preserve">emissions in arctic</w:t>
      </w:r>
      <w:r>
        <w:t xml:space="preserve"> </w:t>
      </w:r>
      <w:r>
        <w:t xml:space="preserve">permafrost is correlated with the transcriptional activity of certain</w:t>
      </w:r>
      <w:r>
        <w:t xml:space="preserve"> </w:t>
      </w:r>
      <w:r>
        <w:t xml:space="preserve">methanogens</w:t>
      </w:r>
      <w:r>
        <w:t xml:space="preserve"> </w:t>
      </w:r>
      <w:r>
        <w:t xml:space="preserve">(16,17)</w:t>
      </w:r>
      <w:r>
        <w:t xml:space="preserve">. In addition, soil microbiome</w:t>
      </w:r>
      <w:r>
        <w:t xml:space="preserve"> </w:t>
      </w:r>
      <w:r>
        <w:t xml:space="preserve">phylogenetic variation is a strong predictor of CH</w:t>
      </w:r>
      <w:r>
        <w:rPr>
          <w:vertAlign w:val="subscript"/>
        </w:rPr>
        <w:t xml:space="preserve">4</w:t>
      </w:r>
      <w:r>
        <w:t xml:space="preserve"> </w:t>
      </w:r>
      <w:r>
        <w:t xml:space="preserve">oxidation in forests and</w:t>
      </w:r>
      <w:r>
        <w:t xml:space="preserve"> </w:t>
      </w:r>
      <w:r>
        <w:t xml:space="preserve">pastures of the Brazilian Amazon and the Congo Basin</w:t>
      </w:r>
      <w:r>
        <w:t xml:space="preserve"> </w:t>
      </w:r>
      <w:r>
        <w:t xml:space="preserve">(18,19)</w:t>
      </w:r>
      <w:r>
        <w:t xml:space="preserve">. Finally, methanogenesis and</w:t>
      </w:r>
      <w:r>
        <w:t xml:space="preserve"> </w:t>
      </w:r>
      <w:r>
        <w:t xml:space="preserve">methanotrophy are two of the most deeply conserved microbial physiologies and</w:t>
      </w:r>
      <w:r>
        <w:t xml:space="preserve"> </w:t>
      </w:r>
      <w:r>
        <w:t xml:space="preserve">are represented in a narrow range of taxa and so the taxonomic composition of</w:t>
      </w:r>
      <w:r>
        <w:t xml:space="preserve"> </w:t>
      </w:r>
      <w:r>
        <w:t xml:space="preserve">the microbiome is more likely to be associated with the rate of CH</w:t>
      </w:r>
      <w:r>
        <w:rPr>
          <w:vertAlign w:val="subscript"/>
        </w:rPr>
        <w:t xml:space="preserve">4</w:t>
      </w:r>
      <w:r>
        <w:t xml:space="preserve"> </w:t>
      </w:r>
      <w:r>
        <w:t xml:space="preserve">flux than</w:t>
      </w:r>
      <w:r>
        <w:t xml:space="preserve"> </w:t>
      </w:r>
      <w:r>
        <w:t xml:space="preserve">other broader or more shallowly conserved functions</w:t>
      </w:r>
      <w:r>
        <w:t xml:space="preserve"> </w:t>
      </w:r>
      <w:r>
        <w:t xml:space="preserve">(2,20)</w:t>
      </w:r>
      <w:r>
        <w:t xml:space="preserve">. This suggests that microbiome variation might drive variation in</w:t>
      </w:r>
      <w:r>
        <w:t xml:space="preserve"> </w:t>
      </w:r>
      <w:r>
        <w:t xml:space="preserve">CH</w:t>
      </w:r>
      <w:r>
        <w:rPr>
          <w:vertAlign w:val="subscript"/>
        </w:rPr>
        <w:t xml:space="preserve">4</w:t>
      </w:r>
      <w:r>
        <w:t xml:space="preserve"> </w:t>
      </w:r>
      <w:r>
        <w:t xml:space="preserve">oxidation in soils.</w:t>
      </w:r>
    </w:p>
    <w:p>
      <w:pPr>
        <w:pStyle w:val="TextBody"/>
      </w:pPr>
      <w:r>
        <w:t xml:space="preserve">We applied artificial ecosystem selection on soil microbiomes by selecting on</w:t>
      </w:r>
      <w:r>
        <w:t xml:space="preserve"> </w:t>
      </w:r>
      <w:r>
        <w:t xml:space="preserve">the ecosystem-scale CH</w:t>
      </w:r>
      <w:r>
        <w:rPr>
          <w:vertAlign w:val="subscript"/>
        </w:rPr>
        <w:t xml:space="preserve">4</w:t>
      </w:r>
      <w:r>
        <w:t xml:space="preserve"> </w:t>
      </w:r>
      <w:r>
        <w:t xml:space="preserve">oxidation rate. Using this approach, we were able to</w:t>
      </w:r>
      <w:r>
        <w:t xml:space="preserve"> </w:t>
      </w:r>
      <w:r>
        <w:t xml:space="preserve">estimate how much of the variation in CH</w:t>
      </w:r>
      <w:r>
        <w:rPr>
          <w:vertAlign w:val="subscript"/>
        </w:rPr>
        <w:t xml:space="preserve">4</w:t>
      </w:r>
      <w:r>
        <w:t xml:space="preserve"> </w:t>
      </w:r>
      <w:r>
        <w:t xml:space="preserve">oxidation rate was associated with</w:t>
      </w:r>
      <w:r>
        <w:t xml:space="preserve"> </w:t>
      </w:r>
      <w:r>
        <w:t xml:space="preserve">variation in the microbiome. To identify which microorganisms could be markers</w:t>
      </w:r>
      <w:r>
        <w:t xml:space="preserve"> </w:t>
      </w:r>
      <w:r>
        <w:t xml:space="preserve">of CH</w:t>
      </w:r>
      <w:r>
        <w:rPr>
          <w:vertAlign w:val="subscript"/>
        </w:rPr>
        <w:t xml:space="preserve">4</w:t>
      </w:r>
      <w:r>
        <w:t xml:space="preserve"> </w:t>
      </w:r>
      <w:r>
        <w:t xml:space="preserve">oxidation rate, we compared the composition of the artificially</w:t>
      </w:r>
      <w:r>
        <w:t xml:space="preserve"> </w:t>
      </w:r>
      <w:r>
        <w:t xml:space="preserve">selected microbiomes to a control set of microbiomes with random selection. We</w:t>
      </w:r>
      <w:r>
        <w:t xml:space="preserve"> </w:t>
      </w:r>
      <w:r>
        <w:t xml:space="preserve">then evaluated whether these markers met our underlying assumptions about</w:t>
      </w:r>
      <w:r>
        <w:t xml:space="preserve"> </w:t>
      </w:r>
      <w:r>
        <w:t xml:space="preserve">which taxa limit the rate of ecosystem function.</w:t>
      </w:r>
    </w:p>
    <w:bookmarkEnd w:id="22"/>
    <w:bookmarkStart w:id="28" w:name="materials-and-methods"/>
    <w:p>
      <w:pPr>
        <w:pStyle w:val="Heading1"/>
      </w:pPr>
      <w:r>
        <w:t xml:space="preserve">Materials and Methods</w:t>
      </w:r>
    </w:p>
    <w:bookmarkStart w:id="23"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(sensu 10)</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 next set of jars were created in an identical</w:t>
      </w:r>
      <w:r>
        <w:t xml:space="preserve"> </w:t>
      </w:r>
      <w:r>
        <w:t xml:space="preserve">manner to the first generation with fresh autoclaved potting mix and the same</w:t>
      </w:r>
      <w:r>
        <w:t xml:space="preserve"> </w:t>
      </w:r>
      <w:r>
        <w:t xml:space="preserve">moisture and CH</w:t>
      </w:r>
      <w:r>
        <w:rPr>
          <w:vertAlign w:val="subscript"/>
        </w:rPr>
        <w:t xml:space="preserve">4</w:t>
      </w:r>
      <w:r>
        <w:t xml:space="preserve"> </w:t>
      </w:r>
      <w:r>
        <w:t xml:space="preserve">content.</w:t>
      </w:r>
    </w:p>
    <w:bookmarkEnd w:id="23"/>
    <w:bookmarkStart w:id="24"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Fluxes were calculated from a first-order exponential decay function as decay</w:t>
      </w:r>
      <w:r>
        <w:t xml:space="preserve"> </w:t>
      </w:r>
      <w:r>
        <w:t xml:space="preserve">constant</w:t>
      </w:r>
      <w:r>
        <w:t xml:space="preserve"> </w:t>
      </w:r>
      <m:oMath>
        <m:r>
          <m:t>k</m:t>
        </m:r>
      </m:oMath>
      <w:r>
        <w:t xml:space="preserve"> </w:t>
      </w:r>
      <w:r>
        <w:t xml:space="preserve">with units day</w:t>
      </w:r>
      <w:r>
        <w:rPr>
          <w:vertAlign w:val="superscript"/>
        </w:rPr>
        <w:t xml:space="preserve">-1</w:t>
      </w:r>
      <w:r>
        <w:t xml:space="preserve">. Oxidation rates are presented as the additive</w:t>
      </w:r>
      <w:r>
        <w:t xml:space="preserve"> </w:t>
      </w:r>
      <w:r>
        <w:t xml:space="preserve">inverse of</w:t>
      </w:r>
      <w:r>
        <w:t xml:space="preserve"> </w:t>
      </w:r>
      <m:oMath>
        <m:r>
          <m:t>k</m:t>
        </m:r>
      </m:oMath>
      <w:r>
        <w:t xml:space="preserve"> </w:t>
      </w:r>
      <w:r>
        <w:t xml:space="preserve">(i.e.,</w:t>
      </w:r>
      <w:r>
        <w:t xml:space="preserve"> </w:t>
      </w:r>
      <m:oMath>
        <m:r>
          <m:rPr>
            <m:sty m:val="p"/>
          </m:rPr>
          <m:t>−</m:t>
        </m:r>
        <m:r>
          <m:t>k</m:t>
        </m:r>
      </m:oMath>
      <w:r>
        <w:t xml:space="preserve">) so that a more positive value represents a greater</w:t>
      </w:r>
      <w:r>
        <w:t xml:space="preserve"> </w:t>
      </w:r>
      <w:r>
        <w:t xml:space="preserve">oxidation rate. The jars selected for the positive treatment in passage 2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CH</w:t>
      </w:r>
      <w:r>
        <w:rPr>
          <w:vertAlign w:val="subscript"/>
        </w:rPr>
        <w:t xml:space="preserve">4</w:t>
      </w:r>
      <w:r>
        <w:t xml:space="preserve"> </w:t>
      </w:r>
      <w:r>
        <w:t xml:space="preserve">oxidation rate.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(12)</w:t>
      </w:r>
      <w:r>
        <w:t xml:space="preserve">.</w:t>
      </w:r>
    </w:p>
    <w:bookmarkEnd w:id="24"/>
    <w:bookmarkStart w:id="25"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515F - 806R primer combination</w:t>
      </w:r>
      <w:r>
        <w:t xml:space="preserve"> </w:t>
      </w:r>
      <w:r>
        <w:t xml:space="preserve">(21)</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w:t>
      </w:r>
      <w:r>
        <w:t xml:space="preserve"> </w:t>
      </w:r>
      <w:r>
        <w:t xml:space="preserve">(initialization); 35 cycles of</w:t>
      </w:r>
      <w:r>
        <w:t xml:space="preserve"> </w:t>
      </w:r>
      <m:oMath>
        <m:sSup>
          <m:e>
            <m:r>
              <m:t>98</m:t>
            </m:r>
          </m:e>
          <m:sup>
            <m:r>
              <m:rPr>
                <m:sty m:val="p"/>
              </m:rPr>
              <m:t>∘</m:t>
            </m:r>
          </m:sup>
        </m:sSup>
      </m:oMath>
      <w:r>
        <w:t xml:space="preserve">C for 10 s (denaturation),</w:t>
      </w:r>
      <w:r>
        <w:t xml:space="preserve"> </w:t>
      </w:r>
      <m:oMath>
        <m:sSup>
          <m:e>
            <m:r>
              <m:t>61</m:t>
            </m:r>
          </m:e>
          <m:sup>
            <m:r>
              <m:rPr>
                <m:sty m:val="p"/>
              </m:rPr>
              <m:t>∘</m:t>
            </m:r>
          </m:sup>
        </m:sSup>
      </m:oMath>
      <w:r>
        <w:t xml:space="preserve">C</w:t>
      </w:r>
      <w:r>
        <w:t xml:space="preserve"> </w:t>
      </w:r>
      <w:r>
        <w:t xml:space="preserve">for 20 s (annealing), and</w:t>
      </w:r>
      <w:r>
        <w:t xml:space="preserve"> </w:t>
      </w:r>
      <m:oMath>
        <m:sSup>
          <m:e>
            <m:r>
              <m:t>72</m:t>
            </m:r>
          </m:e>
          <m:sup>
            <m:r>
              <m:rPr>
                <m:sty m:val="p"/>
              </m:rPr>
              <m:t>∘</m:t>
            </m:r>
          </m:sup>
        </m:sSup>
      </m:oMath>
      <w:r>
        <w:t xml:space="preserve">C for 20 s (extension); and</w:t>
      </w:r>
      <w:r>
        <w:t xml:space="preserve"> </w:t>
      </w:r>
      <m:oMath>
        <m:sSup>
          <m:e>
            <m:r>
              <m:t>72</m:t>
            </m:r>
          </m:e>
          <m:sup>
            <m:r>
              <m:rPr>
                <m:sty m:val="p"/>
              </m:rP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(22,23)</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bookmarkEnd w:id="25"/>
    <w:bookmarkStart w:id="26"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(24)</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(25)</w:t>
      </w:r>
      <w:r>
        <w:t xml:space="preserve">. Taxonomic assignment was performed</w:t>
      </w:r>
      <w:r>
        <w:t xml:space="preserve"> </w:t>
      </w:r>
      <w:r>
        <w:t xml:space="preserve">using the Ribosomal Database Project naive Bayesian classifier</w:t>
      </w:r>
      <w:r>
        <w:t xml:space="preserve"> </w:t>
      </w:r>
      <w:r>
        <w:t xml:space="preserve">(26)</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(27)</w:t>
      </w:r>
      <w:r>
        <w:t xml:space="preserve">.</w:t>
      </w:r>
      <w:r>
        <w:t xml:space="preserve"> </w:t>
      </w:r>
      <w:r>
        <w:t xml:space="preserve">Decontam identified 16 potential contaminants based</w:t>
      </w:r>
      <w:r>
        <w:t xml:space="preserve"> </w:t>
      </w:r>
      <w:r>
        <w:t xml:space="preserve">on prevalence and frequency. Visual inspection of abundance-concentration</w:t>
      </w:r>
      <w:r>
        <w:t xml:space="preserve"> </w:t>
      </w:r>
      <w:r>
        <w:t xml:space="preserve">plots indicated that 9 of these were likely contaminants and these</w:t>
      </w:r>
      <w:r>
        <w:t xml:space="preserve"> </w:t>
      </w:r>
      <w:r>
        <w:t xml:space="preserve">ASVs were removed. Amplicon sequence variants that were assigned chloroplast taxonomy were removed prior to analysis.</w:t>
      </w:r>
    </w:p>
    <w:bookmarkEnd w:id="26"/>
    <w:bookmarkStart w:id="27"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(24)</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w:t>
      </w:r>
      <w:r>
        <w:t xml:space="preserve"> </w:t>
      </w:r>
      <w:r>
        <w:t xml:space="preserve">response to selection, we tested a difference in slopes between the positive</w:t>
      </w:r>
      <w:r>
        <w:t xml:space="preserve"> </w:t>
      </w:r>
      <w:r>
        <w:t xml:space="preserve">and neutral 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the difference of slopes between</w:t>
      </w:r>
      <w:r>
        <w:t xml:space="preserve"> </w:t>
      </w:r>
      <w:r>
        <w:t xml:space="preserve">the positive and neutral treatments by</w:t>
      </w:r>
      <w:r>
        <w:t xml:space="preserve"> </w:t>
      </w:r>
      <w:r>
        <w:t xml:space="preserve">fitting two nested models with and without the interaction between treatment</w:t>
      </w:r>
      <w:r>
        <w:t xml:space="preserve"> </w:t>
      </w:r>
      <w:r>
        <w:t xml:space="preserve">and passage using</w:t>
      </w:r>
      <w:r>
        <w:t xml:space="preserve"> </w:t>
      </w:r>
      <w:r>
        <w:t xml:space="preserve">‘</w:t>
      </w:r>
      <w:r>
        <w:t xml:space="preserve">lm</w:t>
      </w:r>
      <w:r>
        <w:t xml:space="preserve">’</w:t>
      </w:r>
      <w:r>
        <w:t xml:space="preserve">. We compared these</w:t>
      </w:r>
      <w:r>
        <w:t xml:space="preserve"> </w:t>
      </w:r>
      <w:r>
        <w:t xml:space="preserve">models using an F-test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with the interaction term to estimate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CH</w:t>
      </w:r>
      <w:r>
        <w:rPr>
          <w:vertAlign w:val="subscript"/>
        </w:rPr>
        <w:t xml:space="preserve">4</w:t>
      </w:r>
      <w:r>
        <w:t xml:space="preserve"> </w:t>
      </w:r>
      <w:r>
        <w:t xml:space="preserve">oxidation rate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offspring on mid-parent</w:t>
      </w:r>
      <w:r>
        <w:t xml:space="preserve"> </w:t>
      </w:r>
      <w:r>
        <w:t xml:space="preserve">(28)</w:t>
      </w:r>
      <w:r>
        <w:t xml:space="preserve">. The mid-parent was the</w:t>
      </w:r>
      <w:r>
        <w:t xml:space="preserve"> </w:t>
      </w:r>
      <w:r>
        <w:t xml:space="preserve">mean for all three selected jars and the offspring was the CH</w:t>
      </w:r>
      <w:r>
        <w:rPr>
          <w:vertAlign w:val="subscript"/>
        </w:rPr>
        <w:t xml:space="preserve">4</w:t>
      </w:r>
      <w:r>
        <w:t xml:space="preserve"> </w:t>
      </w:r>
      <w:r>
        <w:t xml:space="preserve">oxidation rate for each jar produced by those parents. First, we tested if there was an effect of treatment</w:t>
      </w:r>
      <w:r>
        <w:t xml:space="preserve"> </w:t>
      </w:r>
      <w:r>
        <w:t xml:space="preserve">on the heritability estimate. We compared nested models with and without treatment using an F-test</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was estimated using the method from</w:t>
      </w:r>
      <w:r>
        <w:t xml:space="preserve"> </w:t>
      </w:r>
      <w:r>
        <w:t xml:space="preserve">(29)</w:t>
      </w:r>
      <w:r>
        <w:t xml:space="preserve"> </w:t>
      </w:r>
      <w:r>
        <w:t xml:space="preserve">with a subsample</w:t>
      </w:r>
      <w:r>
        <w:t xml:space="preserve"> </w:t>
      </w:r>
      <w:r>
        <w:t xml:space="preserve">size of 177,127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(30)</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177,127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(30,31)</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(30,32)</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(30,32)</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keeping ASVs that lacked a family-level taxonomic</w:t>
      </w:r>
      <w:r>
        <w:t xml:space="preserve"> </w:t>
      </w:r>
      <w:r>
        <w:t xml:space="preserve">assignment by grouping them at a higher level. We</w:t>
      </w:r>
      <w:r>
        <w:t xml:space="preserve"> </w:t>
      </w:r>
      <w:r>
        <w:t xml:space="preserve">then subset the samples in Passage 5 and removed all families with a prevalence</w:t>
      </w:r>
      <w:r>
        <w:t xml:space="preserve"> </w:t>
      </w:r>
      <w:r>
        <w:t xml:space="preserve">of less than 10% in either treatment. We used three methods for testing differential abundance: ANCOM-II, ALDEx2, and CORNCOB. We then</w:t>
      </w:r>
      <w:r>
        <w:t xml:space="preserve"> </w:t>
      </w:r>
      <w:r>
        <w:t xml:space="preserve">identified the consensus taxa that were significant</w:t>
      </w:r>
      <w:r>
        <w:t xml:space="preserve"> </w:t>
      </w:r>
      <w:r>
        <w:t xml:space="preserve">with all three tests and plotted their 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(33,34)</w:t>
      </w:r>
      <w:r>
        <w:t xml:space="preserve">. For ALDEx2, 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 used an effect size of</w:t>
      </w:r>
      <w:r>
        <w:t xml:space="preserve"> </w:t>
      </w:r>
      <w:r>
        <w:t xml:space="preserve">1 as our significance threshold</w:t>
      </w:r>
      <w:r>
        <w:t xml:space="preserve"> </w:t>
      </w:r>
      <w:r>
        <w:t xml:space="preserve">(35)</w:t>
      </w:r>
      <w:r>
        <w:t xml:space="preserve">. 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(36)</w:t>
      </w:r>
      <w:r>
        <w:t xml:space="preserve">. Lastly, to test differentially abundant methanotrophs, we subset all ASVs within methanotrophic families and tested their differential abundance aggregated at the family and genus level using</w:t>
      </w:r>
      <w:r>
        <w:t xml:space="preserve"> </w:t>
      </w:r>
      <w:r>
        <w:t xml:space="preserve">‘</w:t>
      </w:r>
      <w:r>
        <w:t xml:space="preserve">corncob</w:t>
      </w:r>
      <w:r>
        <w:t xml:space="preserve">’</w:t>
      </w:r>
      <w:r>
        <w:t xml:space="preserve">.</w:t>
      </w:r>
    </w:p>
    <w:bookmarkEnd w:id="27"/>
    <w:bookmarkEnd w:id="28"/>
    <w:bookmarkStart w:id="33" w:name="results"/>
    <w:p>
      <w:pPr>
        <w:pStyle w:val="Heading1"/>
      </w:pPr>
      <w:r>
        <w:t xml:space="preserve">Results</w:t>
      </w:r>
    </w:p>
    <w:bookmarkStart w:id="29" w:name="Xc2d21a0d19c3188cf98e037054740438f3ba714"/>
    <w:p>
      <w:pPr>
        <w:pStyle w:val="Heading2"/>
      </w:pPr>
      <w:r>
        <w:t xml:space="preserve">Response to selection on methane oxidation rate</w:t>
      </w:r>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 1.86, p = 3.85).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p>
      <w:pPr>
        <w:pStyle w:val="TextBody"/>
      </w:pPr>
      <w:r>
        <w:t xml:space="preserve">We estimated the proportion of variation in methane oxidation due to variation</w:t>
      </w:r>
      <w:r>
        <w:t xml:space="preserve"> </w:t>
      </w:r>
      <w:r>
        <w:t xml:space="preserve">in the microbiome as the regression of offspring on mid-parent</w:t>
      </w:r>
      <w:r>
        <w:t xml:space="preserve"> </w:t>
      </w:r>
      <w:r>
        <w:t xml:space="preserve">(Figure 2). Offspring CH</w:t>
      </w:r>
      <w:r>
        <w:rPr>
          <w:vertAlign w:val="subscript"/>
        </w:rPr>
        <w:t xml:space="preserve">4</w:t>
      </w:r>
      <w:r>
        <w:t xml:space="preserve"> </w:t>
      </w:r>
      <w:r>
        <w:t xml:space="preserve">oxidation rates were</w:t>
      </w:r>
      <w:r>
        <w:t xml:space="preserve"> </w:t>
      </w:r>
      <w:r>
        <w:t xml:space="preserve">correlated with parental CH</w:t>
      </w:r>
      <w:r>
        <w:rPr>
          <w:vertAlign w:val="subscript"/>
        </w:rPr>
        <w:t xml:space="preserve">4</w:t>
      </w:r>
      <w:r>
        <w:t xml:space="preserve"> </w:t>
      </w:r>
      <w:r>
        <w:t xml:space="preserve">oxidation rates in both the Positive treatment</w:t>
      </w:r>
      <w:r>
        <w:t xml:space="preserve"> </w:t>
      </w:r>
      <w:r>
        <w:t xml:space="preserve">(slope = 1.08, SE = 0.35, t = 3.10, p = 0.00) and the Neutral treatment (slope = -0.58, SE = 0.29, t = -2.02, p = 0.05).</w:t>
      </w:r>
    </w:p>
    <w:bookmarkEnd w:id="29"/>
    <w:bookmarkStart w:id="30" w:name="taxonomic-richness"/>
    <w:p>
      <w:pPr>
        <w:pStyle w:val="Heading2"/>
      </w:pPr>
      <w:r>
        <w:t xml:space="preserve">Taxonomic richness</w:t>
      </w:r>
    </w:p>
    <w:p>
      <w:pPr>
        <w:pStyle w:val="FirstParagraph"/>
      </w:pPr>
      <w:r>
        <w:t xml:space="preserve">Median ASV richness decreased from 3426.2 (783.9) in Passage 2 to 1577.2 (156.8)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0.4).</w:t>
      </w:r>
    </w:p>
    <w:bookmarkEnd w:id="30"/>
    <w:bookmarkStart w:id="31"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55.8%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2.35, p = 0.013)</w:t>
      </w:r>
    </w:p>
    <w:bookmarkEnd w:id="31"/>
    <w:bookmarkStart w:id="32" w:name="taxa-that-responded-to-selection"/>
    <w:p>
      <w:pPr>
        <w:pStyle w:val="Heading2"/>
      </w:pP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12</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(37)</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(38)</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(39)</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Cs/>
          <w:i/>
        </w:rPr>
        <w:t xml:space="preserve">Fimbriimonadaceae</w:t>
      </w:r>
      <w:r>
        <w:t xml:space="preserve"> </w:t>
      </w:r>
      <w:r>
        <w:t xml:space="preserve">and an unclassified ASV from the order Armatimonadales</w:t>
      </w:r>
      <w:r>
        <w:t xml:space="preserve"> </w:t>
      </w:r>
      <w:r>
        <w:t xml:space="preserve">(40)</w:t>
      </w:r>
      <w:r>
        <w:t xml:space="preserve">.</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(41)</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they did not have an effect.</w:t>
      </w:r>
      <w:r>
        <w:t xml:space="preserve"> </w:t>
      </w:r>
      <w:r>
        <w:t xml:space="preserve">To do this, we subset all of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Positive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Positive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(43)</w:t>
      </w:r>
      <w:r>
        <w:t xml:space="preserve">. Based on this analysis,</w:t>
      </w:r>
      <w:r>
        <w:t xml:space="preserve"> </w:t>
      </w:r>
      <w:r>
        <w:t xml:space="preserve">it appears that no methanotrophs were enriched in the Positive treatment.</w:t>
      </w:r>
    </w:p>
    <w:bookmarkEnd w:id="32"/>
    <w:bookmarkEnd w:id="33"/>
    <w:bookmarkStart w:id="34" w:name="discussion"/>
    <w:p>
      <w:pPr>
        <w:pStyle w:val="Heading1"/>
      </w:pPr>
      <w:r>
        <w:t xml:space="preserve">Discussion</w:t>
      </w:r>
    </w:p>
    <w:p>
      <w:pPr>
        <w:pStyle w:val="FirstParagraph"/>
      </w:pPr>
      <w:r>
        <w:t xml:space="preserve">While it is well understood that the microbiome mediates a variety of ecosystem</w:t>
      </w:r>
      <w:r>
        <w:t xml:space="preserve"> </w:t>
      </w:r>
      <w:r>
        <w:t xml:space="preserve">functions, a fundamental question in microbial ecology is whether we need to</w:t>
      </w:r>
      <w:r>
        <w:t xml:space="preserve"> </w:t>
      </w:r>
      <w:r>
        <w:t xml:space="preserve">understand variation in the composition of microbiomes to understand variation</w:t>
      </w:r>
      <w:r>
        <w:t xml:space="preserve"> </w:t>
      </w:r>
      <w:r>
        <w:t xml:space="preserve">in the rate of ecosystem functions</w:t>
      </w:r>
      <w:r>
        <w:t xml:space="preserve"> </w:t>
      </w:r>
      <w:r>
        <w:t xml:space="preserve">(1,2)</w:t>
      </w:r>
      <w:r>
        <w:t xml:space="preserve">. To address this question, we performed</w:t>
      </w:r>
      <w:r>
        <w:t xml:space="preserve"> </w:t>
      </w:r>
      <w:r>
        <w:t xml:space="preserve">artificial ecosystem selection on soil microbiomes by selecting for ecosystems</w:t>
      </w:r>
      <w:r>
        <w:t xml:space="preserve"> </w:t>
      </w:r>
      <w:r>
        <w:t xml:space="preserve">with high methane oxidation rates. We found that there was a significant</w:t>
      </w:r>
      <w:r>
        <w:t xml:space="preserve"> </w:t>
      </w:r>
      <w:r>
        <w:t xml:space="preserve">increase in methane oxidation rate as a response to selection. Each generation</w:t>
      </w:r>
      <w:r>
        <w:t xml:space="preserve"> </w:t>
      </w:r>
      <w:r>
        <w:t xml:space="preserve">of soil ecosystems was created from the same pool of sterile soil substrate and</w:t>
      </w:r>
      <w:r>
        <w:t xml:space="preserve"> </w:t>
      </w:r>
      <w:r>
        <w:t xml:space="preserve">a small inoculum from the previous generation. Therefore, it is unlikely that</w:t>
      </w:r>
      <w:r>
        <w:t xml:space="preserve"> </w:t>
      </w:r>
      <w:r>
        <w:t xml:space="preserve">this response to selection was due to changes in the abiotic conditions of the</w:t>
      </w:r>
      <w:r>
        <w:t xml:space="preserve"> </w:t>
      </w:r>
      <w:r>
        <w:t xml:space="preserve">ecosystem. In addition, the response was only observed in the Positive</w:t>
      </w:r>
      <w:r>
        <w:t xml:space="preserve"> </w:t>
      </w:r>
      <w:r>
        <w:t xml:space="preserve">treatment and not in the Neutral treatment, which shows that this was not a</w:t>
      </w:r>
      <w:r>
        <w:t xml:space="preserve"> </w:t>
      </w:r>
      <w:r>
        <w:t xml:space="preserve">side effect of passaging in jars. Therefore, we conclude that variation in the</w:t>
      </w:r>
      <w:r>
        <w:t xml:space="preserve"> </w:t>
      </w:r>
      <w:r>
        <w:t xml:space="preserve">microbiome can generate variation in ecosystem functions independent of the</w:t>
      </w:r>
      <w:r>
        <w:t xml:space="preserve"> </w:t>
      </w:r>
      <w:r>
        <w:t xml:space="preserve">environment.</w:t>
      </w:r>
    </w:p>
    <w:p>
      <w:pPr>
        <w:pStyle w:val="TextBody"/>
      </w:pPr>
      <w:r>
        <w:t xml:space="preserve">In quantitative genetics, heritability quantifies the degree to which variation</w:t>
      </w:r>
      <w:r>
        <w:t xml:space="preserve"> </w:t>
      </w:r>
      <w:r>
        <w:t xml:space="preserve">in a trait is due to variation in genotype</w:t>
      </w:r>
      <w:r>
        <w:t xml:space="preserve"> </w:t>
      </w:r>
      <w:r>
        <w:t xml:space="preserve">(28)</w:t>
      </w:r>
      <w:r>
        <w:t xml:space="preserve">. This is often estimated as the</w:t>
      </w:r>
      <w:r>
        <w:t xml:space="preserve"> </w:t>
      </w:r>
      <w:r>
        <w:t xml:space="preserve">regression of offspring phenotype on parental phenotype. Thus, a significant</w:t>
      </w:r>
      <w:r>
        <w:t xml:space="preserve"> </w:t>
      </w:r>
      <w:r>
        <w:t xml:space="preserve">correlation between the trait values of parents and offspring indicates that</w:t>
      </w:r>
      <w:r>
        <w:t xml:space="preserve"> </w:t>
      </w:r>
      <w:r>
        <w:t xml:space="preserve">the trait is at least partially genetically determined. To estimate the</w:t>
      </w:r>
      <w:r>
        <w:t xml:space="preserve"> </w:t>
      </w:r>
      <w:r>
        <w:t xml:space="preserve">variation in an ecosystem trait due to variation in the microbiome, we can</w:t>
      </w:r>
      <w:r>
        <w:t xml:space="preserve"> </w:t>
      </w:r>
      <w:r>
        <w:t xml:space="preserve">perform a similar estimation by comparing the trait values of the</w:t>
      </w:r>
      <w:r>
        <w:t xml:space="preserve"> </w:t>
      </w:r>
      <w:r>
        <w:t xml:space="preserve">“</w:t>
      </w:r>
      <w:r>
        <w:t xml:space="preserve">offspring</w:t>
      </w:r>
      <w:r>
        <w:t xml:space="preserve">”</w:t>
      </w:r>
      <w:r>
        <w:t xml:space="preserve"> </w:t>
      </w:r>
      <w:r>
        <w:t xml:space="preserve">jars in one generation to the trait value of the</w:t>
      </w:r>
      <w:r>
        <w:t xml:space="preserve"> </w:t>
      </w:r>
      <w:r>
        <w:t xml:space="preserve">“</w:t>
      </w:r>
      <w:r>
        <w:t xml:space="preserve">parental</w:t>
      </w:r>
      <w:r>
        <w:t xml:space="preserve">”</w:t>
      </w:r>
      <w:r>
        <w:t xml:space="preserve"> </w:t>
      </w:r>
      <w:r>
        <w:t xml:space="preserve">jars chosen for</w:t>
      </w:r>
      <w:r>
        <w:t xml:space="preserve"> </w:t>
      </w:r>
      <w:r>
        <w:t xml:space="preserve">selection in the previous generation. This</w:t>
      </w:r>
      <w:r>
        <w:t xml:space="preserve"> </w:t>
      </w:r>
      <w:r>
        <w:t xml:space="preserve">“</w:t>
      </w:r>
      <w:r>
        <w:t xml:space="preserve">ecosystem heritability</w:t>
      </w:r>
      <w:r>
        <w:t xml:space="preserve">”</w:t>
      </w:r>
      <w:r>
        <w:t xml:space="preserve"> </w:t>
      </w:r>
      <w:r>
        <w:t xml:space="preserve">then</w:t>
      </w:r>
      <w:r>
        <w:t xml:space="preserve"> </w:t>
      </w:r>
      <w:r>
        <w:t xml:space="preserve">quantifies how much of the variation in ecosystem function is due to variation</w:t>
      </w:r>
      <w:r>
        <w:t xml:space="preserve"> </w:t>
      </w:r>
      <w:r>
        <w:t xml:space="preserve">in the microbiome</w:t>
      </w:r>
      <w:r>
        <w:t xml:space="preserve"> </w:t>
      </w:r>
      <w:r>
        <w:t xml:space="preserve">(12,13,44)</w:t>
      </w:r>
      <w:r>
        <w:t xml:space="preserve">.</w:t>
      </w:r>
    </w:p>
    <w:p>
      <w:pPr>
        <w:pStyle w:val="TextBody"/>
      </w:pPr>
      <w:r>
        <w:t xml:space="preserve">We quantified how much of the variation in methane oxidation</w:t>
      </w:r>
      <w:r>
        <w:t xml:space="preserve"> </w:t>
      </w:r>
      <w:r>
        <w:t xml:space="preserve">rate was due to variation in the microbiome by regressing the methane oxidation</w:t>
      </w:r>
      <w:r>
        <w:t xml:space="preserve"> </w:t>
      </w:r>
      <w:r>
        <w:t xml:space="preserve">rates of the 12 offspring jars against the mean methane oxidation rate of the</w:t>
      </w:r>
      <w:r>
        <w:t xml:space="preserve"> </w:t>
      </w:r>
      <w:r>
        <w:t xml:space="preserve">three jars selected in the previous generation</w:t>
      </w:r>
      <w:r>
        <w:t xml:space="preserve"> </w:t>
      </w:r>
      <w:r>
        <w:t xml:space="preserve">We observed a heritability of 1.08 (add SE/CI) for the</w:t>
      </w:r>
      <w:r>
        <w:t xml:space="preserve"> </w:t>
      </w:r>
      <w:r>
        <w:t xml:space="preserve">Positive selection treatment.</w:t>
      </w:r>
      <w:r>
        <w:t xml:space="preserve"> </w:t>
      </w:r>
      <w:r>
        <w:t xml:space="preserve">A heritability of 1 would indicate that a trait is entirely</w:t>
      </w:r>
      <w:r>
        <w:t xml:space="preserve"> </w:t>
      </w:r>
      <w:r>
        <w:t xml:space="preserve">genetically determined and thus offspring would have the exact same value of</w:t>
      </w:r>
      <w:r>
        <w:t xml:space="preserve"> </w:t>
      </w:r>
      <w:r>
        <w:t xml:space="preserve">that trait as their parents. A heritability greater than 1 indicates that</w:t>
      </w:r>
      <w:r>
        <w:t xml:space="preserve"> </w:t>
      </w:r>
      <w:r>
        <w:t xml:space="preserve">offspring exceed the value of their parents. This is unlikely in the context of</w:t>
      </w:r>
      <w:r>
        <w:t xml:space="preserve"> </w:t>
      </w:r>
      <w:r>
        <w:t xml:space="preserve">a genomic trait, but microbiomes are not limited by the constraints of genomes</w:t>
      </w:r>
      <w:r>
        <w:t xml:space="preserve"> </w:t>
      </w:r>
      <w:r>
        <w:t xml:space="preserve">because microbes are not alleles and communities are not chromosomes.</w:t>
      </w:r>
      <w:r>
        <w:t xml:space="preserve"> </w:t>
      </w:r>
      <w:r>
        <w:t xml:space="preserve">Therefore, complementarity within a microbial community could result in</w:t>
      </w:r>
      <w:r>
        <w:t xml:space="preserve"> </w:t>
      </w:r>
      <w:r>
        <w:t xml:space="preserve">offspring communities that exceed the trait values of their</w:t>
      </w:r>
      <w:r>
        <w:t xml:space="preserve"> </w:t>
      </w:r>
      <w:r>
        <w:t xml:space="preserve">“</w:t>
      </w:r>
      <w:r>
        <w:t xml:space="preserve">parent</w:t>
      </w:r>
      <w:r>
        <w:t xml:space="preserve">”</w:t>
      </w:r>
      <w:r>
        <w:t xml:space="preserve"> </w:t>
      </w:r>
      <w:r>
        <w:t xml:space="preserve">ecosystems. The large heritability we observed indicates that microbiome</w:t>
      </w:r>
      <w:r>
        <w:t xml:space="preserve"> </w:t>
      </w:r>
      <w:r>
        <w:t xml:space="preserve">variation is a large contributor to variation in methane oxidation in this</w:t>
      </w:r>
      <w:r>
        <w:t xml:space="preserve"> </w:t>
      </w:r>
      <w:r>
        <w:t xml:space="preserve">experimental system.</w:t>
      </w:r>
    </w:p>
    <w:p>
      <w:pPr>
        <w:pStyle w:val="TextBody"/>
      </w:pPr>
      <w:r>
        <w:t xml:space="preserve">Next, we wanted to address what aspects of the microbiome, in terms of alpha</w:t>
      </w:r>
      <w:r>
        <w:t xml:space="preserve"> </w:t>
      </w:r>
      <w:r>
        <w:t xml:space="preserve">diversity, beta diversity, or individual taxa, explain this contribution of the</w:t>
      </w:r>
      <w:r>
        <w:t xml:space="preserve"> </w:t>
      </w:r>
      <w:r>
        <w:t xml:space="preserve">microbiome to variation in methane oxidation rate. There are three ways that</w:t>
      </w:r>
      <w:r>
        <w:t xml:space="preserve"> </w:t>
      </w:r>
      <w:r>
        <w:t xml:space="preserve">the microbiome could respond to selection in this experiment: gain or loss of</w:t>
      </w:r>
      <w:r>
        <w:t xml:space="preserve"> </w:t>
      </w:r>
      <w:r>
        <w:t xml:space="preserve">species, changes in the relative abundances of species, or changes within the</w:t>
      </w:r>
      <w:r>
        <w:t xml:space="preserve"> </w:t>
      </w:r>
      <w:r>
        <w:t xml:space="preserve">genomes of the constituent species. Using 16S rRNA gene sequences, we are</w:t>
      </w:r>
      <w:r>
        <w:t xml:space="preserve"> </w:t>
      </w:r>
      <w:r>
        <w:t xml:space="preserve">unable to address the third possibility of whether taxa in this experiment</w:t>
      </w:r>
      <w:r>
        <w:t xml:space="preserve"> </w:t>
      </w:r>
      <w:r>
        <w:t xml:space="preserve">could have evolved changes in their genomes as a result of selection.</w:t>
      </w:r>
      <w:r>
        <w:t xml:space="preserve"> </w:t>
      </w:r>
      <w:r>
        <w:t xml:space="preserve">Therefore, we will focus on the first two possibilities.</w:t>
      </w:r>
    </w:p>
    <w:p>
      <w:pPr>
        <w:pStyle w:val="TextBody"/>
      </w:pPr>
      <w:r>
        <w:t xml:space="preserve">Richness at the ASV level did not vary between the two treatments and there</w:t>
      </w:r>
      <w:r>
        <w:t xml:space="preserve"> </w:t>
      </w:r>
      <w:r>
        <w:t xml:space="preserve">were relatively few taxa gained or lost in the Positive selection treatment and</w:t>
      </w:r>
      <w:r>
        <w:t xml:space="preserve"> </w:t>
      </w:r>
      <w:r>
        <w:t xml:space="preserve">none of these were prevalent across the 12 jars in passage 5. Therefore, the</w:t>
      </w:r>
      <w:r>
        <w:t xml:space="preserve"> </w:t>
      </w:r>
      <w:r>
        <w:t xml:space="preserve">gain or loss of species is unlikely to explain the increase in methane</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methane oxidation rate, which suggests that changes in the</w:t>
      </w:r>
      <w:r>
        <w:t xml:space="preserve"> </w:t>
      </w:r>
      <w:r>
        <w:t xml:space="preserve">relative abundance of taxa could explain the response to selection.</w:t>
      </w:r>
    </w:p>
    <w:p>
      <w:pPr>
        <w:pStyle w:val="TextBody"/>
      </w:pPr>
      <w:r>
        <w:t xml:space="preserve">Even though we observed an increase in methane oxidation rate in the Positive</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methane consumption is not a common trait among microbes</w:t>
      </w:r>
      <w:r>
        <w:t xml:space="preserve"> </w:t>
      </w:r>
      <w:r>
        <w:t xml:space="preserve">and that it is often assumed that the rate of an ecosystem function is</w:t>
      </w:r>
      <w:r>
        <w:t xml:space="preserve"> </w:t>
      </w:r>
      <w:r>
        <w:t xml:space="preserve">limited by the final enzymatic step in a metabolic pathway</w:t>
      </w:r>
      <w:r>
        <w:t xml:space="preserve"> </w:t>
      </w:r>
      <w:r>
        <w:t xml:space="preserve">(7)</w:t>
      </w:r>
      <w:r>
        <w:t xml:space="preserve">. In certain ecosystems, methane production and consumption are</w:t>
      </w:r>
      <w:r>
        <w:t xml:space="preserve"> </w:t>
      </w:r>
      <w:r>
        <w:t xml:space="preserve">correlated with the abundance of methanogens and methanotrophs as estimated from marker</w:t>
      </w:r>
      <w:r>
        <w:t xml:space="preserve"> </w:t>
      </w:r>
      <w:r>
        <w:t xml:space="preserve">genes</w:t>
      </w:r>
      <w:r>
        <w:t xml:space="preserve"> </w:t>
      </w:r>
      <w:r>
        <w:t xml:space="preserve">(19)</w:t>
      </w:r>
      <w:r>
        <w:t xml:space="preserve">. However, it does not appear generally true that the rate of an</w:t>
      </w:r>
      <w:r>
        <w:t xml:space="preserve"> </w:t>
      </w:r>
      <w:r>
        <w:t xml:space="preserve">ecosystem function is limited by the abundance of the gene that encodes the</w:t>
      </w:r>
      <w:r>
        <w:t xml:space="preserve"> </w:t>
      </w:r>
      <w:r>
        <w:t xml:space="preserve">final step in that pathway</w:t>
      </w:r>
      <w:r>
        <w:t xml:space="preserve"> </w:t>
      </w:r>
      <w:r>
        <w:t xml:space="preserve">(7)</w:t>
      </w:r>
      <w:r>
        <w:t xml:space="preserve">. Our results suggest that the rate of methane oxidation can be altered by</w:t>
      </w:r>
      <w:r>
        <w:t xml:space="preserve"> </w:t>
      </w:r>
      <w:r>
        <w:t xml:space="preserve">non-methanotrophs, perhaps through ecological interactions with methanotrophic</w:t>
      </w:r>
      <w:r>
        <w:t xml:space="preserve"> </w:t>
      </w:r>
      <w:r>
        <w:t xml:space="preserve">species.</w:t>
      </w:r>
    </w:p>
    <w:p>
      <w:pPr>
        <w:pStyle w:val="TextBody"/>
      </w:pPr>
      <w:r>
        <w:t xml:space="preserve">Another important question is whether selection at the ecosystem scale resulted</w:t>
      </w:r>
      <w:r>
        <w:t xml:space="preserve"> </w:t>
      </w:r>
      <w:r>
        <w:t xml:space="preserve">in within-strain evolution. Using 16S rRNA gene sequencing we are unable to</w:t>
      </w:r>
      <w:r>
        <w:t xml:space="preserve"> </w:t>
      </w:r>
      <w:r>
        <w:t xml:space="preserve">resolve genomic changes within taxa that may have undergone evolution.</w:t>
      </w:r>
      <w:r>
        <w:t xml:space="preserve"> </w:t>
      </w:r>
      <w:r>
        <w:t xml:space="preserve">Therefore, it is possible that the response to selection was driven by changes</w:t>
      </w:r>
      <w:r>
        <w:t xml:space="preserve"> </w:t>
      </w:r>
      <w:r>
        <w:t xml:space="preserve">within the genomes of methanotrophs. But given</w:t>
      </w:r>
      <w:r>
        <w:t xml:space="preserve"> </w:t>
      </w:r>
      <w:r>
        <w:t xml:space="preserve">the slow growth rate of methanotrophs, often requiring weeks to years of</w:t>
      </w:r>
      <w:r>
        <w:t xml:space="preserve"> </w:t>
      </w:r>
      <w:r>
        <w:t xml:space="preserve">serial batch culturing for isolation, this seems like an unlikely explanation</w:t>
      </w:r>
      <w:r>
        <w:t xml:space="preserve"> </w:t>
      </w:r>
      <w:r>
        <w:t xml:space="preserve">(45–47)</w:t>
      </w:r>
      <w:r>
        <w:t xml:space="preserve">. Future</w:t>
      </w:r>
      <w:r>
        <w:t xml:space="preserve"> </w:t>
      </w:r>
      <w:r>
        <w:t xml:space="preserve">work could analyze an artificial ecosystem selection experiment using</w:t>
      </w:r>
      <w:r>
        <w:t xml:space="preserve"> </w:t>
      </w:r>
      <w:r>
        <w:t xml:space="preserve">genome-resolved metagenomics to try to detect strain-level changes in the</w:t>
      </w:r>
      <w:r>
        <w:t xml:space="preserve"> </w:t>
      </w:r>
      <w:r>
        <w:t xml:space="preserve">constituent taxa. However, reconstructing genomes from in situ soil samples</w:t>
      </w:r>
      <w:r>
        <w:t xml:space="preserve"> </w:t>
      </w:r>
      <w:r>
        <w:t xml:space="preserve">has been difficult to achieve and may require enrichment techniques, particularly for methanotrophs which are a relatively rare component of the soil microbiome</w:t>
      </w:r>
      <w:r>
        <w:t xml:space="preserve"> </w:t>
      </w:r>
      <w:r>
        <w:t xml:space="preserve">(48)</w:t>
      </w:r>
      <w:r>
        <w:t xml:space="preserve">.</w:t>
      </w:r>
      <w:r>
        <w:t xml:space="preserve"> </w:t>
      </w:r>
      <w:r>
        <w:t xml:space="preserve">If these challenges could be overcome for soil metagenomics, we could begin to evaluate whether ecosystem selection results in strain-level evolution or enriches for certain metabolic pathways within the microbiome.</w:t>
      </w:r>
    </w:p>
    <w:p>
      <w:pPr>
        <w:pStyle w:val="TextBody"/>
      </w:pPr>
      <w:r>
        <w:t xml:space="preserve">As more is understood about the role of the microbiome in regulating ecosystem</w:t>
      </w:r>
      <w:r>
        <w:t xml:space="preserve"> </w:t>
      </w:r>
      <w:r>
        <w:t xml:space="preserve">functions and the specific taxa involved, more detailed experiments could</w:t>
      </w:r>
      <w:r>
        <w:t xml:space="preserve"> </w:t>
      </w:r>
      <w:r>
        <w:t xml:space="preserve">selectively add or remove important taxa or manipulate their relative abundance</w:t>
      </w:r>
      <w:r>
        <w:t xml:space="preserve"> </w:t>
      </w:r>
      <w:r>
        <w:t xml:space="preserve">to start to estimate the quantitative relationship between specific taxa and</w:t>
      </w:r>
      <w:r>
        <w:t xml:space="preserve"> </w:t>
      </w:r>
      <w:r>
        <w:t xml:space="preserve">the rate of an ecosystem function. Both our differential abundance analysis and</w:t>
      </w:r>
      <w:r>
        <w:t xml:space="preserve"> </w:t>
      </w:r>
      <w:r>
        <w:t xml:space="preserve">this reductionist approach to manipulating individual taxa assumes that taxa</w:t>
      </w:r>
      <w:r>
        <w:t xml:space="preserve"> </w:t>
      </w:r>
      <w:r>
        <w:t xml:space="preserve">act individually on ecosystem function. However, it is much more likely that</w:t>
      </w:r>
      <w:r>
        <w:t xml:space="preserve"> </w:t>
      </w:r>
      <w:r>
        <w:t xml:space="preserve">the microbiome affects the rate of ecosystem function through the interactions</w:t>
      </w:r>
      <w:r>
        <w:t xml:space="preserve"> </w:t>
      </w:r>
      <w:r>
        <w:t xml:space="preserve">of multiple taxa. We are unable to evaluate this possibility given our small</w:t>
      </w:r>
      <w:r>
        <w:t xml:space="preserve"> </w:t>
      </w:r>
      <w:r>
        <w:t xml:space="preserve">sample size, but future analyses with greater replication should test the</w:t>
      </w:r>
      <w:r>
        <w:t xml:space="preserve"> </w:t>
      </w:r>
      <w:r>
        <w:t xml:space="preserve">role of multiple taxa simultaneously by, for example, using machine learning</w:t>
      </w:r>
      <w:r>
        <w:t xml:space="preserve"> </w:t>
      </w:r>
      <w:r>
        <w:t xml:space="preserve">methods</w:t>
      </w:r>
      <w:r>
        <w:t xml:space="preserve"> </w:t>
      </w:r>
      <w:r>
        <w:t xml:space="preserve">(49)</w:t>
      </w:r>
      <w:r>
        <w:t xml:space="preserve">.</w:t>
      </w:r>
    </w:p>
    <w:p>
      <w:pPr>
        <w:pStyle w:val="TextBody"/>
      </w:pPr>
      <w:r>
        <w:t xml:space="preserve">A fundamental question in microbial ecology is whether variation in the</w:t>
      </w:r>
      <w:r>
        <w:t xml:space="preserve"> </w:t>
      </w:r>
      <w:r>
        <w:t xml:space="preserve">microbiome contributes to variation in ecosystem function. We performed</w:t>
      </w:r>
      <w:r>
        <w:t xml:space="preserve"> </w:t>
      </w:r>
      <w:r>
        <w:t xml:space="preserve">artificial ecosystem selection on soil methane oxidation rate to test the</w:t>
      </w:r>
      <w:r>
        <w:t xml:space="preserve"> </w:t>
      </w:r>
      <w:r>
        <w:t xml:space="preserve">relationship between microbiome variation and soil methane oxidation rate. We</w:t>
      </w:r>
      <w:r>
        <w:t xml:space="preserve"> </w:t>
      </w:r>
      <w:r>
        <w:t xml:space="preserve">observed a response to selection on soil methane oxidation rate and found a</w:t>
      </w:r>
      <w:r>
        <w:t xml:space="preserve"> </w:t>
      </w:r>
      <w:r>
        <w:t xml:space="preserve">high heritability for methane oxidation, which suggests that variation in the</w:t>
      </w:r>
      <w:r>
        <w:t xml:space="preserve"> </w:t>
      </w:r>
      <w:r>
        <w:t xml:space="preserve">microbiome contributes to variation in soil methane oxidation rate.</w:t>
      </w:r>
      <w:r>
        <w:t xml:space="preserve"> </w:t>
      </w:r>
      <w:r>
        <w:t xml:space="preserve">Surprisingly, we did not observe an increase in the relative of abundance of</w:t>
      </w:r>
      <w:r>
        <w:t xml:space="preserve"> </w:t>
      </w:r>
      <w:r>
        <w:t xml:space="preserve">methanotrophs as a response to selection. This suggests that the rate of methane</w:t>
      </w:r>
      <w:r>
        <w:t xml:space="preserve"> </w:t>
      </w:r>
      <w:r>
        <w:t xml:space="preserve">oxidation could be altered by</w:t>
      </w:r>
      <w:r>
        <w:t xml:space="preserve"> </w:t>
      </w:r>
      <w:r>
        <w:t xml:space="preserve">non-methanotrophs. Future research could estimate</w:t>
      </w:r>
      <w:r>
        <w:t xml:space="preserve"> </w:t>
      </w:r>
      <w:r>
        <w:t xml:space="preserve">heritability under greater environmental variation to understand how much of</w:t>
      </w:r>
      <w:r>
        <w:t xml:space="preserve"> </w:t>
      </w:r>
      <w:r>
        <w:t xml:space="preserve">the variation in methane oxidation rate is due to variation in the microbiome</w:t>
      </w:r>
      <w:r>
        <w:t xml:space="preserve"> </w:t>
      </w:r>
      <w:r>
        <w:t xml:space="preserve">in a natural ecosystem. In addition, future selection experiments could use</w:t>
      </w:r>
      <w:r>
        <w:t xml:space="preserve"> </w:t>
      </w:r>
      <w:r>
        <w:t xml:space="preserve">genome-resolved metagenomics to observe within-strain evolution and test</w:t>
      </w:r>
      <w:r>
        <w:t xml:space="preserve"> </w:t>
      </w:r>
      <w:r>
        <w:t xml:space="preserve">changes in the functional pathways of the microbiome as a response to selection</w:t>
      </w:r>
      <w:r>
        <w:t xml:space="preserve"> </w:t>
      </w:r>
      <w:r>
        <w:t xml:space="preserve">to determine what aspects of the microbiome explain this increase in oxidation</w:t>
      </w:r>
      <w:r>
        <w:t xml:space="preserve"> </w:t>
      </w:r>
      <w:r>
        <w:t xml:space="preserve">rate. This study demonstrates that soil methane oxidation rate can vary greatly</w:t>
      </w:r>
      <w:r>
        <w:t xml:space="preserve"> </w:t>
      </w:r>
      <w:r>
        <w:t xml:space="preserve">with variation in the microbiome and opens up future research opportunities to</w:t>
      </w:r>
      <w:r>
        <w:t xml:space="preserve"> </w:t>
      </w:r>
      <w:r>
        <w:t xml:space="preserve">establish a more detailed understanding of the relationship between the</w:t>
      </w:r>
      <w:r>
        <w:t xml:space="preserve"> </w:t>
      </w:r>
      <w:r>
        <w:t xml:space="preserve">microbiome and ecosystem function.</w:t>
      </w:r>
    </w:p>
    <w:bookmarkEnd w:id="34"/>
    <w:bookmarkStart w:id="35" w:name="acknowledgments"/>
    <w:p>
      <w:pPr>
        <w:pStyle w:val="Heading1"/>
      </w:pPr>
      <w:r>
        <w:t xml:space="preserve">Acknowledgments</w:t>
      </w:r>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w:t>
      </w:r>
    </w:p>
    <w:bookmarkEnd w:id="35"/>
    <w:bookmarkStart w:id="36" w:name="competing-interests"/>
    <w:p>
      <w:pPr>
        <w:pStyle w:val="Heading1"/>
      </w:pPr>
      <w:r>
        <w:t xml:space="preserve">Competing Interests</w:t>
      </w:r>
    </w:p>
    <w:p>
      <w:pPr>
        <w:pStyle w:val="FirstParagraph"/>
      </w:pPr>
      <w:r>
        <w:t xml:space="preserve">We declare we have no competing interests.</w:t>
      </w:r>
    </w:p>
    <w:bookmarkEnd w:id="36"/>
    <w:bookmarkStart w:id="39" w:name="data-availability-statement"/>
    <w:p>
      <w:pPr>
        <w:pStyle w:val="Heading1"/>
      </w:pPr>
      <w:r>
        <w:t xml:space="preserve">Data Availability Statement</w:t>
      </w:r>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bookmarkEnd w:id="39"/>
    <w:bookmarkStart w:id="40" w:name="supplement"/>
    <w:p>
      <w:pPr>
        <w:pStyle w:val="Heading1"/>
      </w:pPr>
      <w:r>
        <w:t xml:space="preserve">Supplement</w:t>
      </w:r>
    </w:p>
    <w:bookmarkEnd w:id="40"/>
    <w:bookmarkStart w:id="134" w:name="references"/>
    <w:p>
      <w:pPr>
        <w:pStyle w:val="Heading1"/>
      </w:pPr>
      <w:r>
        <w:t xml:space="preserve">References</w:t>
      </w:r>
    </w:p>
    <w:bookmarkStart w:id="133" w:name="refs"/>
    <w:bookmarkStart w:id="42" w:name="ref-conrad1996"/>
    <w:p>
      <w:pPr>
        <w:pStyle w:val="Bibliography"/>
      </w:pPr>
      <w:r>
        <w:t xml:space="preserve">1.</w:t>
      </w:r>
      <w:r>
        <w:t xml:space="preserve"> </w:t>
      </w:r>
      <w:r>
        <w:t xml:space="preserve">	</w:t>
      </w:r>
      <w:r>
        <w:t xml:space="preserve">Conrad R.</w:t>
      </w:r>
      <w:r>
        <w:t xml:space="preserve"> </w:t>
      </w:r>
      <w:hyperlink r:id="rId41">
        <w:r>
          <w:rPr>
            <w:rStyle w:val="InternetLink"/>
          </w:rPr>
          <w:t xml:space="preserve">Soil microorganisms as controllers of atmospheric trace gases (</w:t>
        </w:r>
        <w:r>
          <w:rPr>
            <w:rStyle w:val="InternetLink"/>
          </w:rPr>
          <w:t xml:space="preserve">H2</w:t>
        </w:r>
        <w:r>
          <w:rPr>
            <w:rStyle w:val="InternetLink"/>
          </w:rPr>
          <w:t xml:space="preserve">,</w:t>
        </w:r>
        <w:r>
          <w:rPr>
            <w:rStyle w:val="InternetLink"/>
          </w:rPr>
          <w:t xml:space="preserve"> </w:t>
        </w:r>
        <w:r>
          <w:rPr>
            <w:rStyle w:val="InternetLink"/>
          </w:rPr>
          <w:t xml:space="preserve">CO</w:t>
        </w:r>
        <w:r>
          <w:rPr>
            <w:rStyle w:val="InternetLink"/>
          </w:rPr>
          <w:t xml:space="preserve">,</w:t>
        </w:r>
        <w:r>
          <w:rPr>
            <w:rStyle w:val="InternetLink"/>
          </w:rPr>
          <w:t xml:space="preserve"> </w:t>
        </w:r>
        <w:r>
          <w:rPr>
            <w:rStyle w:val="InternetLink"/>
          </w:rPr>
          <w:t xml:space="preserve">CH4</w:t>
        </w:r>
        <w:r>
          <w:rPr>
            <w:rStyle w:val="InternetLink"/>
          </w:rPr>
          <w:t xml:space="preserve">,</w:t>
        </w:r>
        <w:r>
          <w:rPr>
            <w:rStyle w:val="InternetLink"/>
          </w:rPr>
          <w:t xml:space="preserve"> </w:t>
        </w:r>
        <w:r>
          <w:rPr>
            <w:rStyle w:val="InternetLink"/>
          </w:rPr>
          <w:t xml:space="preserve">OCS</w:t>
        </w:r>
        <w:r>
          <w:rPr>
            <w:rStyle w:val="InternetLink"/>
          </w:rPr>
          <w:t xml:space="preserve">,</w:t>
        </w:r>
        <w:r>
          <w:rPr>
            <w:rStyle w:val="InternetLink"/>
          </w:rPr>
          <w:t xml:space="preserve"> </w:t>
        </w:r>
        <w:r>
          <w:rPr>
            <w:rStyle w:val="InternetLink"/>
          </w:rPr>
          <w:t xml:space="preserve">N2O</w:t>
        </w:r>
        <w:r>
          <w:rPr>
            <w:rStyle w:val="InternetLink"/>
          </w:rPr>
          <w:t xml:space="preserve">, and</w:t>
        </w:r>
        <w:r>
          <w:rPr>
            <w:rStyle w:val="InternetLink"/>
          </w:rPr>
          <w:t xml:space="preserve"> </w:t>
        </w:r>
        <w:r>
          <w:rPr>
            <w:rStyle w:val="InternetLink"/>
          </w:rPr>
          <w:t xml:space="preserve">NO</w:t>
        </w:r>
        <w:r>
          <w:rPr>
            <w:rStyle w:val="InternetLink"/>
          </w:rPr>
          <w:t xml:space="preserve">)</w:t>
        </w:r>
      </w:hyperlink>
      <w:r>
        <w:t xml:space="preserve">. Microbiological Reviews. 1996 Dec;60(4):609–40.</w:t>
      </w:r>
      <w:r>
        <w:t xml:space="preserve"> </w:t>
      </w:r>
    </w:p>
    <w:bookmarkEnd w:id="42"/>
    <w:bookmarkStart w:id="44" w:name="ref-schimel1998"/>
    <w:p>
      <w:pPr>
        <w:pStyle w:val="Bibliography"/>
      </w:pPr>
      <w:r>
        <w:t xml:space="preserve">2.</w:t>
      </w:r>
      <w:r>
        <w:t xml:space="preserve"> </w:t>
      </w:r>
      <w:r>
        <w:t xml:space="preserve">	</w:t>
      </w:r>
      <w:r>
        <w:t xml:space="preserve">Schimel JP, Gulledge J.</w:t>
      </w:r>
      <w:r>
        <w:t xml:space="preserve"> </w:t>
      </w:r>
      <w:hyperlink r:id="rId43">
        <w:r>
          <w:rPr>
            <w:rStyle w:val="InternetLink"/>
          </w:rPr>
          <w:t xml:space="preserve">Microbial community structure and global trace gases</w:t>
        </w:r>
      </w:hyperlink>
      <w:r>
        <w:t xml:space="preserve">. Global Change Biology. 1998;4(7):745–58.</w:t>
      </w:r>
      <w:r>
        <w:t xml:space="preserve"> </w:t>
      </w:r>
    </w:p>
    <w:bookmarkEnd w:id="44"/>
    <w:bookmarkStart w:id="46" w:name="ref-crowther2019"/>
    <w:p>
      <w:pPr>
        <w:pStyle w:val="Bibliography"/>
      </w:pPr>
      <w:r>
        <w:t xml:space="preserve">3.</w:t>
      </w:r>
      <w:r>
        <w:t xml:space="preserve"> </w:t>
      </w:r>
      <w:r>
        <w:t xml:space="preserve">	</w:t>
      </w:r>
      <w:r>
        <w:t xml:space="preserve">Crowther TW, Hoogen J van den, Wan J, Mayes MA, Keiser AD, Mo L, et al.</w:t>
      </w:r>
      <w:r>
        <w:t xml:space="preserve"> </w:t>
      </w:r>
      <w:hyperlink r:id="rId45">
        <w:r>
          <w:rPr>
            <w:rStyle w:val="InternetLink"/>
          </w:rPr>
          <w:t xml:space="preserve">The global soil community and its influence on biogeochemistry</w:t>
        </w:r>
      </w:hyperlink>
      <w:r>
        <w:t xml:space="preserve">. Science. 2019 Aug;365(6455).</w:t>
      </w:r>
      <w:r>
        <w:t xml:space="preserve"> </w:t>
      </w:r>
    </w:p>
    <w:bookmarkEnd w:id="46"/>
    <w:bookmarkStart w:id="48" w:name="ref-cardinale2006"/>
    <w:p>
      <w:pPr>
        <w:pStyle w:val="Bibliography"/>
      </w:pPr>
      <w:r>
        <w:t xml:space="preserve">4.</w:t>
      </w:r>
      <w:r>
        <w:t xml:space="preserve"> </w:t>
      </w:r>
      <w:r>
        <w:t xml:space="preserve">	</w:t>
      </w:r>
      <w:r>
        <w:t xml:space="preserve">Cardinale BJ, Srivastava DS, Emmett Duffy J, Wright JP, Downing AL, Sankaran M, et al.</w:t>
      </w:r>
      <w:r>
        <w:t xml:space="preserve"> </w:t>
      </w:r>
      <w:hyperlink r:id="rId47">
        <w:r>
          <w:rPr>
            <w:rStyle w:val="InternetLink"/>
          </w:rPr>
          <w:t xml:space="preserve">Effects of biodiversity on the functioning of trophic groups and ecosystems</w:t>
        </w:r>
      </w:hyperlink>
      <w:r>
        <w:t xml:space="preserve">. Nature. 2006 Oct;443(7114):989–92.</w:t>
      </w:r>
      <w:r>
        <w:t xml:space="preserve"> </w:t>
      </w:r>
    </w:p>
    <w:bookmarkEnd w:id="48"/>
    <w:bookmarkStart w:id="50" w:name="ref-hooper2012"/>
    <w:p>
      <w:pPr>
        <w:pStyle w:val="Bibliography"/>
      </w:pPr>
      <w:r>
        <w:t xml:space="preserve">5.</w:t>
      </w:r>
      <w:r>
        <w:t xml:space="preserve"> </w:t>
      </w:r>
      <w:r>
        <w:t xml:space="preserve">	</w:t>
      </w:r>
      <w:r>
        <w:t xml:space="preserve">Hooper DU, Adair EC, Cardinale BJ, Byrnes JEK, Hungate BA, Matulich KL, et al.</w:t>
      </w:r>
      <w:r>
        <w:t xml:space="preserve"> </w:t>
      </w:r>
      <w:hyperlink r:id="rId49">
        <w:r>
          <w:rPr>
            <w:rStyle w:val="InternetLink"/>
          </w:rPr>
          <w:t xml:space="preserve">A global synthesis reveals biodiversity loss as a major driver of ecosystem change</w:t>
        </w:r>
      </w:hyperlink>
      <w:r>
        <w:t xml:space="preserve">. Nature. 2012 Jun;486(7401):105–8.</w:t>
      </w:r>
      <w:r>
        <w:t xml:space="preserve"> </w:t>
      </w:r>
    </w:p>
    <w:bookmarkEnd w:id="50"/>
    <w:bookmarkStart w:id="52" w:name="ref-gamfeldt2015"/>
    <w:p>
      <w:pPr>
        <w:pStyle w:val="Bibliography"/>
      </w:pPr>
      <w:r>
        <w:t xml:space="preserve">6.</w:t>
      </w:r>
      <w:r>
        <w:t xml:space="preserve"> </w:t>
      </w:r>
      <w:r>
        <w:t xml:space="preserve">	</w:t>
      </w:r>
      <w:r>
        <w:t xml:space="preserve">Gamfeldt L, Lefcheck JS, Byrnes JEK, Cardinale BJ, Duffy JE, Griffin JN.</w:t>
      </w:r>
      <w:r>
        <w:t xml:space="preserve"> </w:t>
      </w:r>
      <w:hyperlink r:id="rId51">
        <w:r>
          <w:rPr>
            <w:rStyle w:val="InternetLink"/>
          </w:rPr>
          <w:t xml:space="preserve">Marine biodiversity and ecosystem functioning: What’s known and what’s next?</w:t>
        </w:r>
      </w:hyperlink>
      <w:r>
        <w:t xml:space="preserve"> Oikos. 2015;124(3):252–65.</w:t>
      </w:r>
      <w:r>
        <w:t xml:space="preserve"> </w:t>
      </w:r>
    </w:p>
    <w:bookmarkEnd w:id="52"/>
    <w:bookmarkStart w:id="54" w:name="ref-rocca2015"/>
    <w:p>
      <w:pPr>
        <w:pStyle w:val="Bibliography"/>
      </w:pPr>
      <w:r>
        <w:t xml:space="preserve">7.</w:t>
      </w:r>
      <w:r>
        <w:t xml:space="preserve"> </w:t>
      </w:r>
      <w:r>
        <w:t xml:space="preserve">	</w:t>
      </w:r>
      <w:r>
        <w:t xml:space="preserve">Rocca JD, Hall EK, Lennon JT, Evans SE, Waldrop MP, Cotner JB, et al.</w:t>
      </w:r>
      <w:r>
        <w:t xml:space="preserve"> </w:t>
      </w:r>
      <w:hyperlink r:id="rId53">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54"/>
    <w:bookmarkStart w:id="56" w:name="ref-graham2016"/>
    <w:p>
      <w:pPr>
        <w:pStyle w:val="Bibliography"/>
      </w:pPr>
      <w:r>
        <w:t xml:space="preserve">8.</w:t>
      </w:r>
      <w:r>
        <w:t xml:space="preserve"> </w:t>
      </w:r>
      <w:r>
        <w:t xml:space="preserve">	</w:t>
      </w:r>
      <w:r>
        <w:t xml:space="preserve">Graham EB, Knelman JE, Schindlbacher A, Siciliano S, Breulmann M, Yannarell A, et al.</w:t>
      </w:r>
      <w:r>
        <w:t xml:space="preserve"> </w:t>
      </w:r>
      <w:hyperlink r:id="rId55">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6"/>
    <w:bookmarkStart w:id="58" w:name="ref-morris2020"/>
    <w:p>
      <w:pPr>
        <w:pStyle w:val="Bibliography"/>
      </w:pPr>
      <w:r>
        <w:t xml:space="preserve">9.</w:t>
      </w:r>
      <w:r>
        <w:t xml:space="preserve"> </w:t>
      </w:r>
      <w:r>
        <w:t xml:space="preserve">	</w:t>
      </w:r>
      <w:r>
        <w:t xml:space="preserve">Morris A, Meyer K, Bohannan B.</w:t>
      </w:r>
      <w:r>
        <w:t xml:space="preserve"> </w:t>
      </w:r>
      <w:hyperlink r:id="rId57">
        <w:r>
          <w:rPr>
            <w:rStyle w:val="InternetLink"/>
          </w:rPr>
          <w:t xml:space="preserve">Linking microbial communities to ecosystem functions: What we can learn from genotype</w:t>
        </w:r>
        <w:r>
          <w:rPr>
            <w:rStyle w:val="InternetLink"/>
          </w:rPr>
          <w:t xml:space="preserve">phenotype mapping in organisms</w:t>
        </w:r>
      </w:hyperlink>
      <w:r>
        <w:t xml:space="preserve">. Philosophical Transactions of the Royal Society B: Biological Sciences. 2020 May;375(1798):20190244.</w:t>
      </w:r>
      <w:r>
        <w:t xml:space="preserve"> </w:t>
      </w:r>
    </w:p>
    <w:bookmarkEnd w:id="58"/>
    <w:bookmarkStart w:id="60" w:name="ref-swenson2000"/>
    <w:p>
      <w:pPr>
        <w:pStyle w:val="Bibliography"/>
      </w:pPr>
      <w:r>
        <w:t xml:space="preserve">10.</w:t>
      </w:r>
      <w:r>
        <w:t xml:space="preserve"> </w:t>
      </w:r>
      <w:r>
        <w:t xml:space="preserve">	</w:t>
      </w:r>
      <w:r>
        <w:t xml:space="preserve">Swenson W, Wilson DS, Elias R.</w:t>
      </w:r>
      <w:r>
        <w:t xml:space="preserve"> </w:t>
      </w:r>
      <w:hyperlink r:id="rId59">
        <w:r>
          <w:rPr>
            <w:rStyle w:val="InternetLink"/>
          </w:rPr>
          <w:t xml:space="preserve">Artificial ecosystem selection</w:t>
        </w:r>
      </w:hyperlink>
      <w:r>
        <w:t xml:space="preserve">. Proceedings of the National Academy of Sciences. 2000 Aug;97(16):9110–4.</w:t>
      </w:r>
      <w:r>
        <w:t xml:space="preserve"> </w:t>
      </w:r>
    </w:p>
    <w:bookmarkEnd w:id="60"/>
    <w:bookmarkStart w:id="62" w:name="ref-panke-buisse2015"/>
    <w:p>
      <w:pPr>
        <w:pStyle w:val="Bibliography"/>
      </w:pPr>
      <w:r>
        <w:t xml:space="preserve">11.</w:t>
      </w:r>
      <w:r>
        <w:t xml:space="preserve"> </w:t>
      </w:r>
      <w:r>
        <w:t xml:space="preserve">	</w:t>
      </w:r>
      <w:r>
        <w:t xml:space="preserve">Panke-Buisse K, Poole AC, Goodrich JK, Ley RE, Kao-Kniffin J.</w:t>
      </w:r>
      <w:r>
        <w:t xml:space="preserve"> </w:t>
      </w:r>
      <w:hyperlink r:id="rId61">
        <w:r>
          <w:rPr>
            <w:rStyle w:val="InternetLink"/>
          </w:rPr>
          <w:t xml:space="preserve">Selection on soil microbiomes reveals reproducible impacts on plant function</w:t>
        </w:r>
      </w:hyperlink>
      <w:r>
        <w:t xml:space="preserve">. The ISME journal. 2015 Mar;9(4):980–9.</w:t>
      </w:r>
      <w:r>
        <w:t xml:space="preserve"> </w:t>
      </w:r>
    </w:p>
    <w:bookmarkEnd w:id="62"/>
    <w:bookmarkStart w:id="64" w:name="ref-sanchez2021"/>
    <w:p>
      <w:pPr>
        <w:pStyle w:val="Bibliography"/>
      </w:pPr>
      <w:r>
        <w:t xml:space="preserve">12.</w:t>
      </w:r>
      <w:r>
        <w:t xml:space="preserve"> </w:t>
      </w:r>
      <w:r>
        <w:t xml:space="preserve">	</w:t>
      </w:r>
      <w:r>
        <w:t xml:space="preserve">Sánchez Á, Vila JCC, Chang C-Y, Diaz-Colunga J, Estrela S, Rebolleda-Gomez M.</w:t>
      </w:r>
      <w:r>
        <w:t xml:space="preserve"> </w:t>
      </w:r>
      <w:hyperlink r:id="rId63">
        <w:r>
          <w:rPr>
            <w:rStyle w:val="InternetLink"/>
          </w:rPr>
          <w:t xml:space="preserve">Directed</w:t>
        </w:r>
        <w:r>
          <w:rPr>
            <w:rStyle w:val="InternetLink"/>
          </w:rPr>
          <w:t xml:space="preserve"> </w:t>
        </w:r>
        <w:r>
          <w:rPr>
            <w:rStyle w:val="InternetLink"/>
          </w:rPr>
          <w:t xml:space="preserve">Evolution</w:t>
        </w:r>
        <w:r>
          <w:rPr>
            <w:rStyle w:val="InternetLink"/>
          </w:rPr>
          <w:t xml:space="preserve"> </w:t>
        </w:r>
        <w:r>
          <w:rPr>
            <w:rStyle w:val="InternetLink"/>
          </w:rPr>
          <w:t xml:space="preserve">of</w:t>
        </w:r>
        <w:r>
          <w:rPr>
            <w:rStyle w:val="InternetLink"/>
          </w:rPr>
          <w:t xml:space="preserve"> </w:t>
        </w:r>
        <w:r>
          <w:rPr>
            <w:rStyle w:val="InternetLink"/>
          </w:rPr>
          <w:t xml:space="preserve">Microbial Communities</w:t>
        </w:r>
      </w:hyperlink>
      <w:r>
        <w:t xml:space="preserve">. Annual Review of Biophysics. 2021;50(1):323–41.</w:t>
      </w:r>
      <w:r>
        <w:t xml:space="preserve"> </w:t>
      </w:r>
    </w:p>
    <w:bookmarkEnd w:id="64"/>
    <w:bookmarkStart w:id="66" w:name="ref-goodnight2000"/>
    <w:p>
      <w:pPr>
        <w:pStyle w:val="Bibliography"/>
      </w:pPr>
      <w:r>
        <w:t xml:space="preserve">13.</w:t>
      </w:r>
      <w:r>
        <w:t xml:space="preserve"> </w:t>
      </w:r>
      <w:r>
        <w:t xml:space="preserve">	</w:t>
      </w:r>
      <w:r>
        <w:t xml:space="preserve">Goodnight CJ.</w:t>
      </w:r>
      <w:r>
        <w:t xml:space="preserve"> </w:t>
      </w:r>
      <w:hyperlink r:id="rId65">
        <w:r>
          <w:rPr>
            <w:rStyle w:val="InternetLink"/>
          </w:rPr>
          <w:t xml:space="preserve">Heritability at the ecosystem level</w:t>
        </w:r>
      </w:hyperlink>
      <w:r>
        <w:t xml:space="preserve">. Proceedings of the National Academy of Sciences. 2000 Aug;97(17):9365–6.</w:t>
      </w:r>
      <w:r>
        <w:t xml:space="preserve"> </w:t>
      </w:r>
    </w:p>
    <w:bookmarkEnd w:id="66"/>
    <w:bookmarkStart w:id="68" w:name="ref-arias-sanchez2019"/>
    <w:p>
      <w:pPr>
        <w:pStyle w:val="Bibliography"/>
      </w:pPr>
      <w:r>
        <w:t xml:space="preserve">14.</w:t>
      </w:r>
      <w:r>
        <w:t xml:space="preserve"> </w:t>
      </w:r>
      <w:r>
        <w:t xml:space="preserve">	</w:t>
      </w:r>
      <w:r>
        <w:t xml:space="preserve">Arias-Sánchez FI, Vessman B, Mitri S.</w:t>
      </w:r>
      <w:r>
        <w:t xml:space="preserve"> </w:t>
      </w:r>
      <w:hyperlink r:id="rId67">
        <w:r>
          <w:rPr>
            <w:rStyle w:val="InternetLink"/>
          </w:rPr>
          <w:t xml:space="preserve">Artificially selecting microbial communities:</w:t>
        </w:r>
        <w:r>
          <w:rPr>
            <w:rStyle w:val="InternetLink"/>
          </w:rPr>
          <w:t xml:space="preserve"> </w:t>
        </w:r>
        <w:r>
          <w:rPr>
            <w:rStyle w:val="InternetLink"/>
          </w:rPr>
          <w:t xml:space="preserve">If</w:t>
        </w:r>
        <w:r>
          <w:rPr>
            <w:rStyle w:val="InternetLink"/>
          </w:rPr>
          <w:t xml:space="preserve"> </w:t>
        </w:r>
        <w:r>
          <w:rPr>
            <w:rStyle w:val="InternetLink"/>
          </w:rPr>
          <w:t xml:space="preserve">we can breed dogs, why not microbiomes?</w:t>
        </w:r>
      </w:hyperlink>
      <w:r>
        <w:t xml:space="preserve"> PLOS Biology. 2019 Aug;17(8):e3000356.</w:t>
      </w:r>
      <w:r>
        <w:t xml:space="preserve"> </w:t>
      </w:r>
    </w:p>
    <w:bookmarkEnd w:id="68"/>
    <w:bookmarkStart w:id="70" w:name="ref-fuhrman2009"/>
    <w:p>
      <w:pPr>
        <w:pStyle w:val="Bibliography"/>
      </w:pPr>
      <w:r>
        <w:t xml:space="preserve">15.</w:t>
      </w:r>
      <w:r>
        <w:t xml:space="preserve"> </w:t>
      </w:r>
      <w:r>
        <w:t xml:space="preserve">	</w:t>
      </w:r>
      <w:r>
        <w:t xml:space="preserve">Fuhrman JA.</w:t>
      </w:r>
      <w:r>
        <w:t xml:space="preserve"> </w:t>
      </w:r>
      <w:hyperlink r:id="rId69">
        <w:r>
          <w:rPr>
            <w:rStyle w:val="InternetLink"/>
          </w:rPr>
          <w:t xml:space="preserve">Microbial community structure and its functional implications</w:t>
        </w:r>
      </w:hyperlink>
      <w:r>
        <w:t xml:space="preserve">. Nature. 2009 May;459(7244):193–9.</w:t>
      </w:r>
      <w:r>
        <w:t xml:space="preserve"> </w:t>
      </w:r>
    </w:p>
    <w:bookmarkEnd w:id="70"/>
    <w:bookmarkStart w:id="72" w:name="ref-freitag2009"/>
    <w:p>
      <w:pPr>
        <w:pStyle w:val="Bibliography"/>
      </w:pPr>
      <w:r>
        <w:t xml:space="preserve">16.</w:t>
      </w:r>
      <w:r>
        <w:t xml:space="preserve"> </w:t>
      </w:r>
      <w:r>
        <w:t xml:space="preserve">	</w:t>
      </w:r>
      <w:r>
        <w:t xml:space="preserve">Freitag TE, Prosser JI.</w:t>
      </w:r>
      <w:r>
        <w:t xml:space="preserve"> </w:t>
      </w:r>
      <w:hyperlink r:id="rId71">
        <w:r>
          <w:rPr>
            <w:rStyle w:val="InternetLink"/>
          </w:rPr>
          <w:t xml:space="preserve">Correlation of</w:t>
        </w:r>
        <w:r>
          <w:rPr>
            <w:rStyle w:val="InternetLink"/>
          </w:rPr>
          <w:t xml:space="preserve"> </w:t>
        </w:r>
        <w:r>
          <w:rPr>
            <w:rStyle w:val="InternetLink"/>
          </w:rPr>
          <w:t xml:space="preserve">Methane Production</w:t>
        </w:r>
        <w:r>
          <w:rPr>
            <w:rStyle w:val="InternetLink"/>
          </w:rPr>
          <w:t xml:space="preserve"> </w:t>
        </w:r>
        <w:r>
          <w:rPr>
            <w:rStyle w:val="InternetLink"/>
          </w:rPr>
          <w:t xml:space="preserve">and</w:t>
        </w:r>
        <w:r>
          <w:rPr>
            <w:rStyle w:val="InternetLink"/>
          </w:rPr>
          <w:t xml:space="preserve"> </w:t>
        </w:r>
        <w:r>
          <w:rPr>
            <w:rStyle w:val="InternetLink"/>
          </w:rPr>
          <w:t xml:space="preserve">Functional Gene Transcriptional Activity</w:t>
        </w:r>
        <w:r>
          <w:rPr>
            <w:rStyle w:val="InternetLink"/>
          </w:rPr>
          <w:t xml:space="preserve"> </w:t>
        </w:r>
        <w:r>
          <w:rPr>
            <w:rStyle w:val="InternetLink"/>
          </w:rPr>
          <w:t xml:space="preserve">in a</w:t>
        </w:r>
        <w:r>
          <w:rPr>
            <w:rStyle w:val="InternetLink"/>
          </w:rPr>
          <w:t xml:space="preserve"> </w:t>
        </w:r>
        <w:r>
          <w:rPr>
            <w:rStyle w:val="InternetLink"/>
          </w:rPr>
          <w:t xml:space="preserve">Peat Soil</w:t>
        </w:r>
      </w:hyperlink>
      <w:r>
        <w:t xml:space="preserve">. Applied and Environmental Microbiology. 2009 Nov;75(21):6679–87.</w:t>
      </w:r>
      <w:r>
        <w:t xml:space="preserve"> </w:t>
      </w:r>
    </w:p>
    <w:bookmarkEnd w:id="72"/>
    <w:bookmarkStart w:id="74" w:name="ref-freitag2010"/>
    <w:p>
      <w:pPr>
        <w:pStyle w:val="Bibliography"/>
      </w:pPr>
      <w:r>
        <w:t xml:space="preserve">17.</w:t>
      </w:r>
      <w:r>
        <w:t xml:space="preserve"> </w:t>
      </w:r>
      <w:r>
        <w:t xml:space="preserve">	</w:t>
      </w:r>
      <w:r>
        <w:t xml:space="preserve">Freitag TE, Toet S, Ineson P, Prosser JI.</w:t>
      </w:r>
      <w:r>
        <w:t xml:space="preserve"> </w:t>
      </w:r>
      <w:hyperlink r:id="rId73">
        <w:r>
          <w:rPr>
            <w:rStyle w:val="InternetLink"/>
          </w:rPr>
          <w:t xml:space="preserve">Links between methane flux and transcriptional activities of methanogens and methane oxidizers in a blanket peat bog</w:t>
        </w:r>
      </w:hyperlink>
      <w:r>
        <w:t xml:space="preserve">. FEMS Microbiology Ecology. 2010 Jul;73(1):157–65.</w:t>
      </w:r>
      <w:r>
        <w:t xml:space="preserve"> </w:t>
      </w:r>
    </w:p>
    <w:bookmarkEnd w:id="74"/>
    <w:bookmarkStart w:id="76" w:name="ref-meyer2020"/>
    <w:p>
      <w:pPr>
        <w:pStyle w:val="Bibliography"/>
      </w:pPr>
      <w:r>
        <w:t xml:space="preserve">18.</w:t>
      </w:r>
      <w:r>
        <w:t xml:space="preserve"> </w:t>
      </w:r>
      <w:r>
        <w:t xml:space="preserve">	</w:t>
      </w:r>
      <w:r>
        <w:t xml:space="preserve">Meyer KM, Morris AH, Webster K, Klein AM, Kroeger ME, Meredith LK, et al.</w:t>
      </w:r>
      <w:r>
        <w:t xml:space="preserve"> </w:t>
      </w:r>
      <w:hyperlink r:id="rId75">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6"/>
    <w:bookmarkStart w:id="78" w:name="ref-meyer2020a"/>
    <w:p>
      <w:pPr>
        <w:pStyle w:val="Bibliography"/>
      </w:pPr>
      <w:r>
        <w:t xml:space="preserve">19.</w:t>
      </w:r>
      <w:r>
        <w:t xml:space="preserve"> </w:t>
      </w:r>
      <w:r>
        <w:t xml:space="preserve">	</w:t>
      </w:r>
      <w:r>
        <w:t xml:space="preserve">Meyer KM, Hopple AM, Klein AM, Morris AH, Bridgham SD, Bohannan BJM.</w:t>
      </w:r>
      <w:r>
        <w:t xml:space="preserve"> </w:t>
      </w:r>
      <w:hyperlink r:id="rId77">
        <w:r>
          <w:rPr>
            <w:rStyle w:val="InternetLink"/>
          </w:rPr>
          <w:t xml:space="preserve">Community structure</w:t>
        </w:r>
        <w:r>
          <w:rPr>
            <w:rStyle w:val="InternetLink"/>
          </w:rPr>
          <w:t xml:space="preserve"> </w:t>
        </w:r>
        <w:r>
          <w:rPr>
            <w:rStyle w:val="InternetLink"/>
          </w:rPr>
          <w:t xml:space="preserve"> </w:t>
        </w:r>
        <w:r>
          <w:rPr>
            <w:rStyle w:val="InternetLink"/>
          </w:rPr>
          <w:t xml:space="preserve">Ecosystem</w:t>
        </w:r>
        <w:r>
          <w:rPr>
            <w:rStyle w:val="InternetLink"/>
          </w:rPr>
          <w:t xml:space="preserve"> </w:t>
        </w:r>
        <w:r>
          <w:rPr>
            <w:rStyle w:val="InternetLink"/>
          </w:rPr>
          <w:t xml:space="preserve">function relationships in the</w:t>
        </w:r>
        <w:r>
          <w:rPr>
            <w:rStyle w:val="InternetLink"/>
          </w:rPr>
          <w:t xml:space="preserve"> </w:t>
        </w:r>
        <w:r>
          <w:rPr>
            <w:rStyle w:val="InternetLink"/>
          </w:rPr>
          <w:t xml:space="preserve">Congo Basin</w:t>
        </w:r>
        <w:r>
          <w:rPr>
            <w:rStyle w:val="InternetLink"/>
          </w:rPr>
          <w:t xml:space="preserve"> </w:t>
        </w:r>
        <w:r>
          <w:rPr>
            <w:rStyle w:val="InternetLink"/>
          </w:rPr>
          <w:t xml:space="preserve">methane cycle depend on the physiological scale of function</w:t>
        </w:r>
      </w:hyperlink>
      <w:r>
        <w:t xml:space="preserve">. Molecular Ecology. 2020;29(10):1806–19.</w:t>
      </w:r>
      <w:r>
        <w:t xml:space="preserve"> </w:t>
      </w:r>
    </w:p>
    <w:bookmarkEnd w:id="78"/>
    <w:bookmarkStart w:id="80" w:name="ref-martiny2013"/>
    <w:p>
      <w:pPr>
        <w:pStyle w:val="Bibliography"/>
      </w:pPr>
      <w:r>
        <w:t xml:space="preserve">20.</w:t>
      </w:r>
      <w:r>
        <w:t xml:space="preserve"> </w:t>
      </w:r>
      <w:r>
        <w:t xml:space="preserve">	</w:t>
      </w:r>
      <w:r>
        <w:t xml:space="preserve">Martiny AC, Treseder K, Pusch G.</w:t>
      </w:r>
      <w:r>
        <w:t xml:space="preserve"> </w:t>
      </w:r>
      <w:hyperlink r:id="rId79">
        <w:r>
          <w:rPr>
            <w:rStyle w:val="InternetLink"/>
          </w:rPr>
          <w:t xml:space="preserve">Phylogenetic conservatism of functional traits in microorganisms</w:t>
        </w:r>
      </w:hyperlink>
      <w:r>
        <w:t xml:space="preserve">. The ISME Journal. 2013 Apr;7(4):830–8.</w:t>
      </w:r>
      <w:r>
        <w:t xml:space="preserve"> </w:t>
      </w:r>
    </w:p>
    <w:bookmarkEnd w:id="80"/>
    <w:bookmarkStart w:id="82" w:name="ref-caporaso2011"/>
    <w:p>
      <w:pPr>
        <w:pStyle w:val="Bibliography"/>
      </w:pPr>
      <w:r>
        <w:t xml:space="preserve">21.</w:t>
      </w:r>
      <w:r>
        <w:t xml:space="preserve"> </w:t>
      </w:r>
      <w:r>
        <w:t xml:space="preserve">	</w:t>
      </w:r>
      <w:r>
        <w:t xml:space="preserve">Caporaso JG, Lauber CL, Walters WA, Berg-Lyons D, Lozupone CA, Turnbaugh PJ, et al.</w:t>
      </w:r>
      <w:r>
        <w:t xml:space="preserve"> </w:t>
      </w:r>
      <w:hyperlink r:id="rId81">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82"/>
    <w:bookmarkStart w:id="84" w:name="ref-fadrosh2014"/>
    <w:p>
      <w:pPr>
        <w:pStyle w:val="Bibliography"/>
      </w:pPr>
      <w:r>
        <w:t xml:space="preserve">22.</w:t>
      </w:r>
      <w:r>
        <w:t xml:space="preserve"> </w:t>
      </w:r>
      <w:r>
        <w:t xml:space="preserve">	</w:t>
      </w:r>
      <w:r>
        <w:t xml:space="preserve">Fadrosh DW, Ma B, Gajer P, Sengamalay N, Ott S, Brotman RM, et al.</w:t>
      </w:r>
      <w:r>
        <w:t xml:space="preserve"> </w:t>
      </w:r>
      <w:hyperlink r:id="rId83">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84"/>
    <w:bookmarkStart w:id="85" w:name="ref-kozich2013"/>
    <w:p>
      <w:pPr>
        <w:pStyle w:val="Bibliography"/>
      </w:pPr>
      <w:r>
        <w:t xml:space="preserve">23.</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85"/>
    <w:bookmarkStart w:id="86" w:name="ref-rcoreteam2018"/>
    <w:p>
      <w:pPr>
        <w:pStyle w:val="Bibliography"/>
      </w:pPr>
      <w:r>
        <w:t xml:space="preserve">24.</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86"/>
    <w:bookmarkStart w:id="88" w:name="ref-callahan2016"/>
    <w:p>
      <w:pPr>
        <w:pStyle w:val="Bibliography"/>
      </w:pPr>
      <w:r>
        <w:t xml:space="preserve">25.</w:t>
      </w:r>
      <w:r>
        <w:t xml:space="preserve"> </w:t>
      </w:r>
      <w:r>
        <w:t xml:space="preserve">	</w:t>
      </w:r>
      <w:r>
        <w:t xml:space="preserve">Callahan BJ, McMurdie PJ, Rosen MJ, Han AW, Johnson AJA, Holmes SP.</w:t>
      </w:r>
      <w:r>
        <w:t xml:space="preserve"> </w:t>
      </w:r>
      <w:hyperlink r:id="rId87">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88"/>
    <w:bookmarkStart w:id="90" w:name="ref-wang2007"/>
    <w:p>
      <w:pPr>
        <w:pStyle w:val="Bibliography"/>
      </w:pPr>
      <w:r>
        <w:t xml:space="preserve">26.</w:t>
      </w:r>
      <w:r>
        <w:t xml:space="preserve"> </w:t>
      </w:r>
      <w:r>
        <w:t xml:space="preserve">	</w:t>
      </w:r>
      <w:r>
        <w:t xml:space="preserve">Wang Q, Garrity GM, Tiedje JM, Cole JR.</w:t>
      </w:r>
      <w:r>
        <w:t xml:space="preserve"> </w:t>
      </w:r>
      <w:hyperlink r:id="rId89">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90"/>
    <w:bookmarkStart w:id="92" w:name="ref-davis2018"/>
    <w:p>
      <w:pPr>
        <w:pStyle w:val="Bibliography"/>
      </w:pPr>
      <w:r>
        <w:t xml:space="preserve">27.</w:t>
      </w:r>
      <w:r>
        <w:t xml:space="preserve"> </w:t>
      </w:r>
      <w:r>
        <w:t xml:space="preserve">	</w:t>
      </w:r>
      <w:r>
        <w:t xml:space="preserve">Davis NM, Proctor DM, Holmes SP, Relman DA, Callahan BJ.</w:t>
      </w:r>
      <w:r>
        <w:t xml:space="preserve"> </w:t>
      </w:r>
      <w:hyperlink r:id="rId91">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92"/>
    <w:bookmarkStart w:id="93" w:name="ref-falconer1996"/>
    <w:p>
      <w:pPr>
        <w:pStyle w:val="Bibliography"/>
      </w:pPr>
      <w:r>
        <w:t xml:space="preserve">28.</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93"/>
    <w:bookmarkStart w:id="95" w:name="ref-hurlbert1971"/>
    <w:p>
      <w:pPr>
        <w:pStyle w:val="Bibliography"/>
      </w:pPr>
      <w:r>
        <w:t xml:space="preserve">29.</w:t>
      </w:r>
      <w:r>
        <w:t xml:space="preserve"> </w:t>
      </w:r>
      <w:r>
        <w:t xml:space="preserve">	</w:t>
      </w:r>
      <w:r>
        <w:t xml:space="preserve">Hurlbert SH.</w:t>
      </w:r>
      <w:r>
        <w:t xml:space="preserve"> </w:t>
      </w:r>
      <w:hyperlink r:id="rId94">
        <w:r>
          <w:rPr>
            <w:rStyle w:val="InternetLink"/>
          </w:rPr>
          <w:t xml:space="preserve">The</w:t>
        </w:r>
        <w:r>
          <w:rPr>
            <w:rStyle w:val="InternetLink"/>
          </w:rPr>
          <w:t xml:space="preserve"> </w:t>
        </w:r>
        <w:r>
          <w:rPr>
            <w:rStyle w:val="InternetLink"/>
          </w:rPr>
          <w:t xml:space="preserve">Nonconcept</w:t>
        </w:r>
        <w:r>
          <w:rPr>
            <w:rStyle w:val="InternetLink"/>
          </w:rPr>
          <w:t xml:space="preserve"> </w:t>
        </w:r>
        <w:r>
          <w:rPr>
            <w:rStyle w:val="InternetLink"/>
          </w:rPr>
          <w:t xml:space="preserve">of</w:t>
        </w:r>
        <w:r>
          <w:rPr>
            <w:rStyle w:val="InternetLink"/>
          </w:rPr>
          <w:t xml:space="preserve"> </w:t>
        </w:r>
        <w:r>
          <w:rPr>
            <w:rStyle w:val="InternetLink"/>
          </w:rPr>
          <w:t xml:space="preserve">Species Diversity</w:t>
        </w:r>
        <w:r>
          <w:rPr>
            <w:rStyle w:val="InternetLink"/>
          </w:rPr>
          <w:t xml:space="preserve">:</w:t>
        </w:r>
        <w:r>
          <w:rPr>
            <w:rStyle w:val="InternetLink"/>
          </w:rPr>
          <w:t xml:space="preserve"> </w:t>
        </w:r>
        <w:r>
          <w:rPr>
            <w:rStyle w:val="InternetLink"/>
          </w:rPr>
          <w:t xml:space="preserve">A Critique</w:t>
        </w:r>
        <w:r>
          <w:rPr>
            <w:rStyle w:val="InternetLink"/>
          </w:rPr>
          <w:t xml:space="preserve"> </w:t>
        </w:r>
        <w:r>
          <w:rPr>
            <w:rStyle w:val="InternetLink"/>
          </w:rPr>
          <w:t xml:space="preserve">and</w:t>
        </w:r>
        <w:r>
          <w:rPr>
            <w:rStyle w:val="InternetLink"/>
          </w:rPr>
          <w:t xml:space="preserve"> </w:t>
        </w:r>
        <w:r>
          <w:rPr>
            <w:rStyle w:val="InternetLink"/>
          </w:rPr>
          <w:t xml:space="preserve">Alternative Parameters</w:t>
        </w:r>
      </w:hyperlink>
      <w:r>
        <w:t xml:space="preserve">. Ecology. 1971;52(4):577–86.</w:t>
      </w:r>
      <w:r>
        <w:t xml:space="preserve"> </w:t>
      </w:r>
    </w:p>
    <w:bookmarkEnd w:id="95"/>
    <w:bookmarkStart w:id="96" w:name="ref-oksanen2019"/>
    <w:p>
      <w:pPr>
        <w:pStyle w:val="Bibliography"/>
      </w:pPr>
      <w:r>
        <w:t xml:space="preserve">30.</w:t>
      </w:r>
      <w:r>
        <w:t xml:space="preserve"> </w:t>
      </w:r>
      <w:r>
        <w:t xml:space="preserve">	</w:t>
      </w:r>
      <w:r>
        <w:t xml:space="preserve">Oksanen J, Blanchet FG, Friendly M, Kindt R, Legendre P, McGlinn D, et al. Vegan: Community ecology package. 2019.</w:t>
      </w:r>
      <w:r>
        <w:t xml:space="preserve"> </w:t>
      </w:r>
    </w:p>
    <w:bookmarkEnd w:id="96"/>
    <w:bookmarkStart w:id="98" w:name="ref-bray1957"/>
    <w:p>
      <w:pPr>
        <w:pStyle w:val="Bibliography"/>
      </w:pPr>
      <w:r>
        <w:t xml:space="preserve">31.</w:t>
      </w:r>
      <w:r>
        <w:t xml:space="preserve"> </w:t>
      </w:r>
      <w:r>
        <w:t xml:space="preserve">	</w:t>
      </w:r>
      <w:r>
        <w:t xml:space="preserve">Bray JR, Curtis JT.</w:t>
      </w:r>
      <w:r>
        <w:t xml:space="preserve"> </w:t>
      </w:r>
      <w:hyperlink r:id="rId97">
        <w:r>
          <w:rPr>
            <w:rStyle w:val="InternetLink"/>
          </w:rPr>
          <w:t xml:space="preserve">An</w:t>
        </w:r>
        <w:r>
          <w:rPr>
            <w:rStyle w:val="InternetLink"/>
          </w:rPr>
          <w:t xml:space="preserve"> </w:t>
        </w:r>
        <w:r>
          <w:rPr>
            <w:rStyle w:val="InternetLink"/>
          </w:rPr>
          <w:t xml:space="preserve">Ordination</w:t>
        </w:r>
        <w:r>
          <w:rPr>
            <w:rStyle w:val="InternetLink"/>
          </w:rPr>
          <w:t xml:space="preserve"> </w:t>
        </w:r>
        <w:r>
          <w:rPr>
            <w:rStyle w:val="InternetLink"/>
          </w:rPr>
          <w:t xml:space="preserve">of the</w:t>
        </w:r>
        <w:r>
          <w:rPr>
            <w:rStyle w:val="InternetLink"/>
          </w:rPr>
          <w:t xml:space="preserve"> </w:t>
        </w:r>
        <w:r>
          <w:rPr>
            <w:rStyle w:val="InternetLink"/>
          </w:rPr>
          <w:t xml:space="preserve">Upland Forest Communities</w:t>
        </w:r>
        <w:r>
          <w:rPr>
            <w:rStyle w:val="InternetLink"/>
          </w:rPr>
          <w:t xml:space="preserve"> </w:t>
        </w:r>
        <w:r>
          <w:rPr>
            <w:rStyle w:val="InternetLink"/>
          </w:rPr>
          <w:t xml:space="preserve">of</w:t>
        </w:r>
        <w:r>
          <w:rPr>
            <w:rStyle w:val="InternetLink"/>
          </w:rPr>
          <w:t xml:space="preserve"> </w:t>
        </w:r>
        <w:r>
          <w:rPr>
            <w:rStyle w:val="InternetLink"/>
          </w:rPr>
          <w:t xml:space="preserve">Southern Wisconsin</w:t>
        </w:r>
      </w:hyperlink>
      <w:r>
        <w:t xml:space="preserve">. Ecological Monographs. 1957;27(4):325–49.</w:t>
      </w:r>
      <w:r>
        <w:t xml:space="preserve"> </w:t>
      </w:r>
    </w:p>
    <w:bookmarkEnd w:id="98"/>
    <w:bookmarkStart w:id="100" w:name="ref-mcardle2001"/>
    <w:p>
      <w:pPr>
        <w:pStyle w:val="Bibliography"/>
      </w:pPr>
      <w:r>
        <w:t xml:space="preserve">32.</w:t>
      </w:r>
      <w:r>
        <w:t xml:space="preserve"> </w:t>
      </w:r>
      <w:r>
        <w:t xml:space="preserve">	</w:t>
      </w:r>
      <w:r>
        <w:t xml:space="preserve">McArdle BH, Anderson MJ.</w:t>
      </w:r>
      <w:r>
        <w:t xml:space="preserve"> </w:t>
      </w:r>
      <w:hyperlink r:id="rId99">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100"/>
    <w:bookmarkStart w:id="102" w:name="ref-kaul2017"/>
    <w:p>
      <w:pPr>
        <w:pStyle w:val="Bibliography"/>
      </w:pPr>
      <w:r>
        <w:t xml:space="preserve">33.</w:t>
      </w:r>
      <w:r>
        <w:t xml:space="preserve"> </w:t>
      </w:r>
      <w:r>
        <w:t xml:space="preserve">	</w:t>
      </w:r>
      <w:r>
        <w:t xml:space="preserve">Kaul A, Mandal S, Davidov O, Peddada SD.</w:t>
      </w:r>
      <w:r>
        <w:t xml:space="preserve"> </w:t>
      </w:r>
      <w:hyperlink r:id="rId101">
        <w:r>
          <w:rPr>
            <w:rStyle w:val="InternetLink"/>
          </w:rPr>
          <w:t xml:space="preserve">Analysis of</w:t>
        </w:r>
        <w:r>
          <w:rPr>
            <w:rStyle w:val="InternetLink"/>
          </w:rPr>
          <w:t xml:space="preserve"> </w:t>
        </w:r>
        <w:r>
          <w:rPr>
            <w:rStyle w:val="InternetLink"/>
          </w:rPr>
          <w:t xml:space="preserve">Microbiome Data</w:t>
        </w:r>
        <w:r>
          <w:rPr>
            <w:rStyle w:val="InternetLink"/>
          </w:rPr>
          <w:t xml:space="preserve"> </w:t>
        </w:r>
        <w:r>
          <w:rPr>
            <w:rStyle w:val="InternetLink"/>
          </w:rPr>
          <w:t xml:space="preserve">in the</w:t>
        </w:r>
        <w:r>
          <w:rPr>
            <w:rStyle w:val="InternetLink"/>
          </w:rPr>
          <w:t xml:space="preserve"> </w:t>
        </w:r>
        <w:r>
          <w:rPr>
            <w:rStyle w:val="InternetLink"/>
          </w:rPr>
          <w:t xml:space="preserve">Presence</w:t>
        </w:r>
        <w:r>
          <w:rPr>
            <w:rStyle w:val="InternetLink"/>
          </w:rPr>
          <w:t xml:space="preserve"> </w:t>
        </w:r>
        <w:r>
          <w:rPr>
            <w:rStyle w:val="InternetLink"/>
          </w:rPr>
          <w:t xml:space="preserve">of</w:t>
        </w:r>
        <w:r>
          <w:rPr>
            <w:rStyle w:val="InternetLink"/>
          </w:rPr>
          <w:t xml:space="preserve"> </w:t>
        </w:r>
        <w:r>
          <w:rPr>
            <w:rStyle w:val="InternetLink"/>
          </w:rPr>
          <w:t xml:space="preserve">Excess Zeros</w:t>
        </w:r>
      </w:hyperlink>
      <w:r>
        <w:t xml:space="preserve">. Frontiers in Microbiology. 2017 Nov;8:2114.</w:t>
      </w:r>
      <w:r>
        <w:t xml:space="preserve"> </w:t>
      </w:r>
    </w:p>
    <w:bookmarkEnd w:id="102"/>
    <w:bookmarkStart w:id="104" w:name="ref-lin2020"/>
    <w:p>
      <w:pPr>
        <w:pStyle w:val="Bibliography"/>
      </w:pPr>
      <w:r>
        <w:t xml:space="preserve">34.</w:t>
      </w:r>
      <w:r>
        <w:t xml:space="preserve"> </w:t>
      </w:r>
      <w:r>
        <w:t xml:space="preserve">	</w:t>
      </w:r>
      <w:r>
        <w:t xml:space="preserve">Lin H, Peddada SD.</w:t>
      </w:r>
      <w:r>
        <w:t xml:space="preserve"> </w:t>
      </w:r>
      <w:hyperlink r:id="rId103">
        <w:r>
          <w:rPr>
            <w:rStyle w:val="InternetLink"/>
          </w:rPr>
          <w:t xml:space="preserve">Analysis of compositions of microbiomes with bias correction</w:t>
        </w:r>
      </w:hyperlink>
      <w:r>
        <w:t xml:space="preserve">. Nature Communications. 2020 Jul;11(1):3514.</w:t>
      </w:r>
      <w:r>
        <w:t xml:space="preserve"> </w:t>
      </w:r>
    </w:p>
    <w:bookmarkEnd w:id="104"/>
    <w:bookmarkStart w:id="106" w:name="ref-fernandes2014"/>
    <w:p>
      <w:pPr>
        <w:pStyle w:val="Bibliography"/>
      </w:pPr>
      <w:r>
        <w:t xml:space="preserve">35.</w:t>
      </w:r>
      <w:r>
        <w:t xml:space="preserve"> </w:t>
      </w:r>
      <w:r>
        <w:t xml:space="preserve">	</w:t>
      </w:r>
      <w:r>
        <w:t xml:space="preserve">Fernandes AD, Reid JN, Macklaim JM, McMurrough TA, Edgell DR, Gloor GB.</w:t>
      </w:r>
      <w:r>
        <w:t xml:space="preserve"> </w:t>
      </w:r>
      <w:hyperlink r:id="rId105">
        <w:r>
          <w:rPr>
            <w:rStyle w:val="InternetLink"/>
          </w:rPr>
          <w:t xml:space="preserve">Unifying the analysis of high-throughput sequencing datasets: Characterizing</w:t>
        </w:r>
        <w:r>
          <w:rPr>
            <w:rStyle w:val="InternetLink"/>
          </w:rPr>
          <w:t xml:space="preserve"> </w:t>
        </w:r>
        <w:r>
          <w:rPr>
            <w:rStyle w:val="InternetLink"/>
          </w:rPr>
          <w:t xml:space="preserve">RNA-seq</w:t>
        </w:r>
        <w:r>
          <w:rPr>
            <w:rStyle w:val="InternetLink"/>
          </w:rPr>
          <w:t xml:space="preserve">,</w:t>
        </w:r>
        <w:r>
          <w:rPr>
            <w:rStyle w:val="InternetLink"/>
          </w:rPr>
          <w:t xml:space="preserve"> </w:t>
        </w:r>
        <w:r>
          <w:rPr>
            <w:rStyle w:val="InternetLink"/>
          </w:rPr>
          <w:t xml:space="preserve">16S rRNA</w:t>
        </w:r>
        <w:r>
          <w:rPr>
            <w:rStyle w:val="InternetLink"/>
          </w:rPr>
          <w:t xml:space="preserve"> </w:t>
        </w:r>
        <w:r>
          <w:rPr>
            <w:rStyle w:val="InternetLink"/>
          </w:rPr>
          <w:t xml:space="preserve">gene sequencing and selective growth experiments by compositional data analysis</w:t>
        </w:r>
      </w:hyperlink>
      <w:r>
        <w:t xml:space="preserve">. Microbiome. 2014 May;2(1):15.</w:t>
      </w:r>
      <w:r>
        <w:t xml:space="preserve"> </w:t>
      </w:r>
    </w:p>
    <w:bookmarkEnd w:id="106"/>
    <w:bookmarkStart w:id="108" w:name="ref-martin2020"/>
    <w:p>
      <w:pPr>
        <w:pStyle w:val="Bibliography"/>
      </w:pPr>
      <w:r>
        <w:t xml:space="preserve">36.</w:t>
      </w:r>
      <w:r>
        <w:t xml:space="preserve"> </w:t>
      </w:r>
      <w:r>
        <w:t xml:space="preserve">	</w:t>
      </w:r>
      <w:r>
        <w:t xml:space="preserve">Martin BD, Witten D, Willis AD.</w:t>
      </w:r>
      <w:r>
        <w:t xml:space="preserve"> </w:t>
      </w:r>
      <w:hyperlink r:id="rId107">
        <w:r>
          <w:rPr>
            <w:rStyle w:val="InternetLink"/>
          </w:rPr>
          <w:t xml:space="preserve">Modeling microbial abundances and dysbiosis with beta-binomial regression</w:t>
        </w:r>
      </w:hyperlink>
      <w:r>
        <w:t xml:space="preserve">. The Annals of Applied Statistics. 2020 Mar;14(1):94–115.</w:t>
      </w:r>
      <w:r>
        <w:t xml:space="preserve"> </w:t>
      </w:r>
    </w:p>
    <w:bookmarkEnd w:id="108"/>
    <w:bookmarkStart w:id="110" w:name="ref-stein2012"/>
    <w:p>
      <w:pPr>
        <w:pStyle w:val="Bibliography"/>
      </w:pPr>
      <w:r>
        <w:t xml:space="preserve">37.</w:t>
      </w:r>
      <w:r>
        <w:t xml:space="preserve"> </w:t>
      </w:r>
      <w:r>
        <w:t xml:space="preserve">	</w:t>
      </w:r>
      <w:r>
        <w:t xml:space="preserve">Stein LY, Roy R, Dunfield PF.</w:t>
      </w:r>
      <w:r>
        <w:t xml:space="preserve"> </w:t>
      </w:r>
      <w:hyperlink r:id="rId109">
        <w:r>
          <w:rPr>
            <w:rStyle w:val="InternetLink"/>
          </w:rPr>
          <w:t xml:space="preserve">Aerobic</w:t>
        </w:r>
        <w:r>
          <w:rPr>
            <w:rStyle w:val="InternetLink"/>
          </w:rPr>
          <w:t xml:space="preserve"> </w:t>
        </w:r>
        <w:r>
          <w:rPr>
            <w:rStyle w:val="InternetLink"/>
          </w:rPr>
          <w:t xml:space="preserve">Methanotrophy</w:t>
        </w:r>
        <w:r>
          <w:rPr>
            <w:rStyle w:val="InternetLink"/>
          </w:rPr>
          <w:t xml:space="preserve"> </w:t>
        </w:r>
        <w:r>
          <w:rPr>
            <w:rStyle w:val="InternetLink"/>
          </w:rPr>
          <w:t xml:space="preserve">and</w:t>
        </w:r>
        <w:r>
          <w:rPr>
            <w:rStyle w:val="InternetLink"/>
          </w:rPr>
          <w:t xml:space="preserve"> </w:t>
        </w:r>
        <w:r>
          <w:rPr>
            <w:rStyle w:val="InternetLink"/>
          </w:rPr>
          <w:t xml:space="preserve">Nitrification</w:t>
        </w:r>
        <w:r>
          <w:rPr>
            <w:rStyle w:val="InternetLink"/>
          </w:rPr>
          <w:t xml:space="preserve">:</w:t>
        </w:r>
        <w:r>
          <w:rPr>
            <w:rStyle w:val="InternetLink"/>
          </w:rPr>
          <w:t xml:space="preserve"> </w:t>
        </w:r>
        <w:r>
          <w:rPr>
            <w:rStyle w:val="InternetLink"/>
          </w:rPr>
          <w:t xml:space="preserve">Processes</w:t>
        </w:r>
        <w:r>
          <w:rPr>
            <w:rStyle w:val="InternetLink"/>
          </w:rPr>
          <w:t xml:space="preserve"> </w:t>
        </w:r>
        <w:r>
          <w:rPr>
            <w:rStyle w:val="InternetLink"/>
          </w:rPr>
          <w:t xml:space="preserve">and</w:t>
        </w:r>
        <w:r>
          <w:rPr>
            <w:rStyle w:val="InternetLink"/>
          </w:rPr>
          <w:t xml:space="preserve"> </w:t>
        </w:r>
        <w:r>
          <w:rPr>
            <w:rStyle w:val="InternetLink"/>
          </w:rPr>
          <w:t xml:space="preserve">Connections</w:t>
        </w:r>
      </w:hyperlink>
      <w:r>
        <w:t xml:space="preserve">. In:</w:t>
      </w:r>
      <w:r>
        <w:t xml:space="preserve"> </w:t>
      </w:r>
      <w:r>
        <w:t xml:space="preserve">eLS</w:t>
      </w:r>
      <w:r>
        <w:t xml:space="preserve">.</w:t>
      </w:r>
      <w:r>
        <w:t xml:space="preserve"> </w:t>
      </w:r>
      <w:r>
        <w:t xml:space="preserve">John Wiley &amp; Sons, Ltd</w:t>
      </w:r>
      <w:r>
        <w:t xml:space="preserve">; 2012.</w:t>
      </w:r>
      <w:r>
        <w:t xml:space="preserve"> </w:t>
      </w:r>
    </w:p>
    <w:bookmarkEnd w:id="110"/>
    <w:bookmarkStart w:id="111" w:name="ref-garrity2005"/>
    <w:p>
      <w:pPr>
        <w:pStyle w:val="Bibliography"/>
      </w:pPr>
      <w:r>
        <w:t xml:space="preserve">38.</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11"/>
    <w:bookmarkStart w:id="112" w:name="ref-freitag2003"/>
    <w:p>
      <w:pPr>
        <w:pStyle w:val="Bibliography"/>
      </w:pPr>
      <w:r>
        <w:t xml:space="preserve">39.</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12"/>
    <w:bookmarkStart w:id="114" w:name="ref-im2012"/>
    <w:p>
      <w:pPr>
        <w:pStyle w:val="Bibliography"/>
      </w:pPr>
      <w:r>
        <w:t xml:space="preserve">40.</w:t>
      </w:r>
      <w:r>
        <w:t xml:space="preserve"> </w:t>
      </w:r>
      <w:r>
        <w:t xml:space="preserve">	</w:t>
      </w:r>
      <w:r>
        <w:t xml:space="preserve">Im W-T, Hu Z-Y, Kim K-H, Rhee S-K, Meng H, Lee S-T, et al.</w:t>
      </w:r>
      <w:r>
        <w:t xml:space="preserve"> </w:t>
      </w:r>
      <w:hyperlink r:id="rId113">
        <w:r>
          <w:rPr>
            <w:rStyle w:val="InternetLink"/>
          </w:rPr>
          <w:t xml:space="preserve">Description of</w:t>
        </w:r>
        <w:r>
          <w:rPr>
            <w:rStyle w:val="InternetLink"/>
          </w:rPr>
          <w:t xml:space="preserve"> </w:t>
        </w:r>
        <w:r>
          <w:rPr>
            <w:rStyle w:val="InternetLink"/>
          </w:rPr>
          <w:t xml:space="preserve">Fimbriimonas</w:t>
        </w:r>
        <w:r>
          <w:rPr>
            <w:rStyle w:val="InternetLink"/>
          </w:rPr>
          <w:t xml:space="preserve"> </w:t>
        </w:r>
        <w:r>
          <w:rPr>
            <w:rStyle w:val="InternetLink"/>
          </w:rPr>
          <w:t xml:space="preserve">ginsengisoli gen. Nov., Sp. Nov. Within the</w:t>
        </w:r>
        <w:r>
          <w:rPr>
            <w:rStyle w:val="InternetLink"/>
          </w:rPr>
          <w:t xml:space="preserve"> </w:t>
        </w:r>
        <w:r>
          <w:rPr>
            <w:rStyle w:val="InternetLink"/>
          </w:rPr>
          <w:t xml:space="preserve">Fimbriimonadia</w:t>
        </w:r>
        <w:r>
          <w:rPr>
            <w:rStyle w:val="InternetLink"/>
          </w:rPr>
          <w:t xml:space="preserve"> </w:t>
        </w:r>
        <w:r>
          <w:rPr>
            <w:rStyle w:val="InternetLink"/>
          </w:rPr>
          <w:t xml:space="preserve">class nov., Of the phylum</w:t>
        </w:r>
        <w:r>
          <w:rPr>
            <w:rStyle w:val="InternetLink"/>
          </w:rPr>
          <w:t xml:space="preserve"> </w:t>
        </w:r>
        <w:r>
          <w:rPr>
            <w:rStyle w:val="InternetLink"/>
          </w:rPr>
          <w:t xml:space="preserve">Armatimonadetes</w:t>
        </w:r>
      </w:hyperlink>
      <w:r>
        <w:t xml:space="preserve">. Antonie van Leeuwenhoek. 2012 Aug;102(2):307–17.</w:t>
      </w:r>
      <w:r>
        <w:t xml:space="preserve"> </w:t>
      </w:r>
    </w:p>
    <w:bookmarkEnd w:id="114"/>
    <w:bookmarkStart w:id="116" w:name="ref-mcbride2014"/>
    <w:p>
      <w:pPr>
        <w:pStyle w:val="Bibliography"/>
      </w:pPr>
      <w:r>
        <w:t xml:space="preserve">41.</w:t>
      </w:r>
      <w:r>
        <w:t xml:space="preserve"> </w:t>
      </w:r>
      <w:r>
        <w:t xml:space="preserve">	</w:t>
      </w:r>
      <w:r>
        <w:t xml:space="preserve">McBride MJ, Liu W, Lu X, Zhu Y, Zhang W.</w:t>
      </w:r>
      <w:r>
        <w:t xml:space="preserve"> </w:t>
      </w:r>
      <w:hyperlink r:id="rId115">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16"/>
    <w:bookmarkStart w:id="118" w:name="ref-tamas2014"/>
    <w:p>
      <w:pPr>
        <w:pStyle w:val="Bibliography"/>
      </w:pPr>
      <w:r>
        <w:t xml:space="preserve">42.</w:t>
      </w:r>
      <w:r>
        <w:t xml:space="preserve"> </w:t>
      </w:r>
      <w:r>
        <w:t xml:space="preserve">	</w:t>
      </w:r>
      <w:r>
        <w:t xml:space="preserve">Tamas I, Smirnova AV, He Z, Dunfield PF.</w:t>
      </w:r>
      <w:r>
        <w:t xml:space="preserve"> </w:t>
      </w:r>
      <w:hyperlink r:id="rId117">
        <w:r>
          <w:rPr>
            <w:rStyle w:val="InternetLink"/>
          </w:rPr>
          <w:t xml:space="preserve">The (d)evolution of methanotrophy in the</w:t>
        </w:r>
        <w:r>
          <w:rPr>
            <w:rStyle w:val="InternetLink"/>
          </w:rPr>
          <w:t xml:space="preserve"> </w:t>
        </w:r>
        <w:r>
          <w:rPr>
            <w:rStyle w:val="InternetLink"/>
          </w:rPr>
          <w:t xml:space="preserve">Beijerinckiaceae</w:t>
        </w:r>
        <w:r>
          <w:rPr>
            <w:rStyle w:val="InternetLink"/>
          </w:rPr>
          <w:t xml:space="preserve">a comparative genomics analysis</w:t>
        </w:r>
      </w:hyperlink>
      <w:r>
        <w:t xml:space="preserve">. The ISME Journal. 2014 Feb;8(2):369–82.</w:t>
      </w:r>
      <w:r>
        <w:t xml:space="preserve"> </w:t>
      </w:r>
    </w:p>
    <w:bookmarkEnd w:id="118"/>
    <w:bookmarkStart w:id="120" w:name="ref-dedysh2016"/>
    <w:p>
      <w:pPr>
        <w:pStyle w:val="Bibliography"/>
      </w:pPr>
      <w:r>
        <w:t xml:space="preserve">43.</w:t>
      </w:r>
      <w:r>
        <w:t xml:space="preserve"> </w:t>
      </w:r>
      <w:r>
        <w:t xml:space="preserve">	</w:t>
      </w:r>
      <w:r>
        <w:t xml:space="preserve">Dedysh SN, Haupt ES, Dunfield PFY2016.</w:t>
      </w:r>
      <w:r>
        <w:t xml:space="preserve"> </w:t>
      </w:r>
      <w:hyperlink r:id="rId119">
        <w:r>
          <w:rPr>
            <w:rStyle w:val="InternetLink"/>
          </w:rPr>
          <w:t xml:space="preserve">Emended description of the family</w:t>
        </w:r>
        <w:r>
          <w:rPr>
            <w:rStyle w:val="InternetLink"/>
          </w:rPr>
          <w:t xml:space="preserve"> </w:t>
        </w:r>
        <w:r>
          <w:rPr>
            <w:rStyle w:val="InternetLink"/>
          </w:rPr>
          <w:t xml:space="preserve">Beijerinckiaceae</w:t>
        </w:r>
        <w:r>
          <w:rPr>
            <w:rStyle w:val="InternetLink"/>
          </w:rPr>
          <w:t xml:space="preserve"> </w:t>
        </w:r>
        <w:r>
          <w:rPr>
            <w:rStyle w:val="InternetLink"/>
          </w:rPr>
          <w:t xml:space="preserve">and transfer of the genera</w:t>
        </w:r>
        <w:r>
          <w:rPr>
            <w:rStyle w:val="InternetLink"/>
          </w:rPr>
          <w:t xml:space="preserve"> </w:t>
        </w:r>
        <w:r>
          <w:rPr>
            <w:rStyle w:val="InternetLink"/>
          </w:rPr>
          <w:t xml:space="preserve">Chelatococcus</w:t>
        </w:r>
        <w:r>
          <w:rPr>
            <w:rStyle w:val="InternetLink"/>
          </w:rPr>
          <w:t xml:space="preserve"> </w:t>
        </w:r>
        <w:r>
          <w:rPr>
            <w:rStyle w:val="InternetLink"/>
          </w:rPr>
          <w:t xml:space="preserve">and</w:t>
        </w:r>
        <w:r>
          <w:rPr>
            <w:rStyle w:val="InternetLink"/>
          </w:rPr>
          <w:t xml:space="preserve"> </w:t>
        </w:r>
        <w:r>
          <w:rPr>
            <w:rStyle w:val="InternetLink"/>
          </w:rPr>
          <w:t xml:space="preserve">Camelimonas</w:t>
        </w:r>
        <w:r>
          <w:rPr>
            <w:rStyle w:val="InternetLink"/>
          </w:rPr>
          <w:t xml:space="preserve"> </w:t>
        </w:r>
        <w:r>
          <w:rPr>
            <w:rStyle w:val="InternetLink"/>
          </w:rPr>
          <w:t xml:space="preserve">to the family</w:t>
        </w:r>
        <w:r>
          <w:rPr>
            <w:rStyle w:val="InternetLink"/>
          </w:rPr>
          <w:t xml:space="preserve"> </w:t>
        </w:r>
        <w:r>
          <w:rPr>
            <w:rStyle w:val="InternetLink"/>
          </w:rPr>
          <w:t xml:space="preserve">Chelatococcaceae</w:t>
        </w:r>
        <w:r>
          <w:rPr>
            <w:rStyle w:val="InternetLink"/>
          </w:rPr>
          <w:t xml:space="preserve"> </w:t>
        </w:r>
        <w:r>
          <w:rPr>
            <w:rStyle w:val="InternetLink"/>
          </w:rPr>
          <w:t xml:space="preserve">fam. nov.</w:t>
        </w:r>
      </w:hyperlink>
      <w:r>
        <w:t xml:space="preserve"> International Journal of Systematic and Evolutionary Microbiology. 2016;66(8):3177–82.</w:t>
      </w:r>
      <w:r>
        <w:t xml:space="preserve"> </w:t>
      </w:r>
    </w:p>
    <w:bookmarkEnd w:id="120"/>
    <w:bookmarkStart w:id="122" w:name="ref-henry2021"/>
    <w:p>
      <w:pPr>
        <w:pStyle w:val="Bibliography"/>
      </w:pPr>
      <w:r>
        <w:t xml:space="preserve">44.</w:t>
      </w:r>
      <w:r>
        <w:t xml:space="preserve"> </w:t>
      </w:r>
      <w:r>
        <w:t xml:space="preserve">	</w:t>
      </w:r>
      <w:r>
        <w:t xml:space="preserve">Henry LP, Bruijning M, Forsberg SKG, Ayroles JF.</w:t>
      </w:r>
      <w:r>
        <w:t xml:space="preserve"> </w:t>
      </w:r>
      <w:hyperlink r:id="rId121">
        <w:r>
          <w:rPr>
            <w:rStyle w:val="InternetLink"/>
          </w:rPr>
          <w:t xml:space="preserve">The microbiome extends host evolutionary potential</w:t>
        </w:r>
      </w:hyperlink>
      <w:r>
        <w:t xml:space="preserve">. Nature Communications. 2021 Aug;12(1):5141.</w:t>
      </w:r>
      <w:r>
        <w:t xml:space="preserve"> </w:t>
      </w:r>
    </w:p>
    <w:bookmarkEnd w:id="122"/>
    <w:bookmarkStart w:id="124" w:name="ref-whittenbury1970"/>
    <w:p>
      <w:pPr>
        <w:pStyle w:val="Bibliography"/>
      </w:pPr>
      <w:r>
        <w:t xml:space="preserve">45.</w:t>
      </w:r>
      <w:r>
        <w:t xml:space="preserve"> </w:t>
      </w:r>
      <w:r>
        <w:t xml:space="preserve">	</w:t>
      </w:r>
      <w:r>
        <w:t xml:space="preserve">Whittenbury R, Phillips KC, Wilkinson JFY1970.</w:t>
      </w:r>
      <w:r>
        <w:t xml:space="preserve"> </w:t>
      </w:r>
      <w:hyperlink r:id="rId123">
        <w:r>
          <w:rPr>
            <w:rStyle w:val="InternetLink"/>
          </w:rPr>
          <w:t xml:space="preserve">Enrichment,</w:t>
        </w:r>
        <w:r>
          <w:rPr>
            <w:rStyle w:val="InternetLink"/>
          </w:rPr>
          <w:t xml:space="preserve"> </w:t>
        </w:r>
        <w:r>
          <w:rPr>
            <w:rStyle w:val="InternetLink"/>
          </w:rPr>
          <w:t xml:space="preserve">Isolation</w:t>
        </w:r>
        <w:r>
          <w:rPr>
            <w:rStyle w:val="InternetLink"/>
          </w:rPr>
          <w:t xml:space="preserve"> </w:t>
        </w:r>
        <w:r>
          <w:rPr>
            <w:rStyle w:val="InternetLink"/>
          </w:rPr>
          <w:t xml:space="preserve">and</w:t>
        </w:r>
        <w:r>
          <w:rPr>
            <w:rStyle w:val="InternetLink"/>
          </w:rPr>
          <w:t xml:space="preserve"> </w:t>
        </w:r>
        <w:r>
          <w:rPr>
            <w:rStyle w:val="InternetLink"/>
          </w:rPr>
          <w:t xml:space="preserve">Some Properties</w:t>
        </w:r>
        <w:r>
          <w:rPr>
            <w:rStyle w:val="InternetLink"/>
          </w:rPr>
          <w:t xml:space="preserve"> </w:t>
        </w:r>
        <w:r>
          <w:rPr>
            <w:rStyle w:val="InternetLink"/>
          </w:rPr>
          <w:t xml:space="preserve">of</w:t>
        </w:r>
        <w:r>
          <w:rPr>
            <w:rStyle w:val="InternetLink"/>
          </w:rPr>
          <w:t xml:space="preserve"> </w:t>
        </w:r>
        <w:r>
          <w:rPr>
            <w:rStyle w:val="InternetLink"/>
          </w:rPr>
          <w:t xml:space="preserve">Methane-utilizing Bacteria</w:t>
        </w:r>
      </w:hyperlink>
      <w:r>
        <w:t xml:space="preserve">. Microbiology. 1970;61(2):205–18.</w:t>
      </w:r>
      <w:r>
        <w:t xml:space="preserve"> </w:t>
      </w:r>
    </w:p>
    <w:bookmarkEnd w:id="124"/>
    <w:bookmarkStart w:id="126" w:name="ref-hirayama2014"/>
    <w:p>
      <w:pPr>
        <w:pStyle w:val="Bibliography"/>
      </w:pPr>
      <w:r>
        <w:t xml:space="preserve">46.</w:t>
      </w:r>
      <w:r>
        <w:t xml:space="preserve"> </w:t>
      </w:r>
      <w:r>
        <w:t xml:space="preserve">	</w:t>
      </w:r>
      <w:r>
        <w:t xml:space="preserve">Hirayama H, Abe M, Miyazaki M, Nunoura T, Furushima Y, Yamamoto H, et al.</w:t>
      </w:r>
      <w:r>
        <w:t xml:space="preserve"> </w:t>
      </w:r>
      <w:hyperlink r:id="rId125">
        <w:r>
          <w:rPr>
            <w:rStyle w:val="InternetLink"/>
          </w:rPr>
          <w:t xml:space="preserve">Methylomarinovum caldicuralii gen. Nov., Sp. Nov., A moderately thermophilic methanotroph isolated from a shallow submarine hydrothermal system, and proposal of the family</w:t>
        </w:r>
        <w:r>
          <w:rPr>
            <w:rStyle w:val="InternetLink"/>
          </w:rPr>
          <w:t xml:space="preserve"> </w:t>
        </w:r>
        <w:r>
          <w:rPr>
            <w:rStyle w:val="InternetLink"/>
          </w:rPr>
          <w:t xml:space="preserve">Methylothermaceae</w:t>
        </w:r>
        <w:r>
          <w:rPr>
            <w:rStyle w:val="InternetLink"/>
          </w:rPr>
          <w:t xml:space="preserve"> </w:t>
        </w:r>
        <w:r>
          <w:rPr>
            <w:rStyle w:val="InternetLink"/>
          </w:rPr>
          <w:t xml:space="preserve">fam. nov.</w:t>
        </w:r>
      </w:hyperlink>
      <w:r>
        <w:t xml:space="preserve"> International Journal of Systematic and Evolutionary Microbiology. 2014;64(Pt_3):989–99.</w:t>
      </w:r>
      <w:r>
        <w:t xml:space="preserve"> </w:t>
      </w:r>
    </w:p>
    <w:bookmarkEnd w:id="126"/>
    <w:bookmarkStart w:id="128" w:name="ref-kim2018"/>
    <w:p>
      <w:pPr>
        <w:pStyle w:val="Bibliography"/>
      </w:pPr>
      <w:r>
        <w:t xml:space="preserve">47.</w:t>
      </w:r>
      <w:r>
        <w:t xml:space="preserve"> </w:t>
      </w:r>
      <w:r>
        <w:t xml:space="preserve">	</w:t>
      </w:r>
      <w:r>
        <w:t xml:space="preserve">Kim J, Kim DD, Yoon S.</w:t>
      </w:r>
      <w:r>
        <w:t xml:space="preserve"> </w:t>
      </w:r>
      <w:hyperlink r:id="rId127">
        <w:r>
          <w:rPr>
            <w:rStyle w:val="InternetLink"/>
          </w:rPr>
          <w:t xml:space="preserve">Rapid isolation of fast-growing methanotrophs from environmental samples using continuous cultivation with gradually increased dilution rates</w:t>
        </w:r>
      </w:hyperlink>
      <w:r>
        <w:t xml:space="preserve">. Applied Microbiology and Biotechnology. 2018 Jul;102(13):5707–15.</w:t>
      </w:r>
      <w:r>
        <w:t xml:space="preserve"> </w:t>
      </w:r>
    </w:p>
    <w:bookmarkEnd w:id="128"/>
    <w:bookmarkStart w:id="130" w:name="ref-delmont2015"/>
    <w:p>
      <w:pPr>
        <w:pStyle w:val="Bibliography"/>
      </w:pPr>
      <w:r>
        <w:t xml:space="preserve">48.</w:t>
      </w:r>
      <w:r>
        <w:t xml:space="preserve"> </w:t>
      </w:r>
      <w:r>
        <w:t xml:space="preserve">	</w:t>
      </w:r>
      <w:r>
        <w:t xml:space="preserve">Delmont TO, Eren AM, Maccario L, Prestat E, Esen ÖC, Pelletier E, et al.</w:t>
      </w:r>
      <w:r>
        <w:t xml:space="preserve"> </w:t>
      </w:r>
      <w:hyperlink r:id="rId129">
        <w:r>
          <w:rPr>
            <w:rStyle w:val="InternetLink"/>
          </w:rPr>
          <w:t xml:space="preserve">Reconstructing rare soil microbial genomes using in situ enrichments and metagenomics</w:t>
        </w:r>
      </w:hyperlink>
      <w:r>
        <w:t xml:space="preserve">. Frontiers in Microbiology. 2015 Apr;6.</w:t>
      </w:r>
      <w:r>
        <w:t xml:space="preserve"> </w:t>
      </w:r>
    </w:p>
    <w:bookmarkEnd w:id="130"/>
    <w:bookmarkStart w:id="132" w:name="ref-topcuoglu2020"/>
    <w:p>
      <w:pPr>
        <w:pStyle w:val="Bibliography"/>
      </w:pPr>
      <w:r>
        <w:t xml:space="preserve">49.</w:t>
      </w:r>
      <w:r>
        <w:t xml:space="preserve"> </w:t>
      </w:r>
      <w:r>
        <w:t xml:space="preserve">	</w:t>
      </w:r>
      <w:r>
        <w:t xml:space="preserve">Topçuoğlu BD, Lesniak NA, Ruffin MT, Wiens J, Schloss PD.</w:t>
      </w:r>
      <w:r>
        <w:t xml:space="preserve"> </w:t>
      </w:r>
      <w:hyperlink r:id="rId131">
        <w:r>
          <w:rPr>
            <w:rStyle w:val="InternetLink"/>
          </w:rPr>
          <w:t xml:space="preserve">A</w:t>
        </w:r>
        <w:r>
          <w:rPr>
            <w:rStyle w:val="InternetLink"/>
          </w:rPr>
          <w:t xml:space="preserve"> </w:t>
        </w:r>
        <w:r>
          <w:rPr>
            <w:rStyle w:val="InternetLink"/>
          </w:rPr>
          <w:t xml:space="preserve">Framework</w:t>
        </w:r>
        <w:r>
          <w:rPr>
            <w:rStyle w:val="InternetLink"/>
          </w:rPr>
          <w:t xml:space="preserve"> </w:t>
        </w:r>
        <w:r>
          <w:rPr>
            <w:rStyle w:val="InternetLink"/>
          </w:rPr>
          <w:t xml:space="preserve">for</w:t>
        </w:r>
        <w:r>
          <w:rPr>
            <w:rStyle w:val="InternetLink"/>
          </w:rPr>
          <w:t xml:space="preserve"> </w:t>
        </w:r>
        <w:r>
          <w:rPr>
            <w:rStyle w:val="InternetLink"/>
          </w:rPr>
          <w:t xml:space="preserve">Effective Application</w:t>
        </w:r>
        <w:r>
          <w:rPr>
            <w:rStyle w:val="InternetLink"/>
          </w:rPr>
          <w:t xml:space="preserve"> </w:t>
        </w:r>
        <w:r>
          <w:rPr>
            <w:rStyle w:val="InternetLink"/>
          </w:rPr>
          <w:t xml:space="preserve">of</w:t>
        </w:r>
        <w:r>
          <w:rPr>
            <w:rStyle w:val="InternetLink"/>
          </w:rPr>
          <w:t xml:space="preserve"> </w:t>
        </w:r>
        <w:r>
          <w:rPr>
            <w:rStyle w:val="InternetLink"/>
          </w:rPr>
          <w:t xml:space="preserve">Machine Learning</w:t>
        </w:r>
        <w:r>
          <w:rPr>
            <w:rStyle w:val="InternetLink"/>
          </w:rPr>
          <w:t xml:space="preserve"> </w:t>
        </w:r>
        <w:r>
          <w:rPr>
            <w:rStyle w:val="InternetLink"/>
          </w:rPr>
          <w:t xml:space="preserve">to</w:t>
        </w:r>
        <w:r>
          <w:rPr>
            <w:rStyle w:val="InternetLink"/>
          </w:rPr>
          <w:t xml:space="preserve"> </w:t>
        </w:r>
        <w:r>
          <w:rPr>
            <w:rStyle w:val="InternetLink"/>
          </w:rPr>
          <w:t xml:space="preserve">Microbiome-Based Classification Problems</w:t>
        </w:r>
      </w:hyperlink>
      <w:r>
        <w:t xml:space="preserve">. mBio. 2020 Jun;11(3):e00434–20.</w:t>
      </w:r>
      <w:r>
        <w:t xml:space="preserve"> </w:t>
      </w:r>
    </w:p>
    <w:bookmarkEnd w:id="132"/>
    <w:bookmarkEnd w:id="133"/>
    <w:bookmarkEnd w:id="134"/>
    <w:bookmarkStart w:id="147" w:name="figures"/>
    <w:p>
      <w:pPr>
        <w:pStyle w:val="Heading1"/>
      </w:pPr>
      <w:r>
        <w:t xml:space="preserve">Figures</w:t>
      </w:r>
    </w:p>
    <w:p>
      <w:pPr>
        <w:pStyle w:val="FirstParagraph"/>
      </w:pPr>
      <w:r>
        <w:drawing>
          <wp:inline>
            <wp:extent cx="3696101" cy="2772075"/>
            <wp:effectExtent b="0" l="0" r="0" t="0"/>
            <wp:docPr descr="" title="" id="136" name="Picture"/>
            <a:graphic>
              <a:graphicData uri="http://schemas.openxmlformats.org/drawingml/2006/picture">
                <pic:pic>
                  <pic:nvPicPr>
                    <pic:cNvPr descr="manuscript_files/figure-docx/response-1.png" id="137" name="Picture"/>
                    <pic:cNvPicPr>
                      <a:picLocks noChangeArrowheads="1" noChangeAspect="1"/>
                    </pic:cNvPicPr>
                  </pic:nvPicPr>
                  <pic:blipFill>
                    <a:blip r:embed="rId135"/>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39" name="Picture"/>
            <a:graphic>
              <a:graphicData uri="http://schemas.openxmlformats.org/drawingml/2006/picture">
                <pic:pic>
                  <pic:nvPicPr>
                    <pic:cNvPr descr="manuscript_files/figure-docx/herit-1.png" id="140" name="Picture"/>
                    <pic:cNvPicPr>
                      <a:picLocks noChangeArrowheads="1" noChangeAspect="1"/>
                    </pic:cNvPicPr>
                  </pic:nvPicPr>
                  <pic:blipFill>
                    <a:blip r:embed="rId138"/>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rPr>
            <m:sty m:val="p"/>
          </m:rPr>
          <m:t>−</m:t>
        </m:r>
        <m:r>
          <m:t>k</m:t>
        </m:r>
      </m:oMath>
      <w:r>
        <w:t xml:space="preserve"> </w:t>
      </w:r>
      <w:r>
        <w:t xml:space="preserve">with units day</w:t>
      </w:r>
      <w:r>
        <w:rPr>
          <w:vertAlign w:val="superscript"/>
        </w:rPr>
        <w:t xml:space="preserve">-1</w:t>
      </w:r>
      <w:r>
        <w:t xml:space="preserve">). Mean parental is the mean of the jars selected to inoculate the next passage. Offspring is the oxidation rate of each jar in the next passage. The orange lines and points are the Positive treatment and the gray lines and points are the Neutral treatment</w:t>
      </w:r>
    </w:p>
    <w:p>
      <w:pPr>
        <w:pStyle w:val="TextBody"/>
      </w:pPr>
      <w:r>
        <w:drawing>
          <wp:inline>
            <wp:extent cx="4620126" cy="2310063"/>
            <wp:effectExtent b="0" l="0" r="0" t="0"/>
            <wp:docPr descr="" title="" id="142" name="Picture"/>
            <a:graphic>
              <a:graphicData uri="http://schemas.openxmlformats.org/drawingml/2006/picture">
                <pic:pic>
                  <pic:nvPicPr>
                    <pic:cNvPr descr="manuscript_files/figure-docx/beta-1.png" id="143" name="Picture"/>
                    <pic:cNvPicPr>
                      <a:picLocks noChangeArrowheads="1" noChangeAspect="1"/>
                    </pic:cNvPicPr>
                  </pic:nvPicPr>
                  <pic:blipFill>
                    <a:blip r:embed="rId141"/>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45" name="Picture"/>
            <a:graphic>
              <a:graphicData uri="http://schemas.openxmlformats.org/drawingml/2006/picture">
                <pic:pic>
                  <pic:nvPicPr>
                    <pic:cNvPr descr="manuscript_files/figure-docx/da-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bookmarkEnd w:id="147"/>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38" Target="media/rId138.png" /><Relationship Type="http://schemas.openxmlformats.org/officeDocument/2006/relationships/image" Id="rId135" Target="media/rId135.png" /><Relationship Type="http://schemas.openxmlformats.org/officeDocument/2006/relationships/hyperlink" Id="rId109" Target="https://doi.org/10.1002/9780470015902.a0022213" TargetMode="External" /><Relationship Type="http://schemas.openxmlformats.org/officeDocument/2006/relationships/hyperlink" Id="rId115" Target="https://doi.org/10.1007/978-3-642-38954-2_382" TargetMode="External" /><Relationship Type="http://schemas.openxmlformats.org/officeDocument/2006/relationships/hyperlink" Id="rId127" Target="https://doi.org/10.1007/s00253-018-8978-5" TargetMode="External" /><Relationship Type="http://schemas.openxmlformats.org/officeDocument/2006/relationships/hyperlink" Id="rId113" Target="https://doi.org/10.1007/s10482-012-9739-6" TargetMode="External" /><Relationship Type="http://schemas.openxmlformats.org/officeDocument/2006/relationships/hyperlink" Id="rId75" Target="https://doi.org/10.1016/j.envint.2020.106131" TargetMode="External" /><Relationship Type="http://schemas.openxmlformats.org/officeDocument/2006/relationships/hyperlink" Id="rId79" Target="https://doi.org/10.1038/ismej.2012.160" TargetMode="External" /><Relationship Type="http://schemas.openxmlformats.org/officeDocument/2006/relationships/hyperlink" Id="rId117" Target="https://doi.org/10.1038/ismej.2013.145" TargetMode="External" /><Relationship Type="http://schemas.openxmlformats.org/officeDocument/2006/relationships/hyperlink" Id="rId61" Target="https://doi.org/10.1038/ismej.2014.196" TargetMode="External" /><Relationship Type="http://schemas.openxmlformats.org/officeDocument/2006/relationships/hyperlink" Id="rId53" Target="https://doi.org/10.1038/ismej.2014.252" TargetMode="External" /><Relationship Type="http://schemas.openxmlformats.org/officeDocument/2006/relationships/hyperlink" Id="rId47" Target="https://doi.org/10.1038/nature05202" TargetMode="External" /><Relationship Type="http://schemas.openxmlformats.org/officeDocument/2006/relationships/hyperlink" Id="rId69" Target="https://doi.org/10.1038/nature08058" TargetMode="External" /><Relationship Type="http://schemas.openxmlformats.org/officeDocument/2006/relationships/hyperlink" Id="rId49" Target="https://doi.org/10.1038/nature11118" TargetMode="External" /><Relationship Type="http://schemas.openxmlformats.org/officeDocument/2006/relationships/hyperlink" Id="rId87" Target="https://doi.org/10.1038/nmeth.3869" TargetMode="External" /><Relationship Type="http://schemas.openxmlformats.org/officeDocument/2006/relationships/hyperlink" Id="rId103" Target="https://doi.org/10.1038/s41467-020-17041-7" TargetMode="External" /><Relationship Type="http://schemas.openxmlformats.org/officeDocument/2006/relationships/hyperlink" Id="rId121" Target="https://doi.org/10.1038/s41467-021-25315-x" TargetMode="External" /><Relationship Type="http://schemas.openxmlformats.org/officeDocument/2006/relationships/hyperlink" Id="rId43" Target="https://doi.org/10.1046/j.1365-2486.1998.00195.x" TargetMode="External" /><Relationship Type="http://schemas.openxmlformats.org/officeDocument/2006/relationships/hyperlink" Id="rId81" Target="https://doi.org/10.1073/pnas.1000080107" TargetMode="External" /><Relationship Type="http://schemas.openxmlformats.org/officeDocument/2006/relationships/hyperlink" Id="rId59" Target="https://doi.org/10.1073/pnas.150237597" TargetMode="External" /><Relationship Type="http://schemas.openxmlformats.org/officeDocument/2006/relationships/hyperlink" Id="rId65" Target="https://doi.org/10.1073/pnas.97.17.9365" TargetMode="External" /><Relationship Type="http://schemas.openxmlformats.org/officeDocument/2006/relationships/hyperlink" Id="rId57" Target="https://doi.org/10.1098/rstb.2019.0244" TargetMode="External" /><Relationship Type="http://schemas.openxmlformats.org/officeDocument/2006/relationships/hyperlink" Id="rId123" Target="https://doi.org/10.1099/00221287-61-2-205" TargetMode="External" /><Relationship Type="http://schemas.openxmlformats.org/officeDocument/2006/relationships/hyperlink" Id="rId125" Target="https://doi.org/10.1099/ijs.0.058172-0" TargetMode="External" /><Relationship Type="http://schemas.openxmlformats.org/officeDocument/2006/relationships/hyperlink" Id="rId119" Target="https://doi.org/10.1099/ijsem.0.001167" TargetMode="External" /><Relationship Type="http://schemas.openxmlformats.org/officeDocument/2006/relationships/hyperlink" Id="rId73" Target="https://doi.org/10.1111/j.1574-6941.2010.00871.x" TargetMode="External" /><Relationship Type="http://schemas.openxmlformats.org/officeDocument/2006/relationships/hyperlink" Id="rId77" Target="https://doi.org/10.1111/mec.15442" TargetMode="External" /><Relationship Type="http://schemas.openxmlformats.org/officeDocument/2006/relationships/hyperlink" Id="rId51" Target="https://doi.org/10.1111/oik.01549" TargetMode="External" /><Relationship Type="http://schemas.openxmlformats.org/officeDocument/2006/relationships/hyperlink" Id="rId45" Target="https://doi.org/10.1126/science.aav0550" TargetMode="External" /><Relationship Type="http://schemas.openxmlformats.org/officeDocument/2006/relationships/hyperlink" Id="rId89" Target="https://doi.org/10.1128/AEM.00062-07" TargetMode="External" /><Relationship Type="http://schemas.openxmlformats.org/officeDocument/2006/relationships/hyperlink" Id="rId71" Target="https://doi.org/10.1128/AEM.01021-09" TargetMode="External" /><Relationship Type="http://schemas.openxmlformats.org/officeDocument/2006/relationships/hyperlink" Id="rId131" Target="https://doi.org/10.1128/mBio.00434-20" TargetMode="External" /><Relationship Type="http://schemas.openxmlformats.org/officeDocument/2006/relationships/hyperlink" Id="rId41" Target="https://doi.org/10.1128/mr.60.4.609-640.1996" TargetMode="External" /><Relationship Type="http://schemas.openxmlformats.org/officeDocument/2006/relationships/hyperlink" Id="rId63" Target="https://doi.org/10.1146/annurev-biophys-101220-072829" TargetMode="External" /><Relationship Type="http://schemas.openxmlformats.org/officeDocument/2006/relationships/hyperlink" Id="rId105" Target="https://doi.org/10.1186/2049-2618-2-15" TargetMode="External" /><Relationship Type="http://schemas.openxmlformats.org/officeDocument/2006/relationships/hyperlink" Id="rId83" Target="https://doi.org/10.1186/2049-2618-2-6" TargetMode="External" /><Relationship Type="http://schemas.openxmlformats.org/officeDocument/2006/relationships/hyperlink" Id="rId91" Target="https://doi.org/10.1186/s40168-018-0605-2" TargetMode="External" /><Relationship Type="http://schemas.openxmlformats.org/officeDocument/2006/relationships/hyperlink" Id="rId107" Target="https://doi.org/10.1214/19-AOAS1283" TargetMode="External" /><Relationship Type="http://schemas.openxmlformats.org/officeDocument/2006/relationships/hyperlink" Id="rId67" Target="https://doi.org/10.1371/journal.pbio.3000356" TargetMode="External" /><Relationship Type="http://schemas.openxmlformats.org/officeDocument/2006/relationships/hyperlink" Id="rId99" Target="https://doi.org/10.1890/0012-9658(2001)082[0290:FMMTCD]2.0.CO;2" TargetMode="External" /><Relationship Type="http://schemas.openxmlformats.org/officeDocument/2006/relationships/hyperlink" Id="rId94" Target="https://doi.org/10.2307/1934145" TargetMode="External" /><Relationship Type="http://schemas.openxmlformats.org/officeDocument/2006/relationships/hyperlink" Id="rId97" Target="https://doi.org/10.2307/1942268" TargetMode="External" /><Relationship Type="http://schemas.openxmlformats.org/officeDocument/2006/relationships/hyperlink" Id="rId129" Target="https://doi.org/10.3389/fmicb.2015.00358" TargetMode="External" /><Relationship Type="http://schemas.openxmlformats.org/officeDocument/2006/relationships/hyperlink" Id="rId55" Target="https://doi.org/10.3389/fmicb.2016.00214" TargetMode="External" /><Relationship Type="http://schemas.openxmlformats.org/officeDocument/2006/relationships/hyperlink" Id="rId101" Target="https://doi.org/10.3389/fmicb.2017.02114"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02/9780470015902.a0022213" TargetMode="External" /><Relationship Type="http://schemas.openxmlformats.org/officeDocument/2006/relationships/hyperlink" Id="rId115" Target="https://doi.org/10.1007/978-3-642-38954-2_382" TargetMode="External" /><Relationship Type="http://schemas.openxmlformats.org/officeDocument/2006/relationships/hyperlink" Id="rId127" Target="https://doi.org/10.1007/s00253-018-8978-5" TargetMode="External" /><Relationship Type="http://schemas.openxmlformats.org/officeDocument/2006/relationships/hyperlink" Id="rId113" Target="https://doi.org/10.1007/s10482-012-9739-6" TargetMode="External" /><Relationship Type="http://schemas.openxmlformats.org/officeDocument/2006/relationships/hyperlink" Id="rId75" Target="https://doi.org/10.1016/j.envint.2020.106131" TargetMode="External" /><Relationship Type="http://schemas.openxmlformats.org/officeDocument/2006/relationships/hyperlink" Id="rId79" Target="https://doi.org/10.1038/ismej.2012.160" TargetMode="External" /><Relationship Type="http://schemas.openxmlformats.org/officeDocument/2006/relationships/hyperlink" Id="rId117" Target="https://doi.org/10.1038/ismej.2013.145" TargetMode="External" /><Relationship Type="http://schemas.openxmlformats.org/officeDocument/2006/relationships/hyperlink" Id="rId61" Target="https://doi.org/10.1038/ismej.2014.196" TargetMode="External" /><Relationship Type="http://schemas.openxmlformats.org/officeDocument/2006/relationships/hyperlink" Id="rId53" Target="https://doi.org/10.1038/ismej.2014.252" TargetMode="External" /><Relationship Type="http://schemas.openxmlformats.org/officeDocument/2006/relationships/hyperlink" Id="rId47" Target="https://doi.org/10.1038/nature05202" TargetMode="External" /><Relationship Type="http://schemas.openxmlformats.org/officeDocument/2006/relationships/hyperlink" Id="rId69" Target="https://doi.org/10.1038/nature08058" TargetMode="External" /><Relationship Type="http://schemas.openxmlformats.org/officeDocument/2006/relationships/hyperlink" Id="rId49" Target="https://doi.org/10.1038/nature11118" TargetMode="External" /><Relationship Type="http://schemas.openxmlformats.org/officeDocument/2006/relationships/hyperlink" Id="rId87" Target="https://doi.org/10.1038/nmeth.3869" TargetMode="External" /><Relationship Type="http://schemas.openxmlformats.org/officeDocument/2006/relationships/hyperlink" Id="rId103" Target="https://doi.org/10.1038/s41467-020-17041-7" TargetMode="External" /><Relationship Type="http://schemas.openxmlformats.org/officeDocument/2006/relationships/hyperlink" Id="rId121" Target="https://doi.org/10.1038/s41467-021-25315-x" TargetMode="External" /><Relationship Type="http://schemas.openxmlformats.org/officeDocument/2006/relationships/hyperlink" Id="rId43" Target="https://doi.org/10.1046/j.1365-2486.1998.00195.x" TargetMode="External" /><Relationship Type="http://schemas.openxmlformats.org/officeDocument/2006/relationships/hyperlink" Id="rId81" Target="https://doi.org/10.1073/pnas.1000080107" TargetMode="External" /><Relationship Type="http://schemas.openxmlformats.org/officeDocument/2006/relationships/hyperlink" Id="rId59" Target="https://doi.org/10.1073/pnas.150237597" TargetMode="External" /><Relationship Type="http://schemas.openxmlformats.org/officeDocument/2006/relationships/hyperlink" Id="rId65" Target="https://doi.org/10.1073/pnas.97.17.9365" TargetMode="External" /><Relationship Type="http://schemas.openxmlformats.org/officeDocument/2006/relationships/hyperlink" Id="rId57" Target="https://doi.org/10.1098/rstb.2019.0244" TargetMode="External" /><Relationship Type="http://schemas.openxmlformats.org/officeDocument/2006/relationships/hyperlink" Id="rId123" Target="https://doi.org/10.1099/00221287-61-2-205" TargetMode="External" /><Relationship Type="http://schemas.openxmlformats.org/officeDocument/2006/relationships/hyperlink" Id="rId125" Target="https://doi.org/10.1099/ijs.0.058172-0" TargetMode="External" /><Relationship Type="http://schemas.openxmlformats.org/officeDocument/2006/relationships/hyperlink" Id="rId119" Target="https://doi.org/10.1099/ijsem.0.001167" TargetMode="External" /><Relationship Type="http://schemas.openxmlformats.org/officeDocument/2006/relationships/hyperlink" Id="rId73" Target="https://doi.org/10.1111/j.1574-6941.2010.00871.x" TargetMode="External" /><Relationship Type="http://schemas.openxmlformats.org/officeDocument/2006/relationships/hyperlink" Id="rId77" Target="https://doi.org/10.1111/mec.15442" TargetMode="External" /><Relationship Type="http://schemas.openxmlformats.org/officeDocument/2006/relationships/hyperlink" Id="rId51" Target="https://doi.org/10.1111/oik.01549" TargetMode="External" /><Relationship Type="http://schemas.openxmlformats.org/officeDocument/2006/relationships/hyperlink" Id="rId45" Target="https://doi.org/10.1126/science.aav0550" TargetMode="External" /><Relationship Type="http://schemas.openxmlformats.org/officeDocument/2006/relationships/hyperlink" Id="rId89" Target="https://doi.org/10.1128/AEM.00062-07" TargetMode="External" /><Relationship Type="http://schemas.openxmlformats.org/officeDocument/2006/relationships/hyperlink" Id="rId71" Target="https://doi.org/10.1128/AEM.01021-09" TargetMode="External" /><Relationship Type="http://schemas.openxmlformats.org/officeDocument/2006/relationships/hyperlink" Id="rId131" Target="https://doi.org/10.1128/mBio.00434-20" TargetMode="External" /><Relationship Type="http://schemas.openxmlformats.org/officeDocument/2006/relationships/hyperlink" Id="rId41" Target="https://doi.org/10.1128/mr.60.4.609-640.1996" TargetMode="External" /><Relationship Type="http://schemas.openxmlformats.org/officeDocument/2006/relationships/hyperlink" Id="rId63" Target="https://doi.org/10.1146/annurev-biophys-101220-072829" TargetMode="External" /><Relationship Type="http://schemas.openxmlformats.org/officeDocument/2006/relationships/hyperlink" Id="rId105" Target="https://doi.org/10.1186/2049-2618-2-15" TargetMode="External" /><Relationship Type="http://schemas.openxmlformats.org/officeDocument/2006/relationships/hyperlink" Id="rId83" Target="https://doi.org/10.1186/2049-2618-2-6" TargetMode="External" /><Relationship Type="http://schemas.openxmlformats.org/officeDocument/2006/relationships/hyperlink" Id="rId91" Target="https://doi.org/10.1186/s40168-018-0605-2" TargetMode="External" /><Relationship Type="http://schemas.openxmlformats.org/officeDocument/2006/relationships/hyperlink" Id="rId107" Target="https://doi.org/10.1214/19-AOAS1283" TargetMode="External" /><Relationship Type="http://schemas.openxmlformats.org/officeDocument/2006/relationships/hyperlink" Id="rId67" Target="https://doi.org/10.1371/journal.pbio.3000356" TargetMode="External" /><Relationship Type="http://schemas.openxmlformats.org/officeDocument/2006/relationships/hyperlink" Id="rId99" Target="https://doi.org/10.1890/0012-9658(2001)082[0290:FMMTCD]2.0.CO;2" TargetMode="External" /><Relationship Type="http://schemas.openxmlformats.org/officeDocument/2006/relationships/hyperlink" Id="rId94" Target="https://doi.org/10.2307/1934145" TargetMode="External" /><Relationship Type="http://schemas.openxmlformats.org/officeDocument/2006/relationships/hyperlink" Id="rId97" Target="https://doi.org/10.2307/1942268" TargetMode="External" /><Relationship Type="http://schemas.openxmlformats.org/officeDocument/2006/relationships/hyperlink" Id="rId129" Target="https://doi.org/10.3389/fmicb.2015.00358" TargetMode="External" /><Relationship Type="http://schemas.openxmlformats.org/officeDocument/2006/relationships/hyperlink" Id="rId55" Target="https://doi.org/10.3389/fmicb.2016.00214" TargetMode="External" /><Relationship Type="http://schemas.openxmlformats.org/officeDocument/2006/relationships/hyperlink" Id="rId101" Target="https://doi.org/10.3389/fmicb.2017.02114"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2022-10-18T18:34:18Z</dcterms:created>
  <dcterms:modified xsi:type="dcterms:W3CDTF">2022-10-18T18:34:18Z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