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of</w:t>
      </w:r>
      <w:r>
        <w:t xml:space="preserve"> </w:t>
      </w:r>
      <w:r>
        <w:t xml:space="preserve">soil</w:t>
      </w:r>
      <w:r>
        <w:t xml:space="preserve"> </w:t>
      </w:r>
      <w:r>
        <w:t xml:space="preserve">microbiome</w:t>
      </w:r>
      <w:r>
        <w:t xml:space="preserve"> </w:t>
      </w:r>
      <w:r>
        <w:t xml:space="preserve">composition</w:t>
      </w:r>
      <w:r>
        <w:t xml:space="preserve"> </w:t>
      </w:r>
      <w:r>
        <w:t xml:space="preserve">to</w:t>
      </w:r>
      <w:r>
        <w:t xml:space="preserve"> </w:t>
      </w:r>
      <w:r>
        <w:t xml:space="preserve">selection</w:t>
      </w:r>
      <w:r>
        <w:t xml:space="preserve"> </w:t>
      </w:r>
      <w:r>
        <w:t xml:space="preserve">on</w:t>
      </w:r>
      <w:r>
        <w:t xml:space="preserve"> </w:t>
      </w:r>
      <w:r>
        <w:t xml:space="preserve">methane</w:t>
      </w:r>
      <w:r>
        <w:t xml:space="preserve"> </w:t>
      </w:r>
      <w:r>
        <w:t xml:space="preserve">oxidation</w:t>
      </w:r>
      <w:r>
        <w:t xml:space="preserve"> </w:t>
      </w:r>
      <w:r>
        <w:t xml:space="preserve">rate</w:t>
      </w:r>
    </w:p>
    <w:p>
      <w:pPr>
        <w:pStyle w:val="Author"/>
      </w:pPr>
      <w:r>
        <w:t xml:space="preserve">Andrew</w:t>
      </w:r>
      <w:r>
        <w:t xml:space="preserve"> </w:t>
      </w:r>
      <w:r>
        <w:t xml:space="preserve">H.</w:t>
      </w:r>
      <w:r>
        <w:t xml:space="preserve"> </w:t>
      </w:r>
      <w:r>
        <w:t xml:space="preserve">Morris</w:t>
      </w:r>
      <w:r>
        <w:rPr>
          <w:vertAlign w:val="superscript"/>
        </w:rPr>
        <w:t xml:space="preserve">1</w:t>
      </w:r>
      <w:r>
        <w:t xml:space="preserve">*</w:t>
      </w:r>
      <w:r>
        <w:t xml:space="preserve"> </w:t>
      </w:r>
      <w:r>
        <w:t xml:space="preserve">and</w:t>
      </w:r>
      <w:r>
        <w:t xml:space="preserve"> </w:t>
      </w:r>
      <w:r>
        <w:t xml:space="preserve">Brendan</w:t>
      </w:r>
      <w:r>
        <w:t xml:space="preserve"> </w:t>
      </w:r>
      <w:r>
        <w:t xml:space="preserve">J.</w:t>
      </w:r>
      <w:r>
        <w:t xml:space="preserve"> </w:t>
      </w:r>
      <w:r>
        <w:t xml:space="preserve">M.</w:t>
      </w:r>
      <w:r>
        <w:t xml:space="preserve"> </w:t>
      </w:r>
      <w:r>
        <w:t xml:space="preserve">Bohannan</w:t>
      </w:r>
      <w:r>
        <w:rPr>
          <w:vertAlign w:val="superscript"/>
        </w:rPr>
        <w:t xml:space="preserve">1</w:t>
      </w:r>
    </w:p>
    <w:p>
      <w:pPr>
        <w:pStyle w:val="FirstParagraph"/>
      </w:pPr>
      <w:r>
        <w:rPr>
          <w:vertAlign w:val="superscript"/>
        </w:rPr>
        <w:t xml:space="preserve">1</w:t>
      </w:r>
      <w:r>
        <w:t xml:space="preserve"> </w:t>
      </w:r>
      <w:r>
        <w:t xml:space="preserve">Institute of Ecology and Evolution, University of Oregon, Eugene, OR, USA</w:t>
      </w:r>
      <w:r>
        <w:br/>
      </w:r>
      <w:r>
        <w:t xml:space="preserve">* Correspondence: Andrew H. Morris, amorris3@uoregon.edu</w:t>
      </w:r>
      <w:r>
        <w:br/>
      </w:r>
      <w:r>
        <w:t xml:space="preserve">Competing Interests: We declare we have no competing interests.</w:t>
      </w:r>
    </w:p>
    <w:bookmarkStart w:id="20" w:name="abstract"/>
    <w:p>
      <w:pPr>
        <w:pStyle w:val="Heading1"/>
      </w:pPr>
      <w:r>
        <w:rPr>
          <w:rStyle w:val="SectionNumber"/>
        </w:rPr>
        <w:t xml:space="preserve">1</w:t>
      </w:r>
      <w:r>
        <w:tab/>
      </w:r>
      <w:r>
        <w:t xml:space="preserve">Abstract</w:t>
      </w:r>
    </w:p>
    <w:p>
      <w:pPr>
        <w:pStyle w:val="FirstParagraph"/>
      </w:pPr>
      <w:r>
        <w:t xml:space="preserve">Microbiomes mediate important ecosystem functions, yet it has proven difficult</w:t>
      </w:r>
      <w:r>
        <w:t xml:space="preserve"> </w:t>
      </w:r>
      <w:r>
        <w:t xml:space="preserve">to determine the relationship between microbiome composition and the rate of</w:t>
      </w:r>
      <w:r>
        <w:t xml:space="preserve"> </w:t>
      </w:r>
      <w:r>
        <w:t xml:space="preserve">ecosystem functions. This challenge remains because it is difficult to</w:t>
      </w:r>
      <w:r>
        <w:t xml:space="preserve"> </w:t>
      </w:r>
      <w:r>
        <w:t xml:space="preserve">manipulate microbiome composition directly, we often cannot know</w:t>
      </w:r>
      <w:r>
        <w:t xml:space="preserve"> </w:t>
      </w:r>
      <w:r>
        <w:rPr>
          <w:iCs/>
          <w:i/>
        </w:rPr>
        <w:t xml:space="preserve">a priori</w:t>
      </w:r>
      <w:r>
        <w:t xml:space="preserve"> </w:t>
      </w:r>
      <w:r>
        <w:t xml:space="preserve">which</w:t>
      </w:r>
      <w:r>
        <w:t xml:space="preserve"> </w:t>
      </w:r>
      <w:r>
        <w:t xml:space="preserve">microbiome members influence the rate of an ecosystem function, and</w:t>
      </w:r>
      <w:r>
        <w:t xml:space="preserve"> </w:t>
      </w:r>
      <w:r>
        <w:t xml:space="preserve">microbiomes can covary strongly with other drivers of ecosystem function, such</w:t>
      </w:r>
      <w:r>
        <w:t xml:space="preserve"> </w:t>
      </w:r>
      <w:r>
        <w:t xml:space="preserve">as the environment. To address these challenges, we imposed artificial</w:t>
      </w:r>
      <w:r>
        <w:t xml:space="preserve"> </w:t>
      </w:r>
      <w:r>
        <w:t xml:space="preserve">selection on whole soil ecosystems over multiple generations to select for microbial communities</w:t>
      </w:r>
      <w:r>
        <w:t xml:space="preserve"> </w:t>
      </w:r>
      <w:r>
        <w:t xml:space="preserve">with a high rate of CH</w:t>
      </w:r>
      <w:r>
        <w:rPr>
          <w:vertAlign w:val="subscript"/>
        </w:rPr>
        <w:t xml:space="preserve">4</w:t>
      </w:r>
      <w:r>
        <w:t xml:space="preserve"> </w:t>
      </w:r>
      <w:r>
        <w:t xml:space="preserve">oxidation. This approach</w:t>
      </w:r>
      <w:r>
        <w:t xml:space="preserve"> </w:t>
      </w:r>
      <w:r>
        <w:t xml:space="preserve">is potentially powerful because it is biologically</w:t>
      </w:r>
      <w:r>
        <w:t xml:space="preserve"> </w:t>
      </w:r>
      <w:r>
        <w:t xml:space="preserve">“</w:t>
      </w:r>
      <w:r>
        <w:t xml:space="preserve">agnostic</w:t>
      </w:r>
      <w:r>
        <w:t xml:space="preserve">”</w:t>
      </w:r>
      <w:r>
        <w:t xml:space="preserve"> </w:t>
      </w:r>
      <w:r>
        <w:t xml:space="preserve">in</w:t>
      </w:r>
      <w:r>
        <w:t xml:space="preserve"> </w:t>
      </w:r>
      <w:r>
        <w:t xml:space="preserve">that it makes few assumptions about which taxa are important to function, and</w:t>
      </w:r>
      <w:r>
        <w:t xml:space="preserve"> </w:t>
      </w:r>
      <w:r>
        <w:t xml:space="preserve">repeated passaging with fresh substrate weakens the covariance between microbes</w:t>
      </w:r>
      <w:r>
        <w:t xml:space="preserve"> </w:t>
      </w:r>
      <w:r>
        <w:t xml:space="preserve">and the environment. As a response to selection, we observed a</w:t>
      </w:r>
      <w:r>
        <w:t xml:space="preserve"> </w:t>
      </w:r>
      <w:r>
        <w:t xml:space="preserve">50.7% increase in</w:t>
      </w:r>
      <w:r>
        <w:t xml:space="preserve"> </w:t>
      </w:r>
      <w:r>
        <w:t xml:space="preserve">CH</w:t>
      </w:r>
      <w:r>
        <w:rPr>
          <w:vertAlign w:val="subscript"/>
        </w:rPr>
        <w:t xml:space="preserve">4</w:t>
      </w:r>
      <w:r>
        <w:t xml:space="preserve"> </w:t>
      </w:r>
      <w:r>
        <w:t xml:space="preserve">oxidation rate per passage relative to a control that experienced</w:t>
      </w:r>
      <w:r>
        <w:t xml:space="preserve"> </w:t>
      </w:r>
      <w:r>
        <w:t xml:space="preserve">random selection. We</w:t>
      </w:r>
      <w:r>
        <w:t xml:space="preserve"> </w:t>
      </w:r>
      <w:r>
        <w:t xml:space="preserve">estimated that 31.5% of the variation in</w:t>
      </w:r>
      <w:r>
        <w:t xml:space="preserve"> </w:t>
      </w:r>
      <w:r>
        <w:t xml:space="preserve">CH</w:t>
      </w:r>
      <w:r>
        <w:rPr>
          <w:vertAlign w:val="subscript"/>
        </w:rPr>
        <w:t xml:space="preserve">4</w:t>
      </w:r>
      <w:r>
        <w:t xml:space="preserve"> </w:t>
      </w:r>
      <w:r>
        <w:t xml:space="preserve">oxidation</w:t>
      </w:r>
      <w:r>
        <w:t xml:space="preserve"> </w:t>
      </w:r>
      <w:r>
        <w:t xml:space="preserve">rate in these soils can be attributed to microbiome variation (though this was not significant). We also found</w:t>
      </w:r>
      <w:r>
        <w:t xml:space="preserve"> </w:t>
      </w:r>
      <w:r>
        <w:t xml:space="preserve">that selection did not enrich for known CH</w:t>
      </w:r>
      <w:r>
        <w:rPr>
          <w:vertAlign w:val="subscript"/>
        </w:rPr>
        <w:t xml:space="preserve">4</w:t>
      </w:r>
      <w:r>
        <w:t xml:space="preserve"> </w:t>
      </w:r>
      <w:r>
        <w:t xml:space="preserve">oxidizers; instead, 12 families not</w:t>
      </w:r>
      <w:r>
        <w:t xml:space="preserve"> </w:t>
      </w:r>
      <w:r>
        <w:t xml:space="preserve">known to oxidize CH</w:t>
      </w:r>
      <w:r>
        <w:rPr>
          <w:vertAlign w:val="subscript"/>
        </w:rPr>
        <w:t xml:space="preserve">4</w:t>
      </w:r>
      <w:r>
        <w:t xml:space="preserve">, including</w:t>
      </w:r>
      <w:r>
        <w:t xml:space="preserve"> </w:t>
      </w:r>
      <w:r>
        <w:rPr>
          <w:iCs/>
          <w:i/>
        </w:rPr>
        <w:t xml:space="preserve">Fimbriimonadaceae</w:t>
      </w:r>
      <w:r>
        <w:t xml:space="preserve">,</w:t>
      </w:r>
      <w:r>
        <w:t xml:space="preserve"> </w:t>
      </w:r>
      <w:r>
        <w:rPr>
          <w:iCs/>
          <w:i/>
        </w:rPr>
        <w:t xml:space="preserve">Cytophagaceae</w:t>
      </w:r>
      <w:r>
        <w:t xml:space="preserve">, and</w:t>
      </w:r>
      <w:r>
        <w:t xml:space="preserve"> </w:t>
      </w:r>
      <w:r>
        <w:rPr>
          <w:iCs/>
          <w:i/>
        </w:rPr>
        <w:t xml:space="preserve">Diplorickettsiaceae</w:t>
      </w:r>
      <w:r>
        <w:t xml:space="preserve">, were enriched by selection. This result is in contrast to the typical assumption that</w:t>
      </w:r>
      <w:r>
        <w:t xml:space="preserve"> </w:t>
      </w:r>
      <w:r>
        <w:t xml:space="preserve">the rate of an ecosystem function is limited by the final step in the associated</w:t>
      </w:r>
      <w:r>
        <w:t xml:space="preserve"> </w:t>
      </w:r>
      <w:r>
        <w:t xml:space="preserve">microbial pathway. Our study demonstrates that variation in microbiome</w:t>
      </w:r>
      <w:r>
        <w:t xml:space="preserve"> </w:t>
      </w:r>
      <w:r>
        <w:t xml:space="preserve">composition can contribute to variation in the rate of ecosystem function</w:t>
      </w:r>
      <w:r>
        <w:t xml:space="preserve"> </w:t>
      </w:r>
      <w:r>
        <w:t xml:space="preserve">independent of the environment and that this may not always be limited by the final step</w:t>
      </w:r>
      <w:r>
        <w:t xml:space="preserve"> </w:t>
      </w:r>
      <w:r>
        <w:t xml:space="preserve">in a pathway. This suggests</w:t>
      </w:r>
      <w:r>
        <w:t xml:space="preserve"> </w:t>
      </w:r>
      <w:r>
        <w:t xml:space="preserve">that manipulating microbiome composition directly without altering the environment</w:t>
      </w:r>
      <w:r>
        <w:t xml:space="preserve"> </w:t>
      </w:r>
      <w:r>
        <w:t xml:space="preserve">could be a viable strategy for managing</w:t>
      </w:r>
      <w:r>
        <w:t xml:space="preserve"> </w:t>
      </w:r>
      <w:r>
        <w:t xml:space="preserve">ecosystem functions.</w:t>
      </w:r>
    </w:p>
    <w:bookmarkEnd w:id="20"/>
    <w:bookmarkStart w:id="21" w:name="introduction"/>
    <w:p>
      <w:pPr>
        <w:pStyle w:val="Heading1"/>
      </w:pPr>
      <w:r>
        <w:rPr>
          <w:rStyle w:val="SectionNumber"/>
        </w:rPr>
        <w:t xml:space="preserve">2</w:t>
      </w:r>
      <w:r>
        <w:tab/>
      </w:r>
      <w:r>
        <w:t xml:space="preserve">Introduction</w:t>
      </w:r>
    </w:p>
    <w:p>
      <w:pPr>
        <w:pStyle w:val="FirstParagraph"/>
      </w:pPr>
      <w:r>
        <w:t xml:space="preserve">Microbiomes mediate a variety of important ecosystem functions relevant to human</w:t>
      </w:r>
      <w:r>
        <w:t xml:space="preserve"> </w:t>
      </w:r>
      <w:r>
        <w:t xml:space="preserve">health, agriculture, and global change. As a result, there is great interest in</w:t>
      </w:r>
      <w:r>
        <w:t xml:space="preserve"> </w:t>
      </w:r>
      <w:r>
        <w:t xml:space="preserve">understanding how to manipulate the microbiome to achieve desirable outcomes</w:t>
      </w:r>
      <w:r>
        <w:t xml:space="preserve"> </w:t>
      </w:r>
      <w:r>
        <w:t xml:space="preserve">within these domains</w:t>
      </w:r>
      <w:r>
        <w:t xml:space="preserve"> </w:t>
      </w:r>
      <w:r>
        <w:t xml:space="preserve">(Conrad, 1996; Schimel and Gulledge, 1998; Crowther et al., 2019)</w:t>
      </w:r>
      <w:r>
        <w:t xml:space="preserve">. However, for</w:t>
      </w:r>
      <w:r>
        <w:t xml:space="preserve"> </w:t>
      </w:r>
      <w:r>
        <w:t xml:space="preserve">microbiome manipulations to be successful, variation in the microbiome must</w:t>
      </w:r>
      <w:r>
        <w:t xml:space="preserve"> </w:t>
      </w:r>
      <w:r>
        <w:t xml:space="preserve">contribute directly to variation in the magnitude of the function of interest</w:t>
      </w:r>
      <w:r>
        <w:t xml:space="preserve"> </w:t>
      </w:r>
      <w:r>
        <w:t xml:space="preserve">independent of other factors. Many studies have attempted to document such a</w:t>
      </w:r>
      <w:r>
        <w:t xml:space="preserve"> </w:t>
      </w:r>
      <w:r>
        <w:t xml:space="preserve">relationship</w:t>
      </w:r>
      <w:r>
        <w:t xml:space="preserve"> </w:t>
      </w:r>
      <w:r>
        <w:t xml:space="preserve">(Cavigelli and Robertson, 2000; Balser and Firestone, 2005; Waldrop and Firestone, 2006; Strickland et al., 2009; Wagg et al., 2014, 2019)</w:t>
      </w:r>
      <w:r>
        <w:t xml:space="preserve">.</w:t>
      </w:r>
      <w:r>
        <w:t xml:space="preserve"> </w:t>
      </w:r>
      <w:r>
        <w:t xml:space="preserve">However, it is difficult to isolate the direct effect of variation in microbiome</w:t>
      </w:r>
      <w:r>
        <w:t xml:space="preserve"> </w:t>
      </w:r>
      <w:r>
        <w:t xml:space="preserve">composition from other drivers of variation in ecosystem function, such as the</w:t>
      </w:r>
      <w:r>
        <w:t xml:space="preserve"> </w:t>
      </w:r>
      <w:r>
        <w:t xml:space="preserve">indirect effect of the environment on function through microbiome assembly.</w:t>
      </w:r>
      <w:r>
        <w:t xml:space="preserve"> </w:t>
      </w:r>
      <w:r>
        <w:t xml:space="preserve">Here, we overcome these limitations by using a selection approach to estimate</w:t>
      </w:r>
      <w:r>
        <w:t xml:space="preserve"> </w:t>
      </w:r>
      <w:r>
        <w:t xml:space="preserve">the degree to which an ecosystem function varies with microbiome composition.</w:t>
      </w:r>
    </w:p>
    <w:p>
      <w:pPr>
        <w:pStyle w:val="TextBody"/>
      </w:pPr>
      <w:r>
        <w:t xml:space="preserve">Altering ecosystem functions via microbiome manipulations requires that the</w:t>
      </w:r>
      <w:r>
        <w:t xml:space="preserve"> </w:t>
      </w:r>
      <w:r>
        <w:t xml:space="preserve">microbiome contributes to variation in ecosystem function independent of other</w:t>
      </w:r>
      <w:r>
        <w:t xml:space="preserve"> </w:t>
      </w:r>
      <w:r>
        <w:t xml:space="preserve">drivers of ecosystem variation, such as variation in environmental conditions.</w:t>
      </w:r>
      <w:r>
        <w:t xml:space="preserve"> </w:t>
      </w:r>
      <w:r>
        <w:t xml:space="preserve">This is because the drivers of variation in ecosystem functions can interact in</w:t>
      </w:r>
      <w:r>
        <w:t xml:space="preserve"> </w:t>
      </w:r>
      <w:r>
        <w:t xml:space="preserve">complicated ways (Figure 1). Variation in the</w:t>
      </w:r>
      <w:r>
        <w:t xml:space="preserve"> </w:t>
      </w:r>
      <w:r>
        <w:t xml:space="preserve">microbiome can contribute directly to variation in ecosystem function, for</w:t>
      </w:r>
      <w:r>
        <w:t xml:space="preserve"> </w:t>
      </w:r>
      <w:r>
        <w:t xml:space="preserve">example, if a microbial population is replaced by one with a greater enzyme</w:t>
      </w:r>
      <w:r>
        <w:t xml:space="preserve"> </w:t>
      </w:r>
      <w:r>
        <w:t xml:space="preserve">efficiency. In addition, environmental conditions can contribute indirectly to</w:t>
      </w:r>
      <w:r>
        <w:t xml:space="preserve"> </w:t>
      </w:r>
      <w:r>
        <w:t xml:space="preserve">ecosystem function via covariance with the microbiome, for example, by providing</w:t>
      </w:r>
      <w:r>
        <w:t xml:space="preserve"> </w:t>
      </w:r>
      <w:r>
        <w:t xml:space="preserve">conditions that select for microbial groups that in turn alter the rates of</w:t>
      </w:r>
      <w:r>
        <w:t xml:space="preserve"> </w:t>
      </w:r>
      <w:r>
        <w:t xml:space="preserve">ecosystem functions. In this scenario, identifying the change in microbial</w:t>
      </w:r>
      <w:r>
        <w:t xml:space="preserve"> </w:t>
      </w:r>
      <w:r>
        <w:t xml:space="preserve">community composition without adequately controlling for the environmental</w:t>
      </w:r>
      <w:r>
        <w:t xml:space="preserve"> </w:t>
      </w:r>
      <w:r>
        <w:t xml:space="preserve">conditions would incorrectly attribute the change in ecosystem function to the</w:t>
      </w:r>
      <w:r>
        <w:t xml:space="preserve"> </w:t>
      </w:r>
      <w:r>
        <w:t xml:space="preserve">microbiome when it is ultimately an indirect effect of the environment.</w:t>
      </w:r>
      <w:r>
        <w:t xml:space="preserve"> </w:t>
      </w:r>
      <w:r>
        <w:t xml:space="preserve">Determining the independent contribution of microbiome variation to ecosystem</w:t>
      </w:r>
      <w:r>
        <w:t xml:space="preserve"> </w:t>
      </w:r>
      <w:r>
        <w:t xml:space="preserve">function is crucial because if microbiome composition is driven primarily by</w:t>
      </w:r>
      <w:r>
        <w:t xml:space="preserve"> </w:t>
      </w:r>
      <w:r>
        <w:t xml:space="preserve">environmental conditions, then introducing a desirable taxon through microbiome</w:t>
      </w:r>
      <w:r>
        <w:t xml:space="preserve"> </w:t>
      </w:r>
      <w:r>
        <w:t xml:space="preserve">manipulation without altering the environment will likely be unsuccessful at</w:t>
      </w:r>
      <w:r>
        <w:t xml:space="preserve"> </w:t>
      </w:r>
      <w:r>
        <w:t xml:space="preserve">shifting the targeted ecosystem function.</w:t>
      </w:r>
    </w:p>
    <w:p>
      <w:pPr>
        <w:pStyle w:val="TextBody"/>
      </w:pPr>
      <w:r>
        <w:t xml:space="preserve">There have been two general categories of approaches that investigators have</w:t>
      </w:r>
      <w:r>
        <w:t xml:space="preserve"> </w:t>
      </w:r>
      <w:r>
        <w:t xml:space="preserve">used to estimate the degree to which an ecosystem function varies with</w:t>
      </w:r>
      <w:r>
        <w:t xml:space="preserve"> </w:t>
      </w:r>
      <w:r>
        <w:t xml:space="preserve">microbiome composition: comparative and manipulative. Comparative studies sample</w:t>
      </w:r>
      <w:r>
        <w:t xml:space="preserve"> </w:t>
      </w:r>
      <w:r>
        <w:t xml:space="preserve">natural variation in an ecosystem function across different habitats and</w:t>
      </w:r>
      <w:r>
        <w:t xml:space="preserve"> </w:t>
      </w:r>
      <w:r>
        <w:t xml:space="preserve">simultaneously measure variation in community composition. Investigators can</w:t>
      </w:r>
      <w:r>
        <w:t xml:space="preserve"> </w:t>
      </w:r>
      <w:r>
        <w:t xml:space="preserve">then correlate ecosystem function with aspects of community composition while</w:t>
      </w:r>
      <w:r>
        <w:t xml:space="preserve"> </w:t>
      </w:r>
      <w:r>
        <w:t xml:space="preserve">attempting to control for environmental variation. These approaches have</w:t>
      </w:r>
      <w:r>
        <w:t xml:space="preserve"> </w:t>
      </w:r>
      <w:r>
        <w:t xml:space="preserve">documented important relationships between microbiomes and ecosystem functions.</w:t>
      </w:r>
      <w:r>
        <w:t xml:space="preserve"> </w:t>
      </w:r>
      <w:r>
        <w:t xml:space="preserve">For example, a meta-analysis of these studies observed a small but significant</w:t>
      </w:r>
      <w:r>
        <w:t xml:space="preserve"> </w:t>
      </w:r>
      <w:r>
        <w:t xml:space="preserve">contribution of the microbiome to variation in ecosystem function after</w:t>
      </w:r>
      <w:r>
        <w:t xml:space="preserve"> </w:t>
      </w:r>
      <w:r>
        <w:t xml:space="preserve">controlling for environmental variation</w:t>
      </w:r>
      <w:r>
        <w:t xml:space="preserve"> </w:t>
      </w:r>
      <w:r>
        <w:t xml:space="preserve">(Graham et al., 2016)</w:t>
      </w:r>
      <w:r>
        <w:t xml:space="preserve">. In addition, studies</w:t>
      </w:r>
      <w:r>
        <w:t xml:space="preserve"> </w:t>
      </w:r>
      <w:r>
        <w:t xml:space="preserve">focusing on the correlation between the rate of an ecosystem function and the</w:t>
      </w:r>
      <w:r>
        <w:t xml:space="preserve"> </w:t>
      </w:r>
      <w:r>
        <w:t xml:space="preserve">abundance of an associated marker gene (i.e., a gene that codes for a protein</w:t>
      </w:r>
      <w:r>
        <w:t xml:space="preserve"> </w:t>
      </w:r>
      <w:r>
        <w:t xml:space="preserve">assumed to be involved in the ecosystem function) sometimes observe a</w:t>
      </w:r>
      <w:r>
        <w:t xml:space="preserve"> </w:t>
      </w:r>
      <w:r>
        <w:t xml:space="preserve">significant correlation, though this relationship is rare and contingent upon</w:t>
      </w:r>
      <w:r>
        <w:t xml:space="preserve"> </w:t>
      </w:r>
      <w:r>
        <w:t xml:space="preserve">both the function and the ecosystem sampled</w:t>
      </w:r>
      <w:r>
        <w:t xml:space="preserve"> </w:t>
      </w:r>
      <w:r>
        <w:t xml:space="preserve">(Rocca et al., 2015)</w:t>
      </w:r>
      <w:r>
        <w:t xml:space="preserve">. However, comparative</w:t>
      </w:r>
      <w:r>
        <w:t xml:space="preserve"> </w:t>
      </w:r>
      <w:r>
        <w:t xml:space="preserve">studies come with unique challenges and limitations. One issue is that</w:t>
      </w:r>
      <w:r>
        <w:t xml:space="preserve"> </w:t>
      </w:r>
      <w:r>
        <w:t xml:space="preserve">microbiome attributes tend to covary with the abiotic conditions within an</w:t>
      </w:r>
      <w:r>
        <w:t xml:space="preserve"> </w:t>
      </w:r>
      <w:r>
        <w:t xml:space="preserve">environment, and it is difficult to control for these abiotic variables in order</w:t>
      </w:r>
      <w:r>
        <w:t xml:space="preserve"> </w:t>
      </w:r>
      <w:r>
        <w:t xml:space="preserve">to identify the unique contribution of the microbiome to ecosystem function. In</w:t>
      </w:r>
      <w:r>
        <w:t xml:space="preserve"> </w:t>
      </w:r>
      <w:r>
        <w:t xml:space="preserve">addition, it is difficult to know</w:t>
      </w:r>
      <w:r>
        <w:t xml:space="preserve"> </w:t>
      </w:r>
      <w:r>
        <w:rPr>
          <w:iCs/>
          <w:i/>
        </w:rPr>
        <w:t xml:space="preserve">a priori</w:t>
      </w:r>
      <w:r>
        <w:t xml:space="preserve"> </w:t>
      </w:r>
      <w:r>
        <w:t xml:space="preserve">which environmental variables or</w:t>
      </w:r>
      <w:r>
        <w:t xml:space="preserve"> </w:t>
      </w:r>
      <w:r>
        <w:t xml:space="preserve">community attributes to measure. Finally, while these approaches can establish a</w:t>
      </w:r>
      <w:r>
        <w:t xml:space="preserve"> </w:t>
      </w:r>
      <w:r>
        <w:t xml:space="preserve">potential magnitude and direction for these relationships, it is often difficult</w:t>
      </w:r>
      <w:r>
        <w:t xml:space="preserve"> </w:t>
      </w:r>
      <w:r>
        <w:t xml:space="preserve">to identify the</w:t>
      </w:r>
      <w:r>
        <w:t xml:space="preserve"> </w:t>
      </w:r>
      <w:r>
        <w:t xml:space="preserve">taxa or genes that explain the connection between composition and function.</w:t>
      </w:r>
    </w:p>
    <w:p>
      <w:pPr>
        <w:pStyle w:val="TextBody"/>
      </w:pPr>
      <w:r>
        <w:t xml:space="preserve">The other broad category of approaches used to address this question are</w:t>
      </w:r>
      <w:r>
        <w:t xml:space="preserve"> </w:t>
      </w:r>
      <w:r>
        <w:t xml:space="preserve">manipulative approaches. Manipulative experiments try to alter microbial</w:t>
      </w:r>
      <w:r>
        <w:t xml:space="preserve"> </w:t>
      </w:r>
      <w:r>
        <w:t xml:space="preserve">community composition and observe the effect on function. For example,</w:t>
      </w:r>
      <w:r>
        <w:t xml:space="preserve"> </w:t>
      </w:r>
      <w:r>
        <w:t xml:space="preserve">reciprocal transplant and common garden experiments have shown that microbiomes</w:t>
      </w:r>
      <w:r>
        <w:t xml:space="preserve"> </w:t>
      </w:r>
      <w:r>
        <w:t xml:space="preserve">originating from different ecosystems inoculated into the same substrate or</w:t>
      </w:r>
      <w:r>
        <w:t xml:space="preserve"> </w:t>
      </w:r>
      <w:r>
        <w:t xml:space="preserve">introduced into a common environment display distinct functional rates</w:t>
      </w:r>
      <w:r>
        <w:t xml:space="preserve"> </w:t>
      </w:r>
      <w:r>
        <w:t xml:space="preserve">(Cavigelli and Robertson, 2000; Balser and Firestone, 2005; Waldrop and Firestone, 2006; Strickland et al., 2009)</w:t>
      </w:r>
      <w:r>
        <w:t xml:space="preserve">. In addition,</w:t>
      </w:r>
      <w:r>
        <w:t xml:space="preserve"> </w:t>
      </w:r>
      <w:r>
        <w:t xml:space="preserve">manipulating diversity by filtering communities by cell size or through dilution</w:t>
      </w:r>
      <w:r>
        <w:t xml:space="preserve"> </w:t>
      </w:r>
      <w:r>
        <w:t xml:space="preserve">has been shown to alter the rate of ecosystem functions</w:t>
      </w:r>
      <w:r>
        <w:t xml:space="preserve"> </w:t>
      </w:r>
      <w:r>
        <w:t xml:space="preserve">(Griffiths et al., 2001; Wagg et al., 2014, 2019)</w:t>
      </w:r>
      <w:r>
        <w:t xml:space="preserve">. However, manipulating the microbiome</w:t>
      </w:r>
      <w:r>
        <w:t xml:space="preserve"> </w:t>
      </w:r>
      <w:r>
        <w:t xml:space="preserve">directly is challenging, and manipulative approaches often confound</w:t>
      </w:r>
      <w:r>
        <w:t xml:space="preserve"> </w:t>
      </w:r>
      <w:r>
        <w:t xml:space="preserve">community composition with other factors. For example, reciprocal transplant and</w:t>
      </w:r>
      <w:r>
        <w:t xml:space="preserve"> </w:t>
      </w:r>
      <w:r>
        <w:t xml:space="preserve">common garden experiments can confound community composition with the abiotic</w:t>
      </w:r>
      <w:r>
        <w:t xml:space="preserve"> </w:t>
      </w:r>
      <w:r>
        <w:t xml:space="preserve">conditions introduced with the inoculum, while manipulating composition through</w:t>
      </w:r>
      <w:r>
        <w:t xml:space="preserve"> </w:t>
      </w:r>
      <w:r>
        <w:t xml:space="preserve">dilution may confound composition with biomass</w:t>
      </w:r>
      <w:r>
        <w:t xml:space="preserve"> </w:t>
      </w:r>
      <w:r>
        <w:t xml:space="preserve">(Reed and Martiny, 2007)</w:t>
      </w:r>
      <w:r>
        <w:t xml:space="preserve">.</w:t>
      </w:r>
    </w:p>
    <w:p>
      <w:pPr>
        <w:pStyle w:val="TextBody"/>
      </w:pPr>
      <w:r>
        <w:t xml:space="preserve">In this study, we sought to build on the observations of comparative and</w:t>
      </w:r>
      <w:r>
        <w:t xml:space="preserve"> </w:t>
      </w:r>
      <w:r>
        <w:t xml:space="preserve">manipulative studies by applying a different approach to the question of whether</w:t>
      </w:r>
      <w:r>
        <w:t xml:space="preserve"> </w:t>
      </w:r>
      <w:r>
        <w:t xml:space="preserve">microbiome variation contributes to variation in the rate of an ecosystem</w:t>
      </w:r>
      <w:r>
        <w:t xml:space="preserve"> </w:t>
      </w:r>
      <w:r>
        <w:t xml:space="preserve">function. We used artificial ecosystem selection to select for microbiomes that</w:t>
      </w:r>
      <w:r>
        <w:t xml:space="preserve"> </w:t>
      </w:r>
      <w:r>
        <w:t xml:space="preserve">performed a greater rate of ecosystem function</w:t>
      </w:r>
      <w:r>
        <w:t xml:space="preserve"> </w:t>
      </w:r>
      <w:r>
        <w:t xml:space="preserve">(Swenson et al., 2000; Blouin et al., 2015; Panke-Buisse et al., 2015)</w:t>
      </w:r>
      <w:r>
        <w:t xml:space="preserve">. We then tested whether variation in the microbiome</w:t>
      </w:r>
      <w:r>
        <w:t xml:space="preserve"> </w:t>
      </w:r>
      <w:r>
        <w:t xml:space="preserve">contributed to variation in the rate of ecosystem function and identified</w:t>
      </w:r>
      <w:r>
        <w:t xml:space="preserve"> </w:t>
      </w:r>
      <w:r>
        <w:t xml:space="preserve">microbiome attributes that might explain this relationship. There are several</w:t>
      </w:r>
      <w:r>
        <w:t xml:space="preserve"> </w:t>
      </w:r>
      <w:r>
        <w:t xml:space="preserve">potential advantages to this approach for documenting the direct contribution of</w:t>
      </w:r>
      <w:r>
        <w:t xml:space="preserve"> </w:t>
      </w:r>
      <w:r>
        <w:t xml:space="preserve">the microbiome to variation in ecosystem function and for investigating the</w:t>
      </w:r>
      <w:r>
        <w:t xml:space="preserve"> </w:t>
      </w:r>
      <w:r>
        <w:t xml:space="preserve">mechanisms underlying those relationships. Through repeated passaging of microbiomes</w:t>
      </w:r>
      <w:r>
        <w:t xml:space="preserve"> </w:t>
      </w:r>
      <w:r>
        <w:t xml:space="preserve">in a common environment, we can weaken the covariance between microbes and the</w:t>
      </w:r>
      <w:r>
        <w:t xml:space="preserve"> </w:t>
      </w:r>
      <w:r>
        <w:t xml:space="preserve">environment by repeatedly diluting the influence of variation in abiotic</w:t>
      </w:r>
      <w:r>
        <w:t xml:space="preserve"> </w:t>
      </w:r>
      <w:r>
        <w:t xml:space="preserve">conditions. In addition, our approach eliminates the need to generate microbiome</w:t>
      </w:r>
      <w:r>
        <w:t xml:space="preserve"> </w:t>
      </w:r>
      <w:r>
        <w:t xml:space="preserve">variation through methods that are confounded with biomass or cell size. Lastly,</w:t>
      </w:r>
      <w:r>
        <w:t xml:space="preserve"> </w:t>
      </w:r>
      <w:r>
        <w:t xml:space="preserve">by comparing our artificially selected community to a control community</w:t>
      </w:r>
      <w:r>
        <w:t xml:space="preserve"> </w:t>
      </w:r>
      <w:r>
        <w:t xml:space="preserve">resulting from random selection, we can both control for changes in the</w:t>
      </w:r>
      <w:r>
        <w:t xml:space="preserve"> </w:t>
      </w:r>
      <w:r>
        <w:t xml:space="preserve">environment over time and identify genes or taxa that are associated with the</w:t>
      </w:r>
      <w:r>
        <w:t xml:space="preserve"> </w:t>
      </w:r>
      <w:r>
        <w:t xml:space="preserve">ecosystem function under selection.</w:t>
      </w:r>
    </w:p>
    <w:p>
      <w:pPr>
        <w:pStyle w:val="TextBody"/>
      </w:pPr>
      <w:r>
        <w:t xml:space="preserve">We applied artificial ecosystem selection to soil microbiomes by selecting on</w:t>
      </w:r>
      <w:r>
        <w:t xml:space="preserve"> </w:t>
      </w:r>
      <w:r>
        <w:t xml:space="preserve">soil methane (CH</w:t>
      </w:r>
      <w:r>
        <w:rPr>
          <w:vertAlign w:val="subscript"/>
        </w:rPr>
        <w:t xml:space="preserve">4</w:t>
      </w:r>
      <w:r>
        <w:t xml:space="preserve">) oxidation rate. We chose this function because CH</w:t>
      </w:r>
      <w:r>
        <w:rPr>
          <w:vertAlign w:val="subscript"/>
        </w:rPr>
        <w:t xml:space="preserve">4</w:t>
      </w:r>
      <w:r>
        <w:t xml:space="preserve"> </w:t>
      </w:r>
      <w:r>
        <w:t xml:space="preserve">is a</w:t>
      </w:r>
      <w:r>
        <w:t xml:space="preserve"> </w:t>
      </w:r>
      <w:r>
        <w:t xml:space="preserve">globally important greenhouse gas and CH</w:t>
      </w:r>
      <w:r>
        <w:rPr>
          <w:vertAlign w:val="subscript"/>
        </w:rPr>
        <w:t xml:space="preserve">4</w:t>
      </w:r>
      <w:r>
        <w:t xml:space="preserve"> </w:t>
      </w:r>
      <w:r>
        <w:t xml:space="preserve">oxidation by soil bacteria is the</w:t>
      </w:r>
      <w:r>
        <w:t xml:space="preserve"> </w:t>
      </w:r>
      <w:r>
        <w:t xml:space="preserve">primary biological sink for atmospheric CH</w:t>
      </w:r>
      <w:r>
        <w:rPr>
          <w:vertAlign w:val="subscript"/>
        </w:rPr>
        <w:t xml:space="preserve">4</w:t>
      </w:r>
      <w:r>
        <w:t xml:space="preserve"> </w:t>
      </w:r>
      <w:r>
        <w:t xml:space="preserve">(Kirschke et al., 2013)</w:t>
      </w:r>
      <w:r>
        <w:t xml:space="preserve">. In addition,</w:t>
      </w:r>
      <w:r>
        <w:t xml:space="preserve"> </w:t>
      </w:r>
      <w:r>
        <w:t xml:space="preserve">there is evidence that soil CH</w:t>
      </w:r>
      <w:r>
        <w:rPr>
          <w:vertAlign w:val="subscript"/>
        </w:rPr>
        <w:t xml:space="preserve">4</w:t>
      </w:r>
      <w:r>
        <w:t xml:space="preserve"> </w:t>
      </w:r>
      <w:r>
        <w:t xml:space="preserve">oxidation rate may vary with microbiome</w:t>
      </w:r>
      <w:r>
        <w:t xml:space="preserve"> </w:t>
      </w:r>
      <w:r>
        <w:t xml:space="preserve">composition based on comparative studies in a variety of arctic and tropical</w:t>
      </w:r>
      <w:r>
        <w:t xml:space="preserve"> </w:t>
      </w:r>
      <w:r>
        <w:t xml:space="preserve">ecosystems</w:t>
      </w:r>
      <w:r>
        <w:t xml:space="preserve"> </w:t>
      </w:r>
      <w:r>
        <w:t xml:space="preserve">(Freitag and Prosser, 2009; Freitag et al., 2010; Meyer et al., 2020b, 2020a)</w:t>
      </w:r>
      <w:r>
        <w:t xml:space="preserve"> </w:t>
      </w:r>
      <w:r>
        <w:t xml:space="preserve">as well as</w:t>
      </w:r>
      <w:r>
        <w:t xml:space="preserve"> </w:t>
      </w:r>
      <w:r>
        <w:t xml:space="preserve">studies that manipulate methanotroph richness</w:t>
      </w:r>
      <w:r>
        <w:t xml:space="preserve"> </w:t>
      </w:r>
      <w:r>
        <w:t xml:space="preserve">(Schnyder et al., 2018)</w:t>
      </w:r>
      <w:r>
        <w:t xml:space="preserve">. Finally,</w:t>
      </w:r>
      <w:r>
        <w:t xml:space="preserve"> </w:t>
      </w:r>
      <w:r>
        <w:t xml:space="preserve">methanotrophy is one of the most deeply conserved microbial physiologies and is</w:t>
      </w:r>
      <w:r>
        <w:t xml:space="preserve"> </w:t>
      </w:r>
      <w:r>
        <w:t xml:space="preserve">represented in a narrow range of taxa, which suggests that the taxonomic</w:t>
      </w:r>
      <w:r>
        <w:t xml:space="preserve"> </w:t>
      </w:r>
      <w:r>
        <w:t xml:space="preserve">composition of the microbiome is more likely to be associated with the rate of</w:t>
      </w:r>
      <w:r>
        <w:t xml:space="preserve"> </w:t>
      </w:r>
      <w:r>
        <w:t xml:space="preserve">CH</w:t>
      </w:r>
      <w:r>
        <w:rPr>
          <w:vertAlign w:val="subscript"/>
        </w:rPr>
        <w:t xml:space="preserve">4</w:t>
      </w:r>
      <w:r>
        <w:t xml:space="preserve"> </w:t>
      </w:r>
      <w:r>
        <w:t xml:space="preserve">oxidation than other broader or more shallowly conserved functions</w:t>
      </w:r>
      <w:r>
        <w:t xml:space="preserve"> </w:t>
      </w:r>
      <w:r>
        <w:t xml:space="preserve">(Schimel and Gulledge, 1998; Martiny et al., 2013)</w:t>
      </w:r>
      <w:r>
        <w:t xml:space="preserve">.</w:t>
      </w:r>
    </w:p>
    <w:p>
      <w:pPr>
        <w:pStyle w:val="TextBody"/>
      </w:pPr>
      <w:r>
        <w:t xml:space="preserve">In this study, we used artificial ecosystem selection on CH</w:t>
      </w:r>
      <w:r>
        <w:rPr>
          <w:vertAlign w:val="subscript"/>
        </w:rPr>
        <w:t xml:space="preserve">4</w:t>
      </w:r>
      <w:r>
        <w:t xml:space="preserve"> </w:t>
      </w:r>
      <w:r>
        <w:t xml:space="preserve">oxidation rate</w:t>
      </w:r>
      <w:r>
        <w:t xml:space="preserve"> </w:t>
      </w:r>
      <w:r>
        <w:t xml:space="preserve">to address the following questions: Does variation in the relative abundance of</w:t>
      </w:r>
      <w:r>
        <w:t xml:space="preserve"> </w:t>
      </w:r>
      <w:r>
        <w:t xml:space="preserve">microbial taxa contribute to variation in soil CH</w:t>
      </w:r>
      <w:r>
        <w:rPr>
          <w:vertAlign w:val="subscript"/>
        </w:rPr>
        <w:t xml:space="preserve">4</w:t>
      </w:r>
      <w:r>
        <w:t xml:space="preserve"> </w:t>
      </w:r>
      <w:r>
        <w:t xml:space="preserve">oxidation rate</w:t>
      </w:r>
      <w:r>
        <w:t xml:space="preserve"> </w:t>
      </w:r>
      <w:r>
        <w:t xml:space="preserve">independent of the environment in our system? Which attributes of the microbiome</w:t>
      </w:r>
      <w:r>
        <w:t xml:space="preserve"> </w:t>
      </w:r>
      <w:r>
        <w:t xml:space="preserve">are associated with variation in CH</w:t>
      </w:r>
      <w:r>
        <w:rPr>
          <w:vertAlign w:val="subscript"/>
        </w:rPr>
        <w:t xml:space="preserve">4</w:t>
      </w:r>
      <w:r>
        <w:t xml:space="preserve"> </w:t>
      </w:r>
      <w:r>
        <w:t xml:space="preserve">oxidation rate, and do these attributes</w:t>
      </w:r>
      <w:r>
        <w:t xml:space="preserve"> </w:t>
      </w:r>
      <w:r>
        <w:t xml:space="preserve">match our assumptions about the factors that regulate CH</w:t>
      </w:r>
      <w:r>
        <w:rPr>
          <w:vertAlign w:val="subscript"/>
        </w:rPr>
        <w:t xml:space="preserve">4</w:t>
      </w:r>
      <w:r>
        <w:t xml:space="preserve"> </w:t>
      </w:r>
      <w:r>
        <w:t xml:space="preserve">oxidation rate in</w:t>
      </w:r>
      <w:r>
        <w:t xml:space="preserve"> </w:t>
      </w:r>
      <w:r>
        <w:t xml:space="preserve">nature?</w:t>
      </w:r>
    </w:p>
    <w:bookmarkEnd w:id="21"/>
    <w:bookmarkStart w:id="31" w:name="materials-and-methods"/>
    <w:p>
      <w:pPr>
        <w:pStyle w:val="Heading1"/>
      </w:pPr>
      <w:r>
        <w:rPr>
          <w:rStyle w:val="SectionNumber"/>
        </w:rPr>
        <w:t xml:space="preserve">3</w:t>
      </w:r>
      <w:r>
        <w:tab/>
      </w:r>
      <w:r>
        <w:t xml:space="preserve">Materials and methods</w:t>
      </w:r>
    </w:p>
    <w:bookmarkStart w:id="22" w:name="experimental-design"/>
    <w:p>
      <w:pPr>
        <w:pStyle w:val="Heading2"/>
      </w:pPr>
      <w:r>
        <w:rPr>
          <w:rStyle w:val="SectionNumber"/>
        </w:rPr>
        <w:t xml:space="preserve">3.1</w:t>
      </w:r>
      <w:r>
        <w:tab/>
      </w:r>
      <w:r>
        <w:t xml:space="preserve">Experimental design</w:t>
      </w:r>
    </w:p>
    <w:p>
      <w:pPr>
        <w:pStyle w:val="FirstParagraph"/>
      </w:pPr>
      <w:r>
        <w:t xml:space="preserve">We performed an artificial ecosystem selection experiment (</w:t>
      </w:r>
      <w:r>
        <w:rPr>
          <w:iCs/>
          <w:i/>
        </w:rPr>
        <w:t xml:space="preserve">sensu</w:t>
      </w:r>
      <w:r>
        <w:t xml:space="preserve"> </w:t>
      </w:r>
      <w:r>
        <w:t xml:space="preserve">Swenson et al. (2000)</w:t>
      </w:r>
      <w:r>
        <w:t xml:space="preserve">)</w:t>
      </w:r>
      <w:r>
        <w:t xml:space="preserve"> </w:t>
      </w:r>
      <w:r>
        <w:t xml:space="preserve">by passaging replicate soil microbiomes. The trait we selected on was soil CH</w:t>
      </w:r>
      <w:r>
        <w:rPr>
          <w:vertAlign w:val="subscript"/>
        </w:rPr>
        <w:t xml:space="preserve">4</w:t>
      </w:r>
      <w:r>
        <w:t xml:space="preserve"> </w:t>
      </w:r>
      <w:r>
        <w:t xml:space="preserve">oxidation rate. Soil microcosms were incubated at room temperature in sealed</w:t>
      </w:r>
      <w:r>
        <w:t xml:space="preserve"> </w:t>
      </w:r>
      <w:r>
        <w:t xml:space="preserve">500 mL glass jars with a rubber septum for gas sampling. Each jar was sterilized</w:t>
      </w:r>
      <w:r>
        <w:t xml:space="preserve"> </w:t>
      </w:r>
      <w:r>
        <w:t xml:space="preserve">with 70% ethanol and was composed of 45 g of autoclaved artificial potting mix,</w:t>
      </w:r>
      <w:r>
        <w:t xml:space="preserve"> </w:t>
      </w:r>
      <w:r>
        <w:t xml:space="preserve">5 g of living soil inoculum, and 3.5 mL of sterile deionized water to bring the</w:t>
      </w:r>
      <w:r>
        <w:t xml:space="preserve"> </w:t>
      </w:r>
      <w:r>
        <w:t xml:space="preserve">soil to 60% of field capacity. The potting mix consisted of bark fines, peat</w:t>
      </w:r>
      <w:r>
        <w:t xml:space="preserve"> </w:t>
      </w:r>
      <w:r>
        <w:t xml:space="preserve">moss, pumice, sand, composted manure, and biochar (Lane Potting Mix, Lane Forest</w:t>
      </w:r>
      <w:r>
        <w:t xml:space="preserve"> </w:t>
      </w:r>
      <w:r>
        <w:t xml:space="preserve">Products, Eugene, OR). The initial soil microbiome inoculum was sampled from the</w:t>
      </w:r>
      <w:r>
        <w:t xml:space="preserve"> </w:t>
      </w:r>
      <w:r>
        <w:t xml:space="preserve">top 10 cm of an upland mineral soil under a deciduous forest ecosystem near the</w:t>
      </w:r>
      <w:r>
        <w:t xml:space="preserve"> </w:t>
      </w:r>
      <w:r>
        <w:t xml:space="preserve">University of Oregon campus in Eugene, OR, USA. Each jar</w:t>
      </w:r>
      <w:r>
        <w:t xml:space="preserve"> </w:t>
      </w:r>
      <w:r>
        <w:t xml:space="preserve">was capped and injected with 4.3 mL of 99% CH</w:t>
      </w:r>
      <w:r>
        <w:rPr>
          <w:vertAlign w:val="subscript"/>
        </w:rPr>
        <w:t xml:space="preserve">4</w:t>
      </w:r>
      <w:r>
        <w:t xml:space="preserve">, which produced a mean</w:t>
      </w:r>
      <w:r>
        <w:t xml:space="preserve"> </w:t>
      </w:r>
      <w:r>
        <w:t xml:space="preserve">headspace concentration of 763.9 ppm (SD = 183.1). Twice per week, jars were</w:t>
      </w:r>
      <w:r>
        <w:t xml:space="preserve"> </w:t>
      </w:r>
      <w:r>
        <w:t xml:space="preserve">flushed in a biosafety cabinet (to avoid contamination) and respiked with CH</w:t>
      </w:r>
      <w:r>
        <w:rPr>
          <w:vertAlign w:val="subscript"/>
        </w:rPr>
        <w:t xml:space="preserve">4</w:t>
      </w:r>
      <w:r>
        <w:t xml:space="preserve"> </w:t>
      </w:r>
      <w:r>
        <w:t xml:space="preserve">to maintain aerobic conditions and elevated CH</w:t>
      </w:r>
      <w:r>
        <w:rPr>
          <w:vertAlign w:val="subscript"/>
        </w:rPr>
        <w:t xml:space="preserve">4</w:t>
      </w:r>
      <w:r>
        <w:t xml:space="preserve"> </w:t>
      </w:r>
      <w:r>
        <w:t xml:space="preserve">concentrations.</w:t>
      </w:r>
    </w:p>
    <w:p>
      <w:pPr>
        <w:pStyle w:val="TextBody"/>
      </w:pPr>
      <w:r>
        <w:t xml:space="preserve">For the selection experiment, we created two lines of soil microcosms with 12</w:t>
      </w:r>
      <w:r>
        <w:t xml:space="preserve"> </w:t>
      </w:r>
      <w:r>
        <w:t xml:space="preserve">jars each: a control line with random selection and an experimental line with</w:t>
      </w:r>
      <w:r>
        <w:t xml:space="preserve"> </w:t>
      </w:r>
      <w:r>
        <w:t xml:space="preserve">directional selection for greater soil CH</w:t>
      </w:r>
      <w:r>
        <w:rPr>
          <w:vertAlign w:val="subscript"/>
        </w:rPr>
        <w:t xml:space="preserve">4</w:t>
      </w:r>
      <w:r>
        <w:t xml:space="preserve"> </w:t>
      </w:r>
      <w:r>
        <w:t xml:space="preserve">oxidation rate. The selection line</w:t>
      </w:r>
      <w:r>
        <w:t xml:space="preserve"> </w:t>
      </w:r>
      <w:r>
        <w:t xml:space="preserve">underwent positive selection where the two or three jars</w:t>
      </w:r>
      <w:r>
        <w:t xml:space="preserve"> </w:t>
      </w:r>
      <w:r>
        <w:t xml:space="preserve">with the highest CH</w:t>
      </w:r>
      <w:r>
        <w:rPr>
          <w:vertAlign w:val="subscript"/>
        </w:rPr>
        <w:t xml:space="preserve">4</w:t>
      </w:r>
      <w:r>
        <w:t xml:space="preserve"> </w:t>
      </w:r>
      <w:r>
        <w:t xml:space="preserve">oxidation rate were homogenized to inoculate the next set</w:t>
      </w:r>
      <w:r>
        <w:t xml:space="preserve"> </w:t>
      </w:r>
      <w:r>
        <w:t xml:space="preserve">of jars. The control line underwent random selection where an equal number</w:t>
      </w:r>
      <w:r>
        <w:t xml:space="preserve"> </w:t>
      </w:r>
      <w:r>
        <w:t xml:space="preserve">of jars as the selection line were chosen at random to inoculate the next set of</w:t>
      </w:r>
      <w:r>
        <w:t xml:space="preserve"> </w:t>
      </w:r>
      <w:r>
        <w:t xml:space="preserve">jars. The number of jars chosen was based on the distribution of fluxes among</w:t>
      </w:r>
      <w:r>
        <w:t xml:space="preserve"> </w:t>
      </w:r>
      <w:r>
        <w:t xml:space="preserve">the positive jars: three jars were chosen in all generations except for passage 3</w:t>
      </w:r>
      <w:r>
        <w:t xml:space="preserve"> </w:t>
      </w:r>
      <w:r>
        <w:t xml:space="preserve">where two jars were selected. The experiment was carried out over five passages</w:t>
      </w:r>
      <w:r>
        <w:t xml:space="preserve"> </w:t>
      </w:r>
      <w:r>
        <w:t xml:space="preserve">with an average</w:t>
      </w:r>
      <w:r>
        <w:t xml:space="preserve"> </w:t>
      </w:r>
      <w:r>
        <w:t xml:space="preserve">incubation time per generation of four weeks.</w:t>
      </w:r>
      <w:r>
        <w:t xml:space="preserve"> </w:t>
      </w:r>
      <w:r>
        <w:t xml:space="preserve">Methane oxidation rates were determined at the end of</w:t>
      </w:r>
      <w:r>
        <w:t xml:space="preserve"> </w:t>
      </w:r>
      <w:r>
        <w:t xml:space="preserve">the incubation period and selection was performed. For each treatment, the</w:t>
      </w:r>
      <w:r>
        <w:t xml:space="preserve"> </w:t>
      </w:r>
      <w:r>
        <w:t xml:space="preserve">selected jars were homogenized and 5 g of the homogenized soil was used as the</w:t>
      </w:r>
      <w:r>
        <w:t xml:space="preserve"> </w:t>
      </w:r>
      <w:r>
        <w:t xml:space="preserve">living soil inoculum for the next generation. The next set</w:t>
      </w:r>
      <w:r>
        <w:t xml:space="preserve"> </w:t>
      </w:r>
      <w:r>
        <w:t xml:space="preserve">of jars were created in an identical manner to the first generation with fresh</w:t>
      </w:r>
      <w:r>
        <w:t xml:space="preserve"> </w:t>
      </w:r>
      <w:r>
        <w:t xml:space="preserve">autoclaved potting mix and the same moisture and CH</w:t>
      </w:r>
      <w:r>
        <w:rPr>
          <w:vertAlign w:val="subscript"/>
        </w:rPr>
        <w:t xml:space="preserve">4</w:t>
      </w:r>
      <w:r>
        <w:t xml:space="preserve"> </w:t>
      </w:r>
      <w:r>
        <w:t xml:space="preserve">content.</w:t>
      </w:r>
    </w:p>
    <w:bookmarkEnd w:id="22"/>
    <w:bookmarkStart w:id="23" w:name="methane-oxidation-rate"/>
    <w:p>
      <w:pPr>
        <w:pStyle w:val="Heading2"/>
      </w:pPr>
      <w:r>
        <w:rPr>
          <w:rStyle w:val="SectionNumber"/>
        </w:rPr>
        <w:t xml:space="preserve">3.2</w:t>
      </w:r>
      <w:r>
        <w:tab/>
      </w:r>
      <w:r>
        <w:t xml:space="preserve">Methane oxidation rate</w:t>
      </w:r>
    </w:p>
    <w:p>
      <w:pPr>
        <w:pStyle w:val="FirstParagraph"/>
      </w:pPr>
      <w:r>
        <w:t xml:space="preserve">Methane oxidation rates were determined after flushing and spiking jars to</w:t>
      </w:r>
      <w:r>
        <w:t xml:space="preserve"> </w:t>
      </w:r>
      <w:r>
        <w:t xml:space="preserve">1000 ppm CH</w:t>
      </w:r>
      <w:r>
        <w:rPr>
          <w:vertAlign w:val="subscript"/>
        </w:rPr>
        <w:t xml:space="preserve">4</w:t>
      </w:r>
      <w:r>
        <w:t xml:space="preserve">. Headspace samples of 1 mL were collected from</w:t>
      </w:r>
      <w:r>
        <w:t xml:space="preserve"> </w:t>
      </w:r>
      <w:r>
        <w:t xml:space="preserve">each jar immediately after spiking and then at time points 3, 6, 24, and 48</w:t>
      </w:r>
      <w:r>
        <w:t xml:space="preserve"> </w:t>
      </w:r>
      <w:r>
        <w:t xml:space="preserve">hours for a 5-point curve. Samples were immediately injected into a SRI model</w:t>
      </w:r>
      <w:r>
        <w:t xml:space="preserve"> </w:t>
      </w:r>
      <w:r>
        <w:t xml:space="preserve">8610C gas chromatograph equipped with a flame ionization detector (SRI</w:t>
      </w:r>
      <w:r>
        <w:t xml:space="preserve"> </w:t>
      </w:r>
      <w:r>
        <w:t xml:space="preserve">Instruments, Torrance, CA, USA) to determine the headspace CH</w:t>
      </w:r>
      <w:r>
        <w:rPr>
          <w:vertAlign w:val="subscript"/>
        </w:rPr>
        <w:t xml:space="preserve">4</w:t>
      </w:r>
      <w:r>
        <w:t xml:space="preserve"> </w:t>
      </w:r>
      <w:r>
        <w:t xml:space="preserve">concentration.</w:t>
      </w:r>
      <w:r>
        <w:t xml:space="preserve"> </w:t>
      </w:r>
      <w:r>
        <w:t xml:space="preserve">We applied a first-order exponential decay function to determine the rate</w:t>
      </w:r>
      <w:r>
        <w:t xml:space="preserve"> </w:t>
      </w:r>
      <w:r>
        <w:t xml:space="preserve">constant (k, units = d</w:t>
      </w:r>
      <w:r>
        <w:rPr>
          <w:vertAlign w:val="superscript"/>
        </w:rPr>
        <w:t xml:space="preserve">−1</w:t>
      </w:r>
      <w:r>
        <w:t xml:space="preserve">; i.e., dCH</w:t>
      </w:r>
      <w:r>
        <w:rPr>
          <w:vertAlign w:val="subscript"/>
        </w:rPr>
        <w:t xml:space="preserve">4</w:t>
      </w:r>
      <w:r>
        <w:t xml:space="preserve">/dt = k[CH</w:t>
      </w:r>
      <w:r>
        <w:rPr>
          <w:vertAlign w:val="subscript"/>
        </w:rPr>
        <w:t xml:space="preserve">4</w:t>
      </w:r>
      <w:r>
        <w:t xml:space="preserve">]) of the exponential</w:t>
      </w:r>
      <w:r>
        <w:t xml:space="preserve"> </w:t>
      </w:r>
      <w:r>
        <w:t xml:space="preserve">decrease in CH</w:t>
      </w:r>
      <w:r>
        <w:rPr>
          <w:vertAlign w:val="subscript"/>
        </w:rPr>
        <w:t xml:space="preserve">4</w:t>
      </w:r>
      <w:r>
        <w:t xml:space="preserve">. Oxidation rates are presented as the additive inverse of</w:t>
      </w:r>
      <w:r>
        <w:t xml:space="preserve"> </w:t>
      </w:r>
      <m:oMath>
        <m:r>
          <m:t>k</m:t>
        </m:r>
      </m:oMath>
      <w:r>
        <w:t xml:space="preserve"> </w:t>
      </w:r>
      <w:r>
        <w:t xml:space="preserve">(i.e.,</w:t>
      </w:r>
      <w:r>
        <w:t xml:space="preserve"> </w:t>
      </w:r>
      <m:oMath>
        <m:r>
          <m:rPr>
            <m:sty m:val="p"/>
          </m:rPr>
          <m:t>−</m:t>
        </m:r>
        <m:r>
          <m:t>k</m:t>
        </m:r>
      </m:oMath>
      <w:r>
        <w:t xml:space="preserve">) so that a more positive value represents a greater</w:t>
      </w:r>
      <w:r>
        <w:t xml:space="preserve"> </w:t>
      </w:r>
      <w:r>
        <w:t xml:space="preserve">oxidation rate. The jars selected to inoculate passage three for the positive</w:t>
      </w:r>
      <w:r>
        <w:t xml:space="preserve"> </w:t>
      </w:r>
      <w:r>
        <w:t xml:space="preserve">selection treatment had</w:t>
      </w:r>
      <w:r>
        <w:t xml:space="preserve"> </w:t>
      </w:r>
      <w:r>
        <w:t xml:space="preserve">the lowest CH</w:t>
      </w:r>
      <w:r>
        <w:rPr>
          <w:vertAlign w:val="subscript"/>
        </w:rPr>
        <w:t xml:space="preserve">4</w:t>
      </w:r>
      <w:r>
        <w:t xml:space="preserve"> </w:t>
      </w:r>
      <w:r>
        <w:t xml:space="preserve">oxidation rate of the twelve jars due to a calculation error</w:t>
      </w:r>
      <w:r>
        <w:t xml:space="preserve"> </w:t>
      </w:r>
      <w:r>
        <w:t xml:space="preserve">in the rate constant.</w:t>
      </w:r>
    </w:p>
    <w:bookmarkEnd w:id="23"/>
    <w:bookmarkStart w:id="24" w:name="soil-dna-extraction-and-sequencing"/>
    <w:p>
      <w:pPr>
        <w:pStyle w:val="Heading2"/>
      </w:pPr>
      <w:r>
        <w:rPr>
          <w:rStyle w:val="SectionNumber"/>
        </w:rPr>
        <w:t xml:space="preserve">3.3</w:t>
      </w:r>
      <w:r>
        <w:tab/>
      </w:r>
      <w:r>
        <w:t xml:space="preserve">Soil DNA extraction and sequencing</w:t>
      </w:r>
    </w:p>
    <w:p>
      <w:pPr>
        <w:pStyle w:val="FirstParagraph"/>
      </w:pPr>
      <w:r>
        <w:t xml:space="preserve">A subsample of soil from the starting inoculum and from every jar in passages 2</w:t>
      </w:r>
      <w:r>
        <w:t xml:space="preserve"> </w:t>
      </w:r>
      <w:r>
        <w:t xml:space="preserve">and 5 was collected and stored at</w:t>
      </w:r>
      <w:r>
        <w:t xml:space="preserve"> </w:t>
      </w:r>
      <m:oMath>
        <m:r>
          <m:rPr>
            <m:sty m:val="p"/>
          </m:rPr>
          <m:t>−</m:t>
        </m:r>
        <m:sSup>
          <m:e>
            <m:r>
              <m:t>80</m:t>
            </m:r>
          </m:e>
          <m:sup>
            <m:r>
              <m:rPr>
                <m:sty m:val="p"/>
              </m:rPr>
              <m:t>∘</m:t>
            </m:r>
          </m:sup>
        </m:sSup>
      </m:oMath>
      <w:r>
        <w:t xml:space="preserve">C. Soil DNA was extracted from</w:t>
      </w:r>
      <w:r>
        <w:t xml:space="preserve"> </w:t>
      </w:r>
      <w:r>
        <w:t xml:space="preserve">0.25 g soil. Negative controls were extracted from autoclaved potting mix and</w:t>
      </w:r>
      <w:r>
        <w:t xml:space="preserve"> </w:t>
      </w:r>
      <w:r>
        <w:t xml:space="preserve">DNase-free water. Extractions were performed using the DNeasy PowerSoil kit</w:t>
      </w:r>
      <w:r>
        <w:t xml:space="preserve"> </w:t>
      </w:r>
      <w:r>
        <w:t xml:space="preserve">(QIAGEN, Düsseldorf, Germany) and quantified using Qubit dsDNA HS Assay Kit</w:t>
      </w:r>
      <w:r>
        <w:t xml:space="preserve"> </w:t>
      </w:r>
      <w:r>
        <w:t xml:space="preserve">(Thermo Fisher Scientific, Inc., Waltham, MA, USA). To estimate the diversity</w:t>
      </w:r>
      <w:r>
        <w:t xml:space="preserve"> </w:t>
      </w:r>
      <w:r>
        <w:t xml:space="preserve">and relative abundance of the bacterial and archaeal taxa in our soil</w:t>
      </w:r>
      <w:r>
        <w:t xml:space="preserve"> </w:t>
      </w:r>
      <w:r>
        <w:t xml:space="preserve">ecosystems, we sequenced the V4 region of the 16S rRNA gene using the 515F -</w:t>
      </w:r>
      <w:r>
        <w:t xml:space="preserve"> </w:t>
      </w:r>
      <w:r>
        <w:t xml:space="preserve">806R primer combination</w:t>
      </w:r>
      <w:r>
        <w:t xml:space="preserve"> </w:t>
      </w:r>
      <w:r>
        <w:t xml:space="preserve">(Caporaso et al., 2011)</w:t>
      </w:r>
      <w:r>
        <w:t xml:space="preserve">. PCR mixtures were: 10</w:t>
      </w:r>
      <w:r>
        <w:t xml:space="preserve"> </w:t>
      </w:r>
      <m:oMath>
        <m:r>
          <m:t>μ</m:t>
        </m:r>
      </m:oMath>
      <w:r>
        <w:t xml:space="preserve">l NEBNext</w:t>
      </w:r>
      <w:r>
        <w:t xml:space="preserve"> </w:t>
      </w:r>
      <w:r>
        <w:t xml:space="preserve">Q5 Hot Start HiFi PCR master mix, 9.2</w:t>
      </w:r>
      <w:r>
        <w:t xml:space="preserve"> </w:t>
      </w:r>
      <m:oMath>
        <m:r>
          <m:t>μ</m:t>
        </m:r>
      </m:oMath>
      <w:r>
        <w:t xml:space="preserve">l primer mixture (1.09</w:t>
      </w:r>
      <w:r>
        <w:t xml:space="preserve"> </w:t>
      </w:r>
      <m:oMath>
        <m:r>
          <m:t>μ</m:t>
        </m:r>
      </m:oMath>
      <w:r>
        <w:t xml:space="preserve">M</w:t>
      </w:r>
      <w:r>
        <w:t xml:space="preserve"> </w:t>
      </w:r>
      <w:r>
        <w:t xml:space="preserve">concentration), and 0.8</w:t>
      </w:r>
      <w:r>
        <w:t xml:space="preserve"> </w:t>
      </w:r>
      <m:oMath>
        <m:r>
          <m:t>μ</m:t>
        </m:r>
      </m:oMath>
      <w:r>
        <w:t xml:space="preserve">l of DNA template. Reaction conditions were:</w:t>
      </w:r>
      <w:r>
        <w:t xml:space="preserve"> </w:t>
      </w:r>
      <m:oMath>
        <m:sSup>
          <m:e>
            <m:r>
              <m:t>98</m:t>
            </m:r>
          </m:e>
          <m:sup>
            <m:r>
              <m:rPr>
                <m:sty m:val="p"/>
              </m:rPr>
              <m:t>∘</m:t>
            </m:r>
          </m:sup>
        </m:sSup>
      </m:oMath>
      <w:r>
        <w:t xml:space="preserve">C for 30 s (initialization); 35 cycles of</w:t>
      </w:r>
      <w:r>
        <w:t xml:space="preserve"> </w:t>
      </w:r>
      <m:oMath>
        <m:sSup>
          <m:e>
            <m:r>
              <m:t>98</m:t>
            </m:r>
          </m:e>
          <m:sup>
            <m:r>
              <m:rPr>
                <m:sty m:val="p"/>
              </m:rPr>
              <m:t>∘</m:t>
            </m:r>
          </m:sup>
        </m:sSup>
      </m:oMath>
      <w:r>
        <w:t xml:space="preserve">C for 10 s</w:t>
      </w:r>
      <w:r>
        <w:t xml:space="preserve"> </w:t>
      </w:r>
      <w:r>
        <w:t xml:space="preserve">(denaturation),</w:t>
      </w:r>
      <w:r>
        <w:t xml:space="preserve"> </w:t>
      </w:r>
      <m:oMath>
        <m:sSup>
          <m:e>
            <m:r>
              <m:t>61</m:t>
            </m:r>
          </m:e>
          <m:sup>
            <m:r>
              <m:rPr>
                <m:sty m:val="p"/>
              </m:rPr>
              <m:t>∘</m:t>
            </m:r>
          </m:sup>
        </m:sSup>
      </m:oMath>
      <w:r>
        <w:t xml:space="preserve">C for 20 s (annealing), and</w:t>
      </w:r>
      <w:r>
        <w:t xml:space="preserve"> </w:t>
      </w:r>
      <m:oMath>
        <m:sSup>
          <m:e>
            <m:r>
              <m:t>72</m:t>
            </m:r>
          </m:e>
          <m:sup>
            <m:r>
              <m:rPr>
                <m:sty m:val="p"/>
              </m:rPr>
              <m:t>∘</m:t>
            </m:r>
          </m:sup>
        </m:sSup>
      </m:oMath>
      <w:r>
        <w:t xml:space="preserve">C for 20 s</w:t>
      </w:r>
      <w:r>
        <w:t xml:space="preserve"> </w:t>
      </w:r>
      <w:r>
        <w:t xml:space="preserve">(extension); and</w:t>
      </w:r>
      <w:r>
        <w:t xml:space="preserve"> </w:t>
      </w:r>
      <m:oMath>
        <m:sSup>
          <m:e>
            <m:r>
              <m:t>72</m:t>
            </m:r>
          </m:e>
          <m:sup>
            <m:r>
              <m:rPr>
                <m:sty m:val="p"/>
              </m:rPr>
              <m:t>∘</m:t>
            </m:r>
          </m:sup>
        </m:sSup>
      </m:oMath>
      <w:r>
        <w:t xml:space="preserve">C for 2 m (final extension). Reactions were</w:t>
      </w:r>
      <w:r>
        <w:t xml:space="preserve"> </w:t>
      </w:r>
      <w:r>
        <w:t xml:space="preserve">performed in triplicate and then combined. Amplicons were purified twice using</w:t>
      </w:r>
      <w:r>
        <w:t xml:space="preserve"> </w:t>
      </w:r>
      <w:r>
        <w:t xml:space="preserve">0.8x ratio Mag-Bind RxnPure Plus isolation beads (Omega Bio-Tek, Norcross, GA,</w:t>
      </w:r>
      <w:r>
        <w:t xml:space="preserve"> </w:t>
      </w:r>
      <w:r>
        <w:t xml:space="preserve">USA). Sequencing libraries were prepared using a dual-indexing approach</w:t>
      </w:r>
      <w:r>
        <w:t xml:space="preserve"> </w:t>
      </w:r>
      <w:r>
        <w:t xml:space="preserve">(Kozich et al., 2013; Fadrosh et al., 2014)</w:t>
      </w:r>
      <w:r>
        <w:t xml:space="preserve">. Amplicon concentrations were quantified using</w:t>
      </w:r>
      <w:r>
        <w:t xml:space="preserve"> </w:t>
      </w:r>
      <w:r>
        <w:t xml:space="preserve">Qubit and multiplexed at equimolar concentration. Sequencing was performed at</w:t>
      </w:r>
      <w:r>
        <w:t xml:space="preserve"> </w:t>
      </w:r>
      <w:r>
        <w:t xml:space="preserve">the University of Oregon Genomics Core Facility on the Illumina NovaSeq 6000</w:t>
      </w:r>
      <w:r>
        <w:t xml:space="preserve"> </w:t>
      </w:r>
      <w:r>
        <w:t xml:space="preserve">with paired-end 150 bp reads (Illumina, Inc., San Diego, CA, USA).</w:t>
      </w:r>
    </w:p>
    <w:bookmarkEnd w:id="24"/>
    <w:bookmarkStart w:id="25" w:name="bioinformatics"/>
    <w:p>
      <w:pPr>
        <w:pStyle w:val="Heading2"/>
      </w:pPr>
      <w:r>
        <w:rPr>
          <w:rStyle w:val="SectionNumber"/>
        </w:rPr>
        <w:t xml:space="preserve">3.4</w:t>
      </w:r>
      <w:r>
        <w:tab/>
      </w:r>
      <w:r>
        <w:t xml:space="preserve">Bioinformatics</w:t>
      </w:r>
    </w:p>
    <w:p>
      <w:pPr>
        <w:pStyle w:val="FirstParagraph"/>
      </w:pPr>
      <w:r>
        <w:t xml:space="preserve">Bioinformatics processing was performed in</w:t>
      </w:r>
      <w:r>
        <w:t xml:space="preserve"> </w:t>
      </w:r>
      <w:r>
        <w:t xml:space="preserve">‘</w:t>
      </w:r>
      <w:r>
        <w:t xml:space="preserve">R</w:t>
      </w:r>
      <w:r>
        <w:t xml:space="preserve">’</w:t>
      </w:r>
      <w:r>
        <w:t xml:space="preserve"> </w:t>
      </w:r>
      <w:r>
        <w:t xml:space="preserve">(R Core Team, 2018)</w:t>
      </w:r>
      <w:r>
        <w:t xml:space="preserve">. Demultiplexed</w:t>
      </w:r>
      <w:r>
        <w:t xml:space="preserve"> </w:t>
      </w:r>
      <w:r>
        <w:t xml:space="preserve">sequencing reads were denoised using</w:t>
      </w:r>
      <w:r>
        <w:t xml:space="preserve"> </w:t>
      </w:r>
      <w:r>
        <w:t xml:space="preserve">‘</w:t>
      </w:r>
      <w:r>
        <w:t xml:space="preserve">DADA2</w:t>
      </w:r>
      <w:r>
        <w:t xml:space="preserve">’</w:t>
      </w:r>
      <w:r>
        <w:t xml:space="preserve"> </w:t>
      </w:r>
      <w:r>
        <w:t xml:space="preserve">to generate a table of amplicon</w:t>
      </w:r>
      <w:r>
        <w:t xml:space="preserve"> </w:t>
      </w:r>
      <w:r>
        <w:t xml:space="preserve">sequence variants (ASVs)</w:t>
      </w:r>
      <w:r>
        <w:t xml:space="preserve"> </w:t>
      </w:r>
      <w:r>
        <w:t xml:space="preserve">(Callahan et al., 2016)</w:t>
      </w:r>
      <w:r>
        <w:t xml:space="preserve">. Taxonomic assignment was performed</w:t>
      </w:r>
      <w:r>
        <w:t xml:space="preserve"> </w:t>
      </w:r>
      <w:r>
        <w:t xml:space="preserve">using the Ribosomal Database Project naive Bayesian classifier</w:t>
      </w:r>
      <w:r>
        <w:t xml:space="preserve"> </w:t>
      </w:r>
      <w:r>
        <w:t xml:space="preserve">(Wang et al., 2007)</w:t>
      </w:r>
      <w:r>
        <w:t xml:space="preserve">. The</w:t>
      </w:r>
      <w:r>
        <w:t xml:space="preserve"> </w:t>
      </w:r>
      <w:r>
        <w:t xml:space="preserve">presence of contaminants was evaluated using both the prevalence and frequency</w:t>
      </w:r>
      <w:r>
        <w:t xml:space="preserve"> </w:t>
      </w:r>
      <w:r>
        <w:t xml:space="preserve">methods from</w:t>
      </w:r>
      <w:r>
        <w:t xml:space="preserve"> </w:t>
      </w:r>
      <w:r>
        <w:t xml:space="preserve">‘</w:t>
      </w:r>
      <w:r>
        <w:t xml:space="preserve">DECONTAM</w:t>
      </w:r>
      <w:r>
        <w:t xml:space="preserve">’</w:t>
      </w:r>
      <w:r>
        <w:t xml:space="preserve"> </w:t>
      </w:r>
      <w:r>
        <w:t xml:space="preserve">by comparing samples to extraction controls of</w:t>
      </w:r>
      <w:r>
        <w:t xml:space="preserve"> </w:t>
      </w:r>
      <w:r>
        <w:t xml:space="preserve">water</w:t>
      </w:r>
      <w:r>
        <w:t xml:space="preserve"> </w:t>
      </w:r>
      <w:r>
        <w:t xml:space="preserve">(Davis et al., 2018)</w:t>
      </w:r>
      <w:r>
        <w:t xml:space="preserve">. Decontam identified</w:t>
      </w:r>
      <w:r>
        <w:t xml:space="preserve"> </w:t>
      </w:r>
      <w:r>
        <w:t xml:space="preserve">16 potential contaminants based on</w:t>
      </w:r>
      <w:r>
        <w:t xml:space="preserve"> </w:t>
      </w:r>
      <w:r>
        <w:t xml:space="preserve">prevalence and frequency. Visual inspection of abundance-concentration plots</w:t>
      </w:r>
      <w:r>
        <w:t xml:space="preserve"> </w:t>
      </w:r>
      <w:r>
        <w:t xml:space="preserve">indicated that 9 of these were likely contaminants and</w:t>
      </w:r>
      <w:r>
        <w:t xml:space="preserve"> </w:t>
      </w:r>
      <w:r>
        <w:t xml:space="preserve">these ASVs were removed. Amplicon sequence variants that were assigned</w:t>
      </w:r>
      <w:r>
        <w:t xml:space="preserve"> </w:t>
      </w:r>
      <w:r>
        <w:t xml:space="preserve">chloroplast or mitochondria taxonomy were removed prior to analysis.</w:t>
      </w:r>
    </w:p>
    <w:bookmarkEnd w:id="25"/>
    <w:bookmarkStart w:id="30" w:name="statistical-analysis"/>
    <w:p>
      <w:pPr>
        <w:pStyle w:val="Heading2"/>
      </w:pPr>
      <w:r>
        <w:rPr>
          <w:rStyle w:val="SectionNumber"/>
        </w:rPr>
        <w:t xml:space="preserve">3.5</w:t>
      </w:r>
      <w:r>
        <w:tab/>
      </w:r>
      <w:r>
        <w:t xml:space="preserve">Statistical analysis</w:t>
      </w:r>
    </w:p>
    <w:bookmarkStart w:id="26" w:name="response-to-selection"/>
    <w:p>
      <w:pPr>
        <w:pStyle w:val="Heading3"/>
      </w:pPr>
      <w:r>
        <w:rPr>
          <w:rStyle w:val="SectionNumber"/>
        </w:rPr>
        <w:t xml:space="preserve">3.5.1</w:t>
      </w:r>
      <w:r>
        <w:tab/>
      </w:r>
      <w:r>
        <w:t xml:space="preserve">Response to selection</w:t>
      </w:r>
    </w:p>
    <w:p>
      <w:pPr>
        <w:pStyle w:val="FirstParagraph"/>
      </w:pPr>
      <w:r>
        <w:t xml:space="preserve">Statistical analyses were performed in</w:t>
      </w:r>
      <w:r>
        <w:t xml:space="preserve"> </w:t>
      </w:r>
      <w:r>
        <w:t xml:space="preserve">‘</w:t>
      </w:r>
      <w:r>
        <w:t xml:space="preserve">R</w:t>
      </w:r>
      <w:r>
        <w:t xml:space="preserve">’</w:t>
      </w:r>
      <w:r>
        <w:t xml:space="preserve"> </w:t>
      </w:r>
      <w:r>
        <w:t xml:space="preserve">(R Core Team, 2018)</w:t>
      </w:r>
      <w:r>
        <w:t xml:space="preserve">. To determine</w:t>
      </w:r>
      <w:r>
        <w:t xml:space="preserve"> </w:t>
      </w:r>
      <w:r>
        <w:t xml:space="preserve">whether there was a significant change in CH</w:t>
      </w:r>
      <w:r>
        <w:rPr>
          <w:vertAlign w:val="subscript"/>
        </w:rPr>
        <w:t xml:space="preserve">4</w:t>
      </w:r>
      <w:r>
        <w:t xml:space="preserve"> </w:t>
      </w:r>
      <w:r>
        <w:t xml:space="preserve">oxidation rate as a response to</w:t>
      </w:r>
      <w:r>
        <w:t xml:space="preserve"> </w:t>
      </w:r>
      <w:r>
        <w:t xml:space="preserve">selection, we tested a difference in slopes between the selection and control</w:t>
      </w:r>
      <w:r>
        <w:t xml:space="preserve"> </w:t>
      </w:r>
      <w:r>
        <w:t xml:space="preserve">lines. Residuals did not meet the assumptions of constant variance</w:t>
      </w:r>
      <w:r>
        <w:t xml:space="preserve"> </w:t>
      </w:r>
      <w:r>
        <w:t xml:space="preserve">and normal distribution. Therefore, CH</w:t>
      </w:r>
      <w:r>
        <w:rPr>
          <w:vertAlign w:val="subscript"/>
        </w:rPr>
        <w:t xml:space="preserve">4</w:t>
      </w:r>
      <w:r>
        <w:t xml:space="preserve"> </w:t>
      </w:r>
      <w:r>
        <w:t xml:space="preserve">oxidation rates were log</w:t>
      </w:r>
      <w:r>
        <w:rPr>
          <w:vertAlign w:val="subscript"/>
        </w:rPr>
        <w:t xml:space="preserve">10</w:t>
      </w:r>
      <w:r>
        <w:t xml:space="preserve"> </w:t>
      </w:r>
      <w:r>
        <w:t xml:space="preserve">transformed prior to analysis. Following transformation, these assumptions</w:t>
      </w:r>
      <w:r>
        <w:t xml:space="preserve"> </w:t>
      </w:r>
      <w:r>
        <w:t xml:space="preserve">were met. First, we tested if there was a difference of</w:t>
      </w:r>
      <w:r>
        <w:t xml:space="preserve"> </w:t>
      </w:r>
      <w:r>
        <w:t xml:space="preserve">slopes between the selection line and the control based on the interaction</w:t>
      </w:r>
      <w:r>
        <w:t xml:space="preserve"> </w:t>
      </w:r>
      <w:r>
        <w:t xml:space="preserve">between passage and treatment. To test the interaction, we fit two nested models</w:t>
      </w:r>
      <w:r>
        <w:t xml:space="preserve"> </w:t>
      </w:r>
      <w:r>
        <w:t xml:space="preserve">with and without the interaction term and compared them using an F-test with the</w:t>
      </w:r>
      <w:r>
        <w:t xml:space="preserve"> </w:t>
      </w:r>
      <w:r>
        <w:t xml:space="preserve">‘</w:t>
      </w:r>
      <w:r>
        <w:t xml:space="preserve">anova</w:t>
      </w:r>
      <w:r>
        <w:t xml:space="preserve">’</w:t>
      </w:r>
      <w:r>
        <w:t xml:space="preserve"> </w:t>
      </w:r>
      <w:r>
        <w:t xml:space="preserve">function. We then present the slopes for each treatment, which</w:t>
      </w:r>
      <w:r>
        <w:t xml:space="preserve"> </w:t>
      </w:r>
      <w:r>
        <w:t xml:space="preserve">represented the change in CH</w:t>
      </w:r>
      <w:r>
        <w:rPr>
          <w:vertAlign w:val="subscript"/>
        </w:rPr>
        <w:t xml:space="preserve">4</w:t>
      </w:r>
      <w:r>
        <w:t xml:space="preserve"> </w:t>
      </w:r>
      <w:r>
        <w:t xml:space="preserve">oxidation rate per passage as a response to</w:t>
      </w:r>
      <w:r>
        <w:t xml:space="preserve"> </w:t>
      </w:r>
      <w:r>
        <w:t xml:space="preserve">selection.</w:t>
      </w:r>
    </w:p>
    <w:bookmarkEnd w:id="26"/>
    <w:bookmarkStart w:id="27" w:name="microbiability"/>
    <w:p>
      <w:pPr>
        <w:pStyle w:val="Heading3"/>
      </w:pPr>
      <w:r>
        <w:rPr>
          <w:rStyle w:val="SectionNumber"/>
        </w:rPr>
        <w:t xml:space="preserve">3.5.2</w:t>
      </w:r>
      <w:r>
        <w:tab/>
      </w:r>
      <w:r>
        <w:t xml:space="preserve">Microbiability</w:t>
      </w:r>
    </w:p>
    <w:p>
      <w:pPr>
        <w:pStyle w:val="FirstParagraph"/>
      </w:pPr>
      <w:r>
        <w:t xml:space="preserve">We estimated the proportion of variation in CH</w:t>
      </w:r>
      <w:r>
        <w:rPr>
          <w:vertAlign w:val="subscript"/>
        </w:rPr>
        <w:t xml:space="preserve">4</w:t>
      </w:r>
      <w:r>
        <w:t xml:space="preserve"> </w:t>
      </w:r>
      <w:r>
        <w:t xml:space="preserve">oxidation rate due to</w:t>
      </w:r>
      <w:r>
        <w:t xml:space="preserve"> </w:t>
      </w:r>
      <w:r>
        <w:t xml:space="preserve">variation in the microbiome by comparing the response to selection to the</w:t>
      </w:r>
      <w:r>
        <w:t xml:space="preserve"> </w:t>
      </w:r>
      <w:r>
        <w:t xml:space="preserve">imposed selection differential</w:t>
      </w:r>
      <w:r>
        <w:t xml:space="preserve"> </w:t>
      </w:r>
      <w:r>
        <w:t xml:space="preserve">(Falconer and MacKay, 1996)</w:t>
      </w:r>
      <w:r>
        <w:t xml:space="preserve">.</w:t>
      </w:r>
      <w:r>
        <w:t xml:space="preserve"> </w:t>
      </w:r>
      <w:r>
        <w:t xml:space="preserve">This estimate is analogous</w:t>
      </w:r>
      <w:r>
        <w:t xml:space="preserve"> </w:t>
      </w:r>
      <w:r>
        <w:t xml:space="preserve">to estimates of</w:t>
      </w:r>
      <w:r>
        <w:t xml:space="preserve"> </w:t>
      </w:r>
      <w:r>
        <w:t xml:space="preserve">“</w:t>
      </w:r>
      <w:r>
        <w:t xml:space="preserve">microbiability</w:t>
      </w:r>
      <w:r>
        <w:t xml:space="preserve">”</w:t>
      </w:r>
      <w:r>
        <w:t xml:space="preserve"> </w:t>
      </w:r>
      <w:r>
        <w:t xml:space="preserve">from the animal breeding literature, which</w:t>
      </w:r>
      <w:r>
        <w:t xml:space="preserve"> </w:t>
      </w:r>
      <w:r>
        <w:t xml:space="preserve">quantifies the</w:t>
      </w:r>
      <w:r>
        <w:t xml:space="preserve"> </w:t>
      </w:r>
      <w:r>
        <w:t xml:space="preserve">variation in a host trait that is due to microbiome variation</w:t>
      </w:r>
      <w:r>
        <w:t xml:space="preserve"> </w:t>
      </w:r>
      <w:r>
        <w:t xml:space="preserve">(He et al., 2022)</w:t>
      </w:r>
      <w:r>
        <w:t xml:space="preserve">.</w:t>
      </w:r>
    </w:p>
    <w:p>
      <w:pPr>
        <w:pStyle w:val="TextBody"/>
      </w:pPr>
      <w:r>
        <w:t xml:space="preserve">For this purpose, the response to selection was calculated as the divergence between the selection treatment and the control. Divergence was the difference between the mean CH</w:t>
      </w:r>
      <w:r>
        <w:rPr>
          <w:vertAlign w:val="subscript"/>
        </w:rPr>
        <w:t xml:space="preserve">4</w:t>
      </w:r>
      <w:r>
        <w:t xml:space="preserve"> </w:t>
      </w:r>
      <w:r>
        <w:t xml:space="preserve">oxidation rate of the positive</w:t>
      </w:r>
      <w:r>
        <w:t xml:space="preserve"> </w:t>
      </w:r>
      <w:r>
        <w:t xml:space="preserve">treatment and the mean CH</w:t>
      </w:r>
      <w:r>
        <w:rPr>
          <w:vertAlign w:val="subscript"/>
        </w:rPr>
        <w:t xml:space="preserve">4</w:t>
      </w:r>
      <w:r>
        <w:t xml:space="preserve"> </w:t>
      </w:r>
      <w:r>
        <w:t xml:space="preserve">oxidation rate of the control in each</w:t>
      </w:r>
      <w:r>
        <w:t xml:space="preserve"> </w:t>
      </w:r>
      <w:r>
        <w:t xml:space="preserve">passage. In addition, the selection differential was calculated as the difference between</w:t>
      </w:r>
      <w:r>
        <w:t xml:space="preserve"> </w:t>
      </w:r>
      <w:r>
        <w:t xml:space="preserve">the mean of the three selected jars and the mean of all twelve jars in a passage. The slope of the divergence over the cumulative selection differential</w:t>
      </w:r>
      <w:r>
        <w:t xml:space="preserve"> </w:t>
      </w:r>
      <w:r>
        <w:t xml:space="preserve">provides an estimate of realized microbiability (h</w:t>
      </w:r>
      <w:r>
        <w:rPr>
          <w:vertAlign w:val="superscript"/>
        </w:rPr>
        <w:t xml:space="preserve">2</w:t>
      </w:r>
      <w:r>
        <w:t xml:space="preserve"> </w:t>
      </w:r>
      <w:r>
        <w:t xml:space="preserve">± SE).</w:t>
      </w:r>
      <w:r>
        <w:t xml:space="preserve"> </w:t>
      </w:r>
      <w:r>
        <w:t xml:space="preserve">We regressed cumulative</w:t>
      </w:r>
      <w:r>
        <w:t xml:space="preserve"> </w:t>
      </w:r>
      <w:r>
        <w:t xml:space="preserve">divergence on cumulative selection differential using the</w:t>
      </w:r>
      <w:r>
        <w:t xml:space="preserve"> </w:t>
      </w:r>
      <w:r>
        <w:t xml:space="preserve">‘</w:t>
      </w:r>
      <w:r>
        <w:t xml:space="preserve">lm</w:t>
      </w:r>
      <w:r>
        <w:t xml:space="preserve">’</w:t>
      </w:r>
      <w:r>
        <w:t xml:space="preserve"> </w:t>
      </w:r>
      <w:r>
        <w:t xml:space="preserve">function. We report</w:t>
      </w:r>
      <w:r>
        <w:t xml:space="preserve"> </w:t>
      </w:r>
      <w:r>
        <w:t xml:space="preserve">the slope as percent change by back-calculating the percent change from the</w:t>
      </w:r>
      <w:r>
        <w:t xml:space="preserve"> </w:t>
      </w:r>
      <w:r>
        <w:t xml:space="preserve">log-transformed data into the original units using the formula</w:t>
      </w:r>
      <w:r>
        <w:t xml:space="preserve"> </w:t>
      </w:r>
      <m:oMath>
        <m:d>
          <m:dPr>
            <m:begChr m:val="("/>
            <m:endChr m:val=")"/>
            <m:sepChr m:val=""/>
            <m:grow/>
          </m:dPr>
          <m:e>
            <m:sSup>
              <m:e>
                <m:r>
                  <m:t>10</m:t>
                </m:r>
              </m:e>
              <m:sup>
                <m:r>
                  <m:t>β</m:t>
                </m:r>
              </m:sup>
            </m:sSup>
            <m:r>
              <m:rPr>
                <m:sty m:val="p"/>
              </m:rPr>
              <m:t>−</m:t>
            </m:r>
            <m:r>
              <m:t>1</m:t>
            </m:r>
          </m:e>
        </m:d>
        <m:r>
          <m:rPr>
            <m:sty m:val="p"/>
          </m:rPr>
          <m:t>*</m:t>
        </m:r>
        <m:r>
          <m:t>100</m:t>
        </m:r>
      </m:oMath>
      <w:r>
        <w:t xml:space="preserve"> </w:t>
      </w:r>
      <w:r>
        <w:t xml:space="preserve">where</w:t>
      </w:r>
      <w:r>
        <w:t xml:space="preserve"> </w:t>
      </w:r>
      <m:oMath>
        <m:r>
          <m:t>β</m:t>
        </m:r>
      </m:oMath>
      <w:r>
        <w:t xml:space="preserve"> </w:t>
      </w:r>
      <w:r>
        <w:t xml:space="preserve">is the slope.</w:t>
      </w:r>
    </w:p>
    <w:bookmarkEnd w:id="27"/>
    <w:bookmarkStart w:id="28" w:name="alpha-and-beta-diversity"/>
    <w:p>
      <w:pPr>
        <w:pStyle w:val="Heading3"/>
      </w:pPr>
      <w:r>
        <w:rPr>
          <w:rStyle w:val="SectionNumber"/>
        </w:rPr>
        <w:t xml:space="preserve">3.5.3</w:t>
      </w:r>
      <w:r>
        <w:tab/>
      </w:r>
      <w:r>
        <w:t xml:space="preserve">Alpha and beta diversity</w:t>
      </w:r>
    </w:p>
    <w:p>
      <w:pPr>
        <w:pStyle w:val="FirstParagraph"/>
      </w:pPr>
      <w:r>
        <w:t xml:space="preserve">Richness was estimated using the method from</w:t>
      </w:r>
      <w:r>
        <w:t xml:space="preserve"> </w:t>
      </w:r>
      <w:r>
        <w:t xml:space="preserve">Hurlbert (1971)</w:t>
      </w:r>
      <w:r>
        <w:t xml:space="preserve"> </w:t>
      </w:r>
      <w:r>
        <w:t xml:space="preserve">with a subsample</w:t>
      </w:r>
      <w:r>
        <w:t xml:space="preserve"> </w:t>
      </w:r>
      <w:r>
        <w:t xml:space="preserve">size of 176,545 calculated via the</w:t>
      </w:r>
      <w:r>
        <w:t xml:space="preserve"> </w:t>
      </w:r>
      <w:r>
        <w:t xml:space="preserve">‘</w:t>
      </w:r>
      <w:r>
        <w:t xml:space="preserve">rarefy</w:t>
      </w:r>
      <w:r>
        <w:t xml:space="preserve">’</w:t>
      </w:r>
      <w:r>
        <w:t xml:space="preserve"> </w:t>
      </w:r>
      <w:r>
        <w:t xml:space="preserve">function in</w:t>
      </w:r>
      <w:r>
        <w:t xml:space="preserve"> </w:t>
      </w:r>
      <w:r>
        <w:t xml:space="preserve">‘</w:t>
      </w:r>
      <w:r>
        <w:t xml:space="preserve">vegan</w:t>
      </w:r>
      <w:r>
        <w:t xml:space="preserve">’</w:t>
      </w:r>
      <w:r>
        <w:t xml:space="preserve"> </w:t>
      </w:r>
      <w:r>
        <w:t xml:space="preserve">(Oksanen et al., 2019)</w:t>
      </w:r>
      <w:r>
        <w:t xml:space="preserve">. We</w:t>
      </w:r>
      <w:r>
        <w:t xml:space="preserve"> </w:t>
      </w:r>
      <w:r>
        <w:t xml:space="preserve">tested a difference in richness by both passage and treatment with a</w:t>
      </w:r>
      <w:r>
        <w:t xml:space="preserve"> </w:t>
      </w:r>
      <w:r>
        <w:t xml:space="preserve">Kruskal-Wallace test followed by a pairwise Wilcoxon test. Next, we estimated</w:t>
      </w:r>
      <w:r>
        <w:t xml:space="preserve"> </w:t>
      </w:r>
      <w:r>
        <w:t xml:space="preserve">beta-diversity as the Bray-Curtis dissimilarity by averaging 100 random subsets</w:t>
      </w:r>
      <w:r>
        <w:t xml:space="preserve"> </w:t>
      </w:r>
      <w:r>
        <w:t xml:space="preserve">with a subsample size of 176,545 using the</w:t>
      </w:r>
      <w:r>
        <w:t xml:space="preserve"> </w:t>
      </w:r>
      <w:r>
        <w:t xml:space="preserve">‘</w:t>
      </w:r>
      <w:r>
        <w:t xml:space="preserve">avgdist</w:t>
      </w:r>
      <w:r>
        <w:t xml:space="preserve">’</w:t>
      </w:r>
      <w:r>
        <w:t xml:space="preserve"> </w:t>
      </w:r>
      <w:r>
        <w:t xml:space="preserve">function in</w:t>
      </w:r>
      <w:r>
        <w:t xml:space="preserve"> </w:t>
      </w:r>
      <w:r>
        <w:t xml:space="preserve">‘</w:t>
      </w:r>
      <w:r>
        <w:t xml:space="preserve">vegan</w:t>
      </w:r>
      <w:r>
        <w:t xml:space="preserve">’</w:t>
      </w:r>
      <w:r>
        <w:t xml:space="preserve"> </w:t>
      </w:r>
      <w:r>
        <w:t xml:space="preserve">(Bray and Curtis, 1957; Oksanen et al., 2019)</w:t>
      </w:r>
      <w:r>
        <w:t xml:space="preserve">. We tested a difference in centroid and dispersion</w:t>
      </w:r>
      <w:r>
        <w:t xml:space="preserve"> </w:t>
      </w:r>
      <w:r>
        <w:t xml:space="preserve">of beta diversity by passage and treatment using a permutational analysis of</w:t>
      </w:r>
      <w:r>
        <w:t xml:space="preserve"> </w:t>
      </w:r>
      <w:r>
        <w:t xml:space="preserve">variance (PERMANOVA) with 999 permutations using the</w:t>
      </w:r>
      <w:r>
        <w:t xml:space="preserve"> </w:t>
      </w:r>
      <w:r>
        <w:t xml:space="preserve">‘</w:t>
      </w:r>
      <w:r>
        <w:t xml:space="preserve">adonis2</w:t>
      </w:r>
      <w:r>
        <w:t xml:space="preserve">’</w:t>
      </w:r>
      <w:r>
        <w:t xml:space="preserve"> </w:t>
      </w:r>
      <w:r>
        <w:t xml:space="preserve">function from</w:t>
      </w:r>
      <w:r>
        <w:t xml:space="preserve"> </w:t>
      </w:r>
      <w:r>
        <w:t xml:space="preserve">‘</w:t>
      </w:r>
      <w:r>
        <w:t xml:space="preserve">vegan</w:t>
      </w:r>
      <w:r>
        <w:t xml:space="preserve">’</w:t>
      </w:r>
      <w:r>
        <w:t xml:space="preserve"> </w:t>
      </w:r>
      <w:r>
        <w:t xml:space="preserve">and tested a difference of group dispersions using</w:t>
      </w:r>
      <w:r>
        <w:t xml:space="preserve"> </w:t>
      </w:r>
      <w:r>
        <w:t xml:space="preserve">‘</w:t>
      </w:r>
      <w:r>
        <w:t xml:space="preserve">betadisper</w:t>
      </w:r>
      <w:r>
        <w:t xml:space="preserve">’</w:t>
      </w:r>
      <w:r>
        <w:t xml:space="preserve"> </w:t>
      </w:r>
      <w:r>
        <w:t xml:space="preserve">and</w:t>
      </w:r>
      <w:r>
        <w:t xml:space="preserve"> </w:t>
      </w:r>
      <w:r>
        <w:t xml:space="preserve">‘</w:t>
      </w:r>
      <w:r>
        <w:t xml:space="preserve">anova</w:t>
      </w:r>
      <w:r>
        <w:t xml:space="preserve">’</w:t>
      </w:r>
      <w:r>
        <w:t xml:space="preserve"> </w:t>
      </w:r>
      <w:r>
        <w:t xml:space="preserve">with 999 permutations</w:t>
      </w:r>
      <w:r>
        <w:t xml:space="preserve"> </w:t>
      </w:r>
      <w:r>
        <w:t xml:space="preserve">(McArdle and Anderson, 2001; Oksanen et al., 2019)</w:t>
      </w:r>
      <w:r>
        <w:t xml:space="preserve">. Lastly, we tested</w:t>
      </w:r>
      <w:r>
        <w:t xml:space="preserve"> </w:t>
      </w:r>
      <w:r>
        <w:t xml:space="preserve">the correlation between CH</w:t>
      </w:r>
      <w:r>
        <w:rPr>
          <w:vertAlign w:val="subscript"/>
        </w:rPr>
        <w:t xml:space="preserve">4</w:t>
      </w:r>
      <w:r>
        <w:t xml:space="preserve"> </w:t>
      </w:r>
      <w:r>
        <w:t xml:space="preserve">oxidation rate and Bray-Curtis dissimilarity in</w:t>
      </w:r>
      <w:r>
        <w:t xml:space="preserve"> </w:t>
      </w:r>
      <w:r>
        <w:t xml:space="preserve">Passage 5 with a distance-based redundancy analysis (dbRDA) using the</w:t>
      </w:r>
      <w:r>
        <w:t xml:space="preserve"> </w:t>
      </w:r>
      <w:r>
        <w:t xml:space="preserve">‘</w:t>
      </w:r>
      <w:r>
        <w:t xml:space="preserve">dbrda</w:t>
      </w:r>
      <w:r>
        <w:t xml:space="preserve">’</w:t>
      </w:r>
      <w:r>
        <w:t xml:space="preserve"> </w:t>
      </w:r>
      <w:r>
        <w:t xml:space="preserve">function in</w:t>
      </w:r>
      <w:r>
        <w:t xml:space="preserve"> </w:t>
      </w:r>
      <w:r>
        <w:t xml:space="preserve">‘</w:t>
      </w:r>
      <w:r>
        <w:t xml:space="preserve">vegan</w:t>
      </w:r>
      <w:r>
        <w:t xml:space="preserve">’</w:t>
      </w:r>
      <w:r>
        <w:t xml:space="preserve"> </w:t>
      </w:r>
      <w:r>
        <w:t xml:space="preserve">and estimated the p-value using a permutation F-test with</w:t>
      </w:r>
      <w:r>
        <w:t xml:space="preserve"> </w:t>
      </w:r>
      <w:r>
        <w:t xml:space="preserve">999 permutations</w:t>
      </w:r>
      <w:r>
        <w:t xml:space="preserve"> </w:t>
      </w:r>
      <w:r>
        <w:t xml:space="preserve">(McArdle and Anderson, 2001; Oksanen et al., 2019)</w:t>
      </w:r>
    </w:p>
    <w:bookmarkEnd w:id="28"/>
    <w:bookmarkStart w:id="29" w:name="differential-abundance"/>
    <w:p>
      <w:pPr>
        <w:pStyle w:val="Heading3"/>
      </w:pPr>
      <w:r>
        <w:rPr>
          <w:rStyle w:val="SectionNumber"/>
        </w:rPr>
        <w:t xml:space="preserve">3.5.4</w:t>
      </w:r>
      <w:r>
        <w:tab/>
      </w:r>
      <w:r>
        <w:t xml:space="preserve">Differential abundance</w:t>
      </w:r>
    </w:p>
    <w:p>
      <w:pPr>
        <w:pStyle w:val="FirstParagraph"/>
      </w:pPr>
      <w:r>
        <w:t xml:space="preserve">To identify taxa that responded to selection on CH</w:t>
      </w:r>
      <w:r>
        <w:rPr>
          <w:vertAlign w:val="subscript"/>
        </w:rPr>
        <w:t xml:space="preserve">4</w:t>
      </w:r>
      <w:r>
        <w:t xml:space="preserve"> </w:t>
      </w:r>
      <w:r>
        <w:t xml:space="preserve">oxidation rate, we tested</w:t>
      </w:r>
      <w:r>
        <w:t xml:space="preserve"> </w:t>
      </w:r>
      <w:r>
        <w:t xml:space="preserve">differential abundance between the two treatments in passage 5. We first</w:t>
      </w:r>
      <w:r>
        <w:t xml:space="preserve"> </w:t>
      </w:r>
      <w:r>
        <w:t xml:space="preserve">grouped ASVs at the family level. We chose this level of agglomeration</w:t>
      </w:r>
      <w:r>
        <w:t xml:space="preserve"> </w:t>
      </w:r>
      <w:r>
        <w:t xml:space="preserve">because CH</w:t>
      </w:r>
      <w:r>
        <w:rPr>
          <w:vertAlign w:val="subscript"/>
        </w:rPr>
        <w:t xml:space="preserve">4</w:t>
      </w:r>
      <w:r>
        <w:t xml:space="preserve"> </w:t>
      </w:r>
      <w:r>
        <w:t xml:space="preserve">oxidation</w:t>
      </w:r>
      <w:r>
        <w:t xml:space="preserve"> </w:t>
      </w:r>
      <w:r>
        <w:t xml:space="preserve">is a relatively deeply conserved function</w:t>
      </w:r>
      <w:r>
        <w:t xml:space="preserve"> </w:t>
      </w:r>
      <w:r>
        <w:t xml:space="preserve">(Martiny et al., 2013)</w:t>
      </w:r>
      <w:r>
        <w:t xml:space="preserve"> </w:t>
      </w:r>
      <w:r>
        <w:t xml:space="preserve">and is restricted to</w:t>
      </w:r>
      <w:r>
        <w:t xml:space="preserve"> </w:t>
      </w:r>
      <w:r>
        <w:t xml:space="preserve">a handful of bacterial and archaeal families</w:t>
      </w:r>
      <w:r>
        <w:t xml:space="preserve"> </w:t>
      </w:r>
      <w:r>
        <w:t xml:space="preserve">(Kang et al., 2019)</w:t>
      </w:r>
      <w:r>
        <w:t xml:space="preserve">. Therefore, we are most</w:t>
      </w:r>
      <w:r>
        <w:t xml:space="preserve"> </w:t>
      </w:r>
      <w:r>
        <w:t xml:space="preserve">likely to detect an enrichment of methanotrophs at this taxonomic scale.</w:t>
      </w:r>
      <w:r>
        <w:t xml:space="preserve"> </w:t>
      </w:r>
      <w:r>
        <w:t xml:space="preserve">Any ASVs that lacked a family-level</w:t>
      </w:r>
      <w:r>
        <w:t xml:space="preserve"> </w:t>
      </w:r>
      <w:r>
        <w:t xml:space="preserve">taxonomic assignment were grouped at a higher taxonomic level. We then subset the</w:t>
      </w:r>
      <w:r>
        <w:t xml:space="preserve"> </w:t>
      </w:r>
      <w:r>
        <w:t xml:space="preserve">samples in Passage 5 and removed all families with a prevalence of less than</w:t>
      </w:r>
      <w:r>
        <w:t xml:space="preserve"> </w:t>
      </w:r>
      <w:r>
        <w:t xml:space="preserve">10% in either treatment. We used three methods for testing differential</w:t>
      </w:r>
      <w:r>
        <w:t xml:space="preserve"> </w:t>
      </w:r>
      <w:r>
        <w:t xml:space="preserve">abundance: ANCOM-II, ALDEx2, and CORNCOB</w:t>
      </w:r>
      <w:r>
        <w:t xml:space="preserve"> </w:t>
      </w:r>
      <w:r>
        <w:t xml:space="preserve">(Fernandes et al., 2014; Kaul et al., 2017; Lin and Peddada, 2020; Martin et al., 2020)</w:t>
      </w:r>
      <w:r>
        <w:t xml:space="preserve">. We then identified the</w:t>
      </w:r>
      <w:r>
        <w:t xml:space="preserve"> </w:t>
      </w:r>
      <w:r>
        <w:t xml:space="preserve">consensus taxa that were significant with all three tests and plotted their</w:t>
      </w:r>
      <w:r>
        <w:t xml:space="preserve"> </w:t>
      </w:r>
      <w:r>
        <w:t xml:space="preserve">relative abundances. For ANCOM-II, we used the</w:t>
      </w:r>
      <w:r>
        <w:t xml:space="preserve"> </w:t>
      </w:r>
      <w:r>
        <w:t xml:space="preserve">‘</w:t>
      </w:r>
      <w:r>
        <w:t xml:space="preserve">ancom</w:t>
      </w:r>
      <w:r>
        <w:t xml:space="preserve">’</w:t>
      </w:r>
      <w:r>
        <w:t xml:space="preserve"> </w:t>
      </w:r>
      <w:r>
        <w:t xml:space="preserve">function in the</w:t>
      </w:r>
      <w:r>
        <w:t xml:space="preserve"> </w:t>
      </w:r>
      <w:r>
        <w:t xml:space="preserve">‘</w:t>
      </w:r>
      <w:r>
        <w:t xml:space="preserve">ANCOM-BC</w:t>
      </w:r>
      <w:r>
        <w:t xml:space="preserve">’</w:t>
      </w:r>
      <w:r>
        <w:t xml:space="preserve"> </w:t>
      </w:r>
      <w:r>
        <w:t xml:space="preserve">package with a cutoff of W = 0.7</w:t>
      </w:r>
      <w:r>
        <w:t xml:space="preserve"> </w:t>
      </w:r>
      <w:r>
        <w:t xml:space="preserve">(Kaul et al., 2017; Lin and Peddada, 2020)</w:t>
      </w:r>
      <w:r>
        <w:t xml:space="preserve">. For ALDEx2,</w:t>
      </w:r>
      <w:r>
        <w:t xml:space="preserve"> </w:t>
      </w:r>
      <w:r>
        <w:t xml:space="preserve">we used the</w:t>
      </w:r>
      <w:r>
        <w:t xml:space="preserve"> </w:t>
      </w:r>
      <w:r>
        <w:t xml:space="preserve">‘</w:t>
      </w:r>
      <w:r>
        <w:t xml:space="preserve">aldex</w:t>
      </w:r>
      <w:r>
        <w:t xml:space="preserve">’</w:t>
      </w:r>
      <w:r>
        <w:t xml:space="preserve"> </w:t>
      </w:r>
      <w:r>
        <w:t xml:space="preserve">function in the</w:t>
      </w:r>
      <w:r>
        <w:t xml:space="preserve"> </w:t>
      </w:r>
      <w:r>
        <w:t xml:space="preserve">‘</w:t>
      </w:r>
      <w:r>
        <w:t xml:space="preserve">ALDEx2</w:t>
      </w:r>
      <w:r>
        <w:t xml:space="preserve">’</w:t>
      </w:r>
      <w:r>
        <w:t xml:space="preserve"> </w:t>
      </w:r>
      <w:r>
        <w:t xml:space="preserve">package with Welch’s t-test and we</w:t>
      </w:r>
      <w:r>
        <w:t xml:space="preserve"> </w:t>
      </w:r>
      <w:r>
        <w:t xml:space="preserve">used an effect size of 1 as our significance threshold</w:t>
      </w:r>
      <w:r>
        <w:t xml:space="preserve"> </w:t>
      </w:r>
      <w:r>
        <w:t xml:space="preserve">(Fernandes et al., 2014)</w:t>
      </w:r>
      <w:r>
        <w:t xml:space="preserve">.</w:t>
      </w:r>
      <w:r>
        <w:t xml:space="preserve"> </w:t>
      </w:r>
      <w:r>
        <w:t xml:space="preserve">Finally, we used CORNCOB with the</w:t>
      </w:r>
      <w:r>
        <w:t xml:space="preserve"> </w:t>
      </w:r>
      <w:r>
        <w:t xml:space="preserve">‘</w:t>
      </w:r>
      <w:r>
        <w:t xml:space="preserve">differentialTest</w:t>
      </w:r>
      <w:r>
        <w:t xml:space="preserve">’</w:t>
      </w:r>
      <w:r>
        <w:t xml:space="preserve"> </w:t>
      </w:r>
      <w:r>
        <w:t xml:space="preserve">function in the</w:t>
      </w:r>
      <w:r>
        <w:t xml:space="preserve"> </w:t>
      </w:r>
      <w:r>
        <w:t xml:space="preserve">‘</w:t>
      </w:r>
      <w:r>
        <w:t xml:space="preserve">corncob</w:t>
      </w:r>
      <w:r>
        <w:t xml:space="preserve">’</w:t>
      </w:r>
      <w:r>
        <w:t xml:space="preserve"> </w:t>
      </w:r>
      <w:r>
        <w:t xml:space="preserve">package with the Wald test and without bootstrapping</w:t>
      </w:r>
      <w:r>
        <w:t xml:space="preserve"> </w:t>
      </w:r>
      <w:r>
        <w:t xml:space="preserve">(Martin et al., 2020)</w:t>
      </w:r>
      <w:r>
        <w:t xml:space="preserve">. Lastly, to</w:t>
      </w:r>
      <w:r>
        <w:t xml:space="preserve"> </w:t>
      </w:r>
      <w:r>
        <w:t xml:space="preserve">test differentially abundant methanotrophs, we subset all ASVs within</w:t>
      </w:r>
      <w:r>
        <w:t xml:space="preserve"> </w:t>
      </w:r>
      <w:r>
        <w:t xml:space="preserve">methanotrophic families and tested their differential abundance aggregated at</w:t>
      </w:r>
      <w:r>
        <w:t xml:space="preserve"> </w:t>
      </w:r>
      <w:r>
        <w:t xml:space="preserve">the family and genus level using</w:t>
      </w:r>
      <w:r>
        <w:t xml:space="preserve"> </w:t>
      </w:r>
      <w:r>
        <w:t xml:space="preserve">‘</w:t>
      </w:r>
      <w:r>
        <w:t xml:space="preserve">corncob</w:t>
      </w:r>
      <w:r>
        <w:t xml:space="preserve">’</w:t>
      </w:r>
      <w:r>
        <w:t xml:space="preserve">. For each test, p-values were adjusted</w:t>
      </w:r>
      <w:r>
        <w:t xml:space="preserve"> </w:t>
      </w:r>
      <w:r>
        <w:t xml:space="preserve">for multiple testing by controlling the false discovery rate using the</w:t>
      </w:r>
      <w:r>
        <w:t xml:space="preserve"> </w:t>
      </w:r>
      <w:r>
        <w:t xml:space="preserve">Banjamini-Hochberg procedure</w:t>
      </w:r>
      <w:r>
        <w:t xml:space="preserve"> </w:t>
      </w:r>
      <w:r>
        <w:t xml:space="preserve">(Benjamini and Hochberg, 1995)</w:t>
      </w:r>
      <w:r>
        <w:t xml:space="preserve">.</w:t>
      </w:r>
    </w:p>
    <w:bookmarkEnd w:id="29"/>
    <w:bookmarkEnd w:id="30"/>
    <w:bookmarkEnd w:id="31"/>
    <w:bookmarkStart w:id="36" w:name="results"/>
    <w:p>
      <w:pPr>
        <w:pStyle w:val="Heading1"/>
      </w:pPr>
      <w:r>
        <w:rPr>
          <w:rStyle w:val="SectionNumber"/>
        </w:rPr>
        <w:t xml:space="preserve">4</w:t>
      </w:r>
      <w:r>
        <w:tab/>
      </w:r>
      <w:r>
        <w:t xml:space="preserve">Results</w:t>
      </w:r>
    </w:p>
    <w:bookmarkStart w:id="32" w:name="Xc2d21a0d19c3188cf98e037054740438f3ba714"/>
    <w:p>
      <w:pPr>
        <w:pStyle w:val="Heading2"/>
      </w:pPr>
      <w:r>
        <w:rPr>
          <w:rStyle w:val="SectionNumber"/>
        </w:rPr>
        <w:t xml:space="preserve">4.1</w:t>
      </w:r>
      <w:r>
        <w:tab/>
      </w:r>
      <w:r>
        <w:t xml:space="preserve">Response to selection on methane oxidation rate</w:t>
      </w:r>
    </w:p>
    <w:p>
      <w:pPr>
        <w:pStyle w:val="FirstParagraph"/>
      </w:pPr>
      <w:r>
        <w:t xml:space="preserve">We observed a response to artificial selection on whole-ecosystem soil CH</w:t>
      </w:r>
      <w:r>
        <w:rPr>
          <w:vertAlign w:val="subscript"/>
        </w:rPr>
        <w:t xml:space="preserve">4</w:t>
      </w:r>
      <w:r>
        <w:t xml:space="preserve"> </w:t>
      </w:r>
      <w:r>
        <w:t xml:space="preserve">oxidation</w:t>
      </w:r>
      <w:r>
        <w:t xml:space="preserve"> </w:t>
      </w:r>
      <w:r>
        <w:t xml:space="preserve">rate (Figure 2; difference of slopes:</w:t>
      </w:r>
      <w:r>
        <w:t xml:space="preserve"> </w:t>
      </w:r>
      <w:r>
        <w:t xml:space="preserve">F</w:t>
      </w:r>
      <w:r>
        <w:rPr>
          <w:vertAlign w:val="subscript"/>
        </w:rPr>
        <w:t xml:space="preserve">2,113</w:t>
      </w:r>
      <w:r>
        <w:t xml:space="preserve"> </w:t>
      </w:r>
      <w:r>
        <w:t xml:space="preserve">=</w:t>
      </w:r>
      <w:r>
        <w:t xml:space="preserve"> </w:t>
      </w:r>
      <w:r>
        <w:t xml:space="preserve">3.85,</w:t>
      </w:r>
      <w:r>
        <w:t xml:space="preserve"> </w:t>
      </w:r>
      <w:r>
        <w:t xml:space="preserve">p = 0.02). At the start of the experiment,</w:t>
      </w:r>
      <w:r>
        <w:t xml:space="preserve"> </w:t>
      </w:r>
      <w:r>
        <w:t xml:space="preserve">the positive selection treatment had a mean CH</w:t>
      </w:r>
      <w:r>
        <w:rPr>
          <w:vertAlign w:val="subscript"/>
        </w:rPr>
        <w:t xml:space="preserve">4</w:t>
      </w:r>
      <w:r>
        <w:t xml:space="preserve"> </w:t>
      </w:r>
      <w:r>
        <w:t xml:space="preserve">oxidation rate that was</w:t>
      </w:r>
      <w:r>
        <w:t xml:space="preserve"> </w:t>
      </w:r>
      <w:r>
        <w:t xml:space="preserve">24%</w:t>
      </w:r>
      <w:r>
        <w:t xml:space="preserve"> </w:t>
      </w:r>
      <w:r>
        <w:t xml:space="preserve">lower than the control</w:t>
      </w:r>
      <w:r>
        <w:t xml:space="preserve"> </w:t>
      </w:r>
      <w:r>
        <w:t xml:space="preserve">(difference of y-intercepts = -0.34, SE = 0.16, t = -2.14, p = 0.03).</w:t>
      </w:r>
      <w:r>
        <w:t xml:space="preserve"> </w:t>
      </w:r>
      <w:r>
        <w:t xml:space="preserve">There was no change in CH</w:t>
      </w:r>
      <w:r>
        <w:rPr>
          <w:vertAlign w:val="subscript"/>
        </w:rPr>
        <w:t xml:space="preserve">4</w:t>
      </w:r>
      <w:r>
        <w:t xml:space="preserve"> </w:t>
      </w:r>
      <w:r>
        <w:t xml:space="preserve">oxidation rate in the control over the</w:t>
      </w:r>
      <w:r>
        <w:t xml:space="preserve"> </w:t>
      </w:r>
      <w:r>
        <w:t xml:space="preserve">five passages (slope = -0.01, SE = 0.05, t = -0.26, p = 0.80). By contrast, the selection</w:t>
      </w:r>
      <w:r>
        <w:t xml:space="preserve"> </w:t>
      </w:r>
      <w:r>
        <w:t xml:space="preserve">treatment had a 50.7% increase in CH</w:t>
      </w:r>
      <w:r>
        <w:rPr>
          <w:vertAlign w:val="subscript"/>
        </w:rPr>
        <w:t xml:space="preserve">4</w:t>
      </w:r>
      <w:r>
        <w:t xml:space="preserve"> </w:t>
      </w:r>
      <w:r>
        <w:t xml:space="preserve">oxidation rate per</w:t>
      </w:r>
      <w:r>
        <w:t xml:space="preserve"> </w:t>
      </w:r>
      <w:r>
        <w:t xml:space="preserve">passage (slope = 0.18, SE = 0.06, t = 2.76, p = 0.01).</w:t>
      </w:r>
    </w:p>
    <w:p>
      <w:pPr>
        <w:pStyle w:val="TextBody"/>
      </w:pPr>
      <w:r>
        <w:t xml:space="preserve">To estimate the proportion of variation in CH</w:t>
      </w:r>
      <w:r>
        <w:rPr>
          <w:vertAlign w:val="subscript"/>
        </w:rPr>
        <w:t xml:space="preserve">4</w:t>
      </w:r>
      <w:r>
        <w:t xml:space="preserve"> </w:t>
      </w:r>
      <w:r>
        <w:t xml:space="preserve">oxidation rate due to</w:t>
      </w:r>
      <w:r>
        <w:t xml:space="preserve"> </w:t>
      </w:r>
      <w:r>
        <w:t xml:space="preserve">variation in microbiome composition–i.e., microbiability (as described in the Methods;</w:t>
      </w:r>
      <w:r>
        <w:t xml:space="preserve"> </w:t>
      </w:r>
      <w:r>
        <w:t xml:space="preserve">(He et al., 2022)</w:t>
      </w:r>
      <w:r>
        <w:t xml:space="preserve">)–we regressed divergence between the</w:t>
      </w:r>
      <w:r>
        <w:t xml:space="preserve"> </w:t>
      </w:r>
      <w:r>
        <w:t xml:space="preserve">positive selection treatment and the control against the cumulative selection</w:t>
      </w:r>
      <w:r>
        <w:t xml:space="preserve"> </w:t>
      </w:r>
      <w:r>
        <w:t xml:space="preserve">differential. The microbiability was 0.31 ±</w:t>
      </w:r>
      <w:r>
        <w:t xml:space="preserve"> </w:t>
      </w:r>
      <w:r>
        <w:t xml:space="preserve">0.17, though this was not significant (F</w:t>
      </w:r>
      <w:r>
        <w:rPr>
          <w:vertAlign w:val="subscript"/>
        </w:rPr>
        <w:t xml:space="preserve">1,2</w:t>
      </w:r>
      <w:r>
        <w:t xml:space="preserve"> </w:t>
      </w:r>
      <w:r>
        <w:t xml:space="preserve">=</w:t>
      </w:r>
      <w:r>
        <w:t xml:space="preserve"> </w:t>
      </w:r>
      <w:r>
        <w:t xml:space="preserve">3.44,</w:t>
      </w:r>
      <w:r>
        <w:t xml:space="preserve"> </w:t>
      </w:r>
      <w:r>
        <w:t xml:space="preserve">p = 0.20).</w:t>
      </w:r>
    </w:p>
    <w:bookmarkEnd w:id="32"/>
    <w:bookmarkStart w:id="33" w:name="taxonomic-richness"/>
    <w:p>
      <w:pPr>
        <w:pStyle w:val="Heading2"/>
      </w:pPr>
      <w:r>
        <w:rPr>
          <w:rStyle w:val="SectionNumber"/>
        </w:rPr>
        <w:t xml:space="preserve">4.2</w:t>
      </w:r>
      <w:r>
        <w:tab/>
      </w:r>
      <w:r>
        <w:t xml:space="preserve">Taxonomic richness</w:t>
      </w:r>
    </w:p>
    <w:p>
      <w:pPr>
        <w:pStyle w:val="FirstParagraph"/>
      </w:pPr>
      <w:r>
        <w:t xml:space="preserve">Median ASV richness decreased from 3406.6 (778.5) in passage 2 to 1557.8 (157.7) in passage 5 (Kruskal-Wallace test:</w:t>
      </w:r>
      <w:r>
        <w:t xml:space="preserve"> </w:t>
      </w:r>
      <m:oMath>
        <m:sSup>
          <m:e>
            <m:r>
              <m:t>χ</m:t>
            </m:r>
          </m:e>
          <m:sup>
            <m:r>
              <m:t>2</m:t>
            </m:r>
          </m:sup>
        </m:sSup>
      </m:oMath>
      <w:r>
        <w:t xml:space="preserve"> </w:t>
      </w:r>
      <w:r>
        <w:t xml:space="preserve">=</w:t>
      </w:r>
      <w:r>
        <w:t xml:space="preserve"> </w:t>
      </w:r>
      <w:r>
        <w:t xml:space="preserve">35.4, df = 3, p &lt; 0.001; pairwise Wilcoxon test: p &lt; 0.001). However, there was no</w:t>
      </w:r>
      <w:r>
        <w:t xml:space="preserve"> </w:t>
      </w:r>
      <w:r>
        <w:t xml:space="preserve">difference in richness between the selection treatment and the control in</w:t>
      </w:r>
      <w:r>
        <w:t xml:space="preserve"> </w:t>
      </w:r>
      <w:r>
        <w:t xml:space="preserve">passage 2 or 5 (pairwise Wilcoxon test; Passage 2: p = 0.66,</w:t>
      </w:r>
      <w:r>
        <w:t xml:space="preserve"> </w:t>
      </w:r>
      <w:r>
        <w:t xml:space="preserve">Passage 5: p = 0.67). In addition, there was no</w:t>
      </w:r>
      <w:r>
        <w:t xml:space="preserve"> </w:t>
      </w:r>
      <w:r>
        <w:t xml:space="preserve">correlation between richness and CH</w:t>
      </w:r>
      <w:r>
        <w:rPr>
          <w:vertAlign w:val="subscript"/>
        </w:rPr>
        <w:t xml:space="preserve">4</w:t>
      </w:r>
      <w:r>
        <w:t xml:space="preserve"> </w:t>
      </w:r>
      <w:r>
        <w:t xml:space="preserve">oxidation rate across the two treatments in passage 5 (Spearman’s rho = -0.2, p = 0.3).</w:t>
      </w:r>
    </w:p>
    <w:bookmarkEnd w:id="33"/>
    <w:bookmarkStart w:id="34" w:name="community-dissimilarity"/>
    <w:p>
      <w:pPr>
        <w:pStyle w:val="Heading2"/>
      </w:pPr>
      <w:r>
        <w:rPr>
          <w:rStyle w:val="SectionNumber"/>
        </w:rPr>
        <w:t xml:space="preserve">4.3</w:t>
      </w:r>
      <w:r>
        <w:tab/>
      </w:r>
      <w:r>
        <w:t xml:space="preserve">Community dissimilarity</w:t>
      </w:r>
    </w:p>
    <w:p>
      <w:pPr>
        <w:pStyle w:val="FirstParagraph"/>
      </w:pPr>
      <w:r>
        <w:t xml:space="preserve">Bray-Curtis dissimilarity of the soil microbiome varied strongly by passage and</w:t>
      </w:r>
      <w:r>
        <w:t xml:space="preserve"> </w:t>
      </w:r>
      <w:r>
        <w:t xml:space="preserve">weakly by treatment with an interaction between passage and treatment (Figure 3).</w:t>
      </w:r>
      <w:r>
        <w:t xml:space="preserve"> </w:t>
      </w:r>
      <w:r>
        <w:t xml:space="preserve">Passage explained 55.9% of the</w:t>
      </w:r>
      <w:r>
        <w:t xml:space="preserve"> </w:t>
      </w:r>
      <w:r>
        <w:t xml:space="preserve">variation in Bray-Curtis dissimilarity (F</w:t>
      </w:r>
      <w:r>
        <w:rPr>
          <w:vertAlign w:val="subscript"/>
        </w:rPr>
        <w:t xml:space="preserve">1,44</w:t>
      </w:r>
      <w:r>
        <w:t xml:space="preserve"> </w:t>
      </w:r>
      <w:r>
        <w:t xml:space="preserve">= 73.3, p = 0.001), treatment explained</w:t>
      </w:r>
      <w:r>
        <w:t xml:space="preserve"> </w:t>
      </w:r>
      <w:r>
        <w:t xml:space="preserve">5.9%</w:t>
      </w:r>
      <w:r>
        <w:t xml:space="preserve"> </w:t>
      </w:r>
      <w:r>
        <w:t xml:space="preserve">of the variation (F</w:t>
      </w:r>
      <w:r>
        <w:rPr>
          <w:vertAlign w:val="subscript"/>
        </w:rPr>
        <w:t xml:space="preserve">1,44</w:t>
      </w:r>
      <w:r>
        <w:t xml:space="preserve"> </w:t>
      </w:r>
      <w:r>
        <w:t xml:space="preserve">= 7.8, p = 0.001), and the interaction</w:t>
      </w:r>
      <w:r>
        <w:t xml:space="preserve"> </w:t>
      </w:r>
      <w:r>
        <w:t xml:space="preserve">between treatment and passage explained</w:t>
      </w:r>
      <w:r>
        <w:t xml:space="preserve"> </w:t>
      </w:r>
      <w:r>
        <w:t xml:space="preserve">4.7% of the variation (F</w:t>
      </w:r>
      <w:r>
        <w:rPr>
          <w:vertAlign w:val="subscript"/>
        </w:rPr>
        <w:t xml:space="preserve">1,44</w:t>
      </w:r>
      <w:r>
        <w:t xml:space="preserve"> </w:t>
      </w:r>
      <w:r>
        <w:t xml:space="preserve">= 6.2, p = 0.003). There was</w:t>
      </w:r>
      <w:r>
        <w:t xml:space="preserve"> </w:t>
      </w:r>
      <w:r>
        <w:t xml:space="preserve">no difference in dispersion between treatments or passages (F</w:t>
      </w:r>
      <w:r>
        <w:rPr>
          <w:vertAlign w:val="subscript"/>
        </w:rPr>
        <w:t xml:space="preserve">3,44</w:t>
      </w:r>
      <w:r>
        <w:t xml:space="preserve"> </w:t>
      </w:r>
      <w:r>
        <w:t xml:space="preserve">= 0.91, p = 0.45).</w:t>
      </w:r>
      <w:r>
        <w:t xml:space="preserve"> </w:t>
      </w:r>
      <w:r>
        <w:t xml:space="preserve">Finally, CH</w:t>
      </w:r>
      <w:r>
        <w:rPr>
          <w:vertAlign w:val="subscript"/>
        </w:rPr>
        <w:t xml:space="preserve">4</w:t>
      </w:r>
      <w:r>
        <w:t xml:space="preserve"> </w:t>
      </w:r>
      <w:r>
        <w:t xml:space="preserve">oxidation rate was correlated with Bray-Curtis dissimilarity across both treatments in passage 5 and explained 9.6% of the variation in Bray-Curtis dissimilarity (dbRDA: F</w:t>
      </w:r>
      <w:r>
        <w:rPr>
          <w:vertAlign w:val="subscript"/>
        </w:rPr>
        <w:t xml:space="preserve">1,22</w:t>
      </w:r>
      <w:r>
        <w:t xml:space="preserve"> </w:t>
      </w:r>
      <w:r>
        <w:t xml:space="preserve">= 2.34, p = 0.01)</w:t>
      </w:r>
    </w:p>
    <w:bookmarkEnd w:id="34"/>
    <w:bookmarkStart w:id="35" w:name="taxa-that-responded-to-selection"/>
    <w:p>
      <w:pPr>
        <w:pStyle w:val="Heading2"/>
      </w:pPr>
      <w:r>
        <w:rPr>
          <w:rStyle w:val="SectionNumber"/>
        </w:rPr>
        <w:t xml:space="preserve">4.4</w:t>
      </w:r>
      <w:r>
        <w:tab/>
      </w:r>
      <w:r>
        <w:t xml:space="preserve">Taxa that responded to selection</w:t>
      </w:r>
    </w:p>
    <w:p>
      <w:pPr>
        <w:pStyle w:val="FirstParagraph"/>
      </w:pPr>
      <w:r>
        <w:t xml:space="preserve">To identify taxa that responded</w:t>
      </w:r>
      <w:r>
        <w:t xml:space="preserve"> </w:t>
      </w:r>
      <w:r>
        <w:t xml:space="preserve">to selection on soil CH</w:t>
      </w:r>
      <w:r>
        <w:rPr>
          <w:vertAlign w:val="subscript"/>
        </w:rPr>
        <w:t xml:space="preserve">4</w:t>
      </w:r>
      <w:r>
        <w:t xml:space="preserve"> </w:t>
      </w:r>
      <w:r>
        <w:t xml:space="preserve">oxidation rate, we tested the differential relative</w:t>
      </w:r>
      <w:r>
        <w:t xml:space="preserve"> </w:t>
      </w:r>
      <w:r>
        <w:t xml:space="preserve">abundance of families in the selected jars relative to the control jars within</w:t>
      </w:r>
      <w:r>
        <w:t xml:space="preserve"> </w:t>
      </w:r>
      <w:r>
        <w:t xml:space="preserve">passage 5 using three methods and then plotted the taxa identified by all three methods. We identified 12</w:t>
      </w:r>
      <w:r>
        <w:t xml:space="preserve"> </w:t>
      </w:r>
      <w:r>
        <w:t xml:space="preserve">families that were enriched or depleted in the selection treatment relative to</w:t>
      </w:r>
      <w:r>
        <w:t xml:space="preserve"> </w:t>
      </w:r>
      <w:r>
        <w:t xml:space="preserve">the control (Figure 4).</w:t>
      </w:r>
    </w:p>
    <w:p>
      <w:pPr>
        <w:pStyle w:val="TextBody"/>
      </w:pPr>
      <w:r>
        <w:t xml:space="preserve">Overall, none of the families enriched in the selection treatment</w:t>
      </w:r>
      <w:r>
        <w:t xml:space="preserve"> </w:t>
      </w:r>
      <w:r>
        <w:t xml:space="preserve">contain known methanotrophs. Several taxa identified had a</w:t>
      </w:r>
      <w:r>
        <w:t xml:space="preserve"> </w:t>
      </w:r>
      <w:r>
        <w:t xml:space="preserve">higher taxonomic designation that contains methanotrophs, for example, the</w:t>
      </w:r>
      <w:r>
        <w:t xml:space="preserve"> </w:t>
      </w:r>
      <w:r>
        <w:t xml:space="preserve">Gammaproteobacteria class had a large effect size.</w:t>
      </w:r>
      <w:r>
        <w:t xml:space="preserve"> </w:t>
      </w:r>
      <w:r>
        <w:t xml:space="preserve">The Gammaproteobacteria include the type I and type X methanotrophs in the families</w:t>
      </w:r>
      <w:r>
        <w:t xml:space="preserve"> </w:t>
      </w:r>
      <w:r>
        <w:rPr>
          <w:iCs/>
          <w:i/>
        </w:rPr>
        <w:t xml:space="preserve">Methylococcaceae</w:t>
      </w:r>
      <w:r>
        <w:t xml:space="preserve"> </w:t>
      </w:r>
      <w:r>
        <w:t xml:space="preserve">and</w:t>
      </w:r>
      <w:r>
        <w:t xml:space="preserve"> </w:t>
      </w:r>
      <w:r>
        <w:rPr>
          <w:iCs/>
          <w:i/>
        </w:rPr>
        <w:t xml:space="preserve">Methylothermaceae</w:t>
      </w:r>
      <w:r>
        <w:t xml:space="preserve"> </w:t>
      </w:r>
      <w:r>
        <w:t xml:space="preserve">(Stein et al., 2012)</w:t>
      </w:r>
      <w:r>
        <w:t xml:space="preserve">.</w:t>
      </w:r>
      <w:r>
        <w:t xml:space="preserve"> </w:t>
      </w:r>
      <w:r>
        <w:t xml:space="preserve">However, the Gammaproteobacteria is among the most diverse</w:t>
      </w:r>
      <w:r>
        <w:t xml:space="preserve"> </w:t>
      </w:r>
      <w:r>
        <w:t xml:space="preserve">groups in the Prokaryotes, so this is not strong evidence for a selection response</w:t>
      </w:r>
      <w:r>
        <w:t xml:space="preserve"> </w:t>
      </w:r>
      <w:r>
        <w:t xml:space="preserve">by methanotrophs</w:t>
      </w:r>
      <w:r>
        <w:t xml:space="preserve"> </w:t>
      </w:r>
      <w:r>
        <w:t xml:space="preserve">(Garrity et al., 2005)</w:t>
      </w:r>
      <w:r>
        <w:t xml:space="preserve">.</w:t>
      </w:r>
      <w:r>
        <w:t xml:space="preserve"> </w:t>
      </w:r>
      <w:r>
        <w:t xml:space="preserve">In addition, the</w:t>
      </w:r>
      <w:r>
        <w:t xml:space="preserve"> </w:t>
      </w:r>
      <w:r>
        <w:rPr>
          <w:iCs/>
          <w:i/>
        </w:rPr>
        <w:t xml:space="preserve">Puniceicoccaceae</w:t>
      </w:r>
      <w:r>
        <w:t xml:space="preserve"> </w:t>
      </w:r>
      <w:r>
        <w:t xml:space="preserve">is a member of the phylum Verrucomicrobia. The Verrucomicrobia is a diverse group that contain</w:t>
      </w:r>
      <w:r>
        <w:t xml:space="preserve"> </w:t>
      </w:r>
      <w:r>
        <w:t xml:space="preserve">known methanotrophs as well as ammonia-oxidizing bacteria</w:t>
      </w:r>
      <w:r>
        <w:t xml:space="preserve"> </w:t>
      </w:r>
      <w:r>
        <w:t xml:space="preserve">(Freitag and Prosser, 2003)</w:t>
      </w:r>
      <w:r>
        <w:t xml:space="preserve">. Other</w:t>
      </w:r>
      <w:r>
        <w:t xml:space="preserve"> </w:t>
      </w:r>
      <w:r>
        <w:t xml:space="preserve">than these two groups, none of the other taxa enriched in the selection treatment</w:t>
      </w:r>
      <w:r>
        <w:t xml:space="preserve"> </w:t>
      </w:r>
      <w:r>
        <w:t xml:space="preserve">are known to be related to methanotrophs. Two groups in the Armatimonadales were</w:t>
      </w:r>
      <w:r>
        <w:t xml:space="preserve"> </w:t>
      </w:r>
      <w:r>
        <w:t xml:space="preserve">enriched in the selection treatment including the family</w:t>
      </w:r>
      <w:r>
        <w:t xml:space="preserve"> </w:t>
      </w:r>
      <w:r>
        <w:rPr>
          <w:iCs/>
          <w:i/>
        </w:rPr>
        <w:t xml:space="preserve">Fimbriimonadaceae</w:t>
      </w:r>
      <w:r>
        <w:t xml:space="preserve"> </w:t>
      </w:r>
      <w:r>
        <w:t xml:space="preserve">and</w:t>
      </w:r>
      <w:r>
        <w:t xml:space="preserve"> </w:t>
      </w:r>
      <w:r>
        <w:t xml:space="preserve">an unclassified ASV from the order Armatimonadales</w:t>
      </w:r>
      <w:r>
        <w:t xml:space="preserve"> </w:t>
      </w:r>
      <w:r>
        <w:t xml:space="preserve">(Im et al., 2012)</w:t>
      </w:r>
      <w:r>
        <w:t xml:space="preserve">.</w:t>
      </w:r>
      <w:r>
        <w:t xml:space="preserve"> </w:t>
      </w:r>
      <w:r>
        <w:rPr>
          <w:iCs/>
          <w:i/>
        </w:rPr>
        <w:t xml:space="preserve">Cytophagaceae</w:t>
      </w:r>
      <w:r>
        <w:t xml:space="preserve"> </w:t>
      </w:r>
      <w:r>
        <w:t xml:space="preserve">was also enriched in</w:t>
      </w:r>
      <w:r>
        <w:t xml:space="preserve"> </w:t>
      </w:r>
      <w:r>
        <w:t xml:space="preserve">the selection treatment and contains a number of mainly aerobic heterotrophs</w:t>
      </w:r>
      <w:r>
        <w:t xml:space="preserve"> </w:t>
      </w:r>
      <w:r>
        <w:t xml:space="preserve">that can digest a variety of macromolecules</w:t>
      </w:r>
      <w:r>
        <w:t xml:space="preserve"> </w:t>
      </w:r>
      <w:r>
        <w:t xml:space="preserve">(McBride et al., 2014)</w:t>
      </w:r>
      <w:r>
        <w:t xml:space="preserve">.</w:t>
      </w:r>
      <w:r>
        <w:t xml:space="preserve"> </w:t>
      </w:r>
      <w:r>
        <w:t xml:space="preserve">The remaining families include the uncultured family 0319-6G20,</w:t>
      </w:r>
      <w:r>
        <w:t xml:space="preserve"> </w:t>
      </w:r>
      <w:r>
        <w:rPr>
          <w:iCs/>
          <w:i/>
        </w:rPr>
        <w:t xml:space="preserve">Diplorickettsiaceae</w:t>
      </w:r>
      <w:r>
        <w:t xml:space="preserve">,</w:t>
      </w:r>
      <w:r>
        <w:t xml:space="preserve"> </w:t>
      </w:r>
      <w:r>
        <w:rPr>
          <w:iCs/>
          <w:i/>
        </w:rPr>
        <w:t xml:space="preserve">Rhodospirillaceae</w:t>
      </w:r>
      <w:r>
        <w:t xml:space="preserve">, and an unclassified Kapabacteriales.</w:t>
      </w:r>
    </w:p>
    <w:p>
      <w:pPr>
        <w:pStyle w:val="TextBody"/>
      </w:pPr>
      <w:r>
        <w:t xml:space="preserve">We did not identify any methanotrophic families in the overall differential abundance analysis.</w:t>
      </w:r>
      <w:r>
        <w:t xml:space="preserve"> </w:t>
      </w:r>
      <w:r>
        <w:t xml:space="preserve">However, we wanted to look more closely at the known methanotrophs in our dataset to be sure that they did not have an effect.</w:t>
      </w:r>
      <w:r>
        <w:t xml:space="preserve"> </w:t>
      </w:r>
      <w:r>
        <w:t xml:space="preserve">To do this, we subset the ASVs in our dataset that were in families that contained methanotrophs.</w:t>
      </w:r>
      <w:r>
        <w:t xml:space="preserve"> </w:t>
      </w:r>
      <w:r>
        <w:t xml:space="preserve">Only two families were represented:</w:t>
      </w:r>
      <w:r>
        <w:t xml:space="preserve"> </w:t>
      </w:r>
      <w:r>
        <w:rPr>
          <w:iCs/>
          <w:i/>
        </w:rPr>
        <w:t xml:space="preserve">Methylacidiphilaceae</w:t>
      </w:r>
      <w:r>
        <w:t xml:space="preserve"> </w:t>
      </w:r>
      <w:r>
        <w:t xml:space="preserve">and</w:t>
      </w:r>
      <w:r>
        <w:t xml:space="preserve"> </w:t>
      </w:r>
      <w:r>
        <w:rPr>
          <w:iCs/>
          <w:i/>
        </w:rPr>
        <w:t xml:space="preserve">Beijerinckiaceae</w:t>
      </w:r>
      <w:r>
        <w:t xml:space="preserve">.</w:t>
      </w:r>
      <w:r>
        <w:t xml:space="preserve"> </w:t>
      </w:r>
      <w:r>
        <w:t xml:space="preserve">Aggregating reads at the family level, neither family was differentially abundant between the two treatments.</w:t>
      </w:r>
      <w:r>
        <w:t xml:space="preserve"> </w:t>
      </w:r>
      <w:r>
        <w:t xml:space="preserve">However, aggregated at the genus level, a group of unclassified genera in the</w:t>
      </w:r>
      <w:r>
        <w:t xml:space="preserve"> </w:t>
      </w:r>
      <w:r>
        <w:rPr>
          <w:iCs/>
          <w:i/>
        </w:rPr>
        <w:t xml:space="preserve">Beijerinckiaceae</w:t>
      </w:r>
      <w:r>
        <w:t xml:space="preserve"> </w:t>
      </w:r>
      <w:r>
        <w:t xml:space="preserve">were depleted in the selection treatment and the genus</w:t>
      </w:r>
      <w:r>
        <w:t xml:space="preserve"> </w:t>
      </w:r>
      <w:r>
        <w:rPr>
          <w:iCs/>
          <w:i/>
        </w:rPr>
        <w:t xml:space="preserve">Rhodoblastus</w:t>
      </w:r>
      <w:r>
        <w:t xml:space="preserve">, a member of the</w:t>
      </w:r>
      <w:r>
        <w:t xml:space="preserve"> </w:t>
      </w:r>
      <w:r>
        <w:rPr>
          <w:iCs/>
          <w:i/>
        </w:rPr>
        <w:t xml:space="preserve">Beijerinckiaceae</w:t>
      </w:r>
      <w:r>
        <w:t xml:space="preserve">, was enriched in the</w:t>
      </w:r>
      <w:r>
        <w:t xml:space="preserve"> </w:t>
      </w:r>
      <w:r>
        <w:t xml:space="preserve">selection treatment. While many</w:t>
      </w:r>
      <w:r>
        <w:t xml:space="preserve"> </w:t>
      </w:r>
      <w:r>
        <w:rPr>
          <w:iCs/>
          <w:i/>
        </w:rPr>
        <w:t xml:space="preserve">Beijerinckiaceae</w:t>
      </w:r>
      <w:r>
        <w:t xml:space="preserve"> </w:t>
      </w:r>
      <w:r>
        <w:t xml:space="preserve">are methanotrophs, several</w:t>
      </w:r>
      <w:r>
        <w:t xml:space="preserve"> </w:t>
      </w:r>
      <w:r>
        <w:t xml:space="preserve">taxa in this family have lost the ability to oxidize CH</w:t>
      </w:r>
      <w:r>
        <w:rPr>
          <w:vertAlign w:val="subscript"/>
        </w:rPr>
        <w:t xml:space="preserve">4</w:t>
      </w:r>
      <w:r>
        <w:t xml:space="preserve"> </w:t>
      </w:r>
      <w:r>
        <w:t xml:space="preserve">and it appears</w:t>
      </w:r>
      <w:r>
        <w:t xml:space="preserve"> </w:t>
      </w:r>
      <w:r>
        <w:t xml:space="preserve">that</w:t>
      </w:r>
      <w:r>
        <w:t xml:space="preserve"> </w:t>
      </w:r>
      <w:r>
        <w:rPr>
          <w:iCs/>
          <w:i/>
        </w:rPr>
        <w:t xml:space="preserve">Rhodoblastus</w:t>
      </w:r>
      <w:r>
        <w:t xml:space="preserve"> </w:t>
      </w:r>
      <w:r>
        <w:t xml:space="preserve">species are not able to grow on CH</w:t>
      </w:r>
      <w:r>
        <w:rPr>
          <w:vertAlign w:val="subscript"/>
        </w:rPr>
        <w:t xml:space="preserve">4</w:t>
      </w:r>
      <w:r>
        <w:t xml:space="preserve">, though they can grow</w:t>
      </w:r>
      <w:r>
        <w:t xml:space="preserve"> </w:t>
      </w:r>
      <w:r>
        <w:t xml:space="preserve">on methanol</w:t>
      </w:r>
      <w:r>
        <w:t xml:space="preserve"> </w:t>
      </w:r>
      <w:r>
        <w:t xml:space="preserve">(Tamas et al., 2014; Dedysh et al., 2016)</w:t>
      </w:r>
      <w:r>
        <w:t xml:space="preserve">. Based on this analysis,</w:t>
      </w:r>
      <w:r>
        <w:t xml:space="preserve"> </w:t>
      </w:r>
      <w:r>
        <w:t xml:space="preserve">it appears that no known methanotrophs were enriched in the positive selection treatment.</w:t>
      </w:r>
    </w:p>
    <w:bookmarkEnd w:id="35"/>
    <w:bookmarkEnd w:id="36"/>
    <w:bookmarkStart w:id="37" w:name="discussion"/>
    <w:p>
      <w:pPr>
        <w:pStyle w:val="Heading1"/>
      </w:pPr>
      <w:r>
        <w:rPr>
          <w:rStyle w:val="SectionNumber"/>
        </w:rPr>
        <w:t xml:space="preserve">5</w:t>
      </w:r>
      <w:r>
        <w:tab/>
      </w:r>
      <w:r>
        <w:t xml:space="preserve">Discussion</w:t>
      </w:r>
    </w:p>
    <w:p>
      <w:pPr>
        <w:pStyle w:val="FirstParagraph"/>
      </w:pPr>
      <w:r>
        <w:t xml:space="preserve">We used artificial ecosystem selection to estimate the contribution of variation</w:t>
      </w:r>
      <w:r>
        <w:t xml:space="preserve"> </w:t>
      </w:r>
      <w:r>
        <w:t xml:space="preserve">in microbiome composition to variation in the rate of an ecosystem function,</w:t>
      </w:r>
      <w:r>
        <w:t xml:space="preserve"> </w:t>
      </w:r>
      <w:r>
        <w:t xml:space="preserve">CH</w:t>
      </w:r>
      <w:r>
        <w:rPr>
          <w:vertAlign w:val="subscript"/>
        </w:rPr>
        <w:t xml:space="preserve">4</w:t>
      </w:r>
      <w:r>
        <w:t xml:space="preserve"> </w:t>
      </w:r>
      <w:r>
        <w:t xml:space="preserve">oxidation in soil, independent of environmental variation. Understanding</w:t>
      </w:r>
      <w:r>
        <w:t xml:space="preserve"> </w:t>
      </w:r>
      <w:r>
        <w:t xml:space="preserve">how and to what degree microbiome variation contributes to variation in</w:t>
      </w:r>
      <w:r>
        <w:t xml:space="preserve"> </w:t>
      </w:r>
      <w:r>
        <w:t xml:space="preserve">ecosystem function is important for many reasons. For example, successful</w:t>
      </w:r>
      <w:r>
        <w:t xml:space="preserve"> </w:t>
      </w:r>
      <w:r>
        <w:t xml:space="preserve">microbiome manipulations require that the manipulated microbiome contribute to</w:t>
      </w:r>
      <w:r>
        <w:t xml:space="preserve"> </w:t>
      </w:r>
      <w:r>
        <w:t xml:space="preserve">variation in ecosystem function independent of other drivers of ecosystem</w:t>
      </w:r>
      <w:r>
        <w:t xml:space="preserve"> </w:t>
      </w:r>
      <w:r>
        <w:t xml:space="preserve">variation (such as variation in environmental conditions). This is because the</w:t>
      </w:r>
      <w:r>
        <w:t xml:space="preserve"> </w:t>
      </w:r>
      <w:r>
        <w:t xml:space="preserve">drivers of variation in ecosystem functions can interact in complicated ways</w:t>
      </w:r>
      <w:r>
        <w:t xml:space="preserve"> </w:t>
      </w:r>
      <w:r>
        <w:t xml:space="preserve">(Figure 1);</w:t>
      </w:r>
      <w:r>
        <w:t xml:space="preserve"> </w:t>
      </w:r>
      <w:r>
        <w:t xml:space="preserve">for example, environmental variation can indirectly contribute by providing</w:t>
      </w:r>
      <w:r>
        <w:t xml:space="preserve"> </w:t>
      </w:r>
      <w:r>
        <w:t xml:space="preserve">conditions that select for microbial groups that in turn alter the rates of</w:t>
      </w:r>
      <w:r>
        <w:t xml:space="preserve"> </w:t>
      </w:r>
      <w:r>
        <w:t xml:space="preserve">ecosystem functions. Determining the independent contribution of microbiome</w:t>
      </w:r>
      <w:r>
        <w:t xml:space="preserve"> </w:t>
      </w:r>
      <w:r>
        <w:t xml:space="preserve">variation to ecosystem function is crucial because if microbiome composition is</w:t>
      </w:r>
      <w:r>
        <w:t xml:space="preserve"> </w:t>
      </w:r>
      <w:r>
        <w:t xml:space="preserve">driven primarily by environmental conditions, then introducing a desirable taxon</w:t>
      </w:r>
      <w:r>
        <w:t xml:space="preserve"> </w:t>
      </w:r>
      <w:r>
        <w:t xml:space="preserve">through microbiome manipulation without altering the environment will likely be</w:t>
      </w:r>
      <w:r>
        <w:t xml:space="preserve"> </w:t>
      </w:r>
      <w:r>
        <w:t xml:space="preserve">unsuccessful at shifting the targeted ecosystem function.</w:t>
      </w:r>
      <w:r>
        <w:t xml:space="preserve"> </w:t>
      </w:r>
      <w:r>
        <w:t xml:space="preserve">The artificial selection approach is different from the comparative and</w:t>
      </w:r>
      <w:r>
        <w:t xml:space="preserve"> </w:t>
      </w:r>
      <w:r>
        <w:t xml:space="preserve">manipulative approaches used in past attempts at answering this question,</w:t>
      </w:r>
      <w:r>
        <w:t xml:space="preserve"> </w:t>
      </w:r>
      <w:r>
        <w:t xml:space="preserve">because it can control for both the direct effect of environment on function as</w:t>
      </w:r>
      <w:r>
        <w:t xml:space="preserve"> </w:t>
      </w:r>
      <w:r>
        <w:t xml:space="preserve">well as the indirect effect of environment via its impact on microbiome</w:t>
      </w:r>
      <w:r>
        <w:t xml:space="preserve"> </w:t>
      </w:r>
      <w:r>
        <w:t xml:space="preserve">assembly.</w:t>
      </w:r>
    </w:p>
    <w:p>
      <w:pPr>
        <w:pStyle w:val="TextBody"/>
      </w:pPr>
      <w:r>
        <w:t xml:space="preserve">In our study, we observed an increase in CH</w:t>
      </w:r>
      <w:r>
        <w:rPr>
          <w:vertAlign w:val="subscript"/>
        </w:rPr>
        <w:t xml:space="preserve">4</w:t>
      </w:r>
      <w:r>
        <w:t xml:space="preserve"> </w:t>
      </w:r>
      <w:r>
        <w:t xml:space="preserve">oxidation rate in the</w:t>
      </w:r>
      <w:r>
        <w:t xml:space="preserve"> </w:t>
      </w:r>
      <w:r>
        <w:t xml:space="preserve">selection treatment relative to the control, which demonstrates that there was a</w:t>
      </w:r>
      <w:r>
        <w:t xml:space="preserve"> </w:t>
      </w:r>
      <w:r>
        <w:t xml:space="preserve">response to selection. In addition, we observed a significant correlation</w:t>
      </w:r>
      <w:r>
        <w:t xml:space="preserve"> </w:t>
      </w:r>
      <w:r>
        <w:t xml:space="preserve">between CH</w:t>
      </w:r>
      <w:r>
        <w:rPr>
          <w:vertAlign w:val="subscript"/>
        </w:rPr>
        <w:t xml:space="preserve">4</w:t>
      </w:r>
      <w:r>
        <w:t xml:space="preserve"> </w:t>
      </w:r>
      <w:r>
        <w:t xml:space="preserve">oxidation rate and overall microbiome composition. Given these observations, we</w:t>
      </w:r>
      <w:r>
        <w:t xml:space="preserve"> </w:t>
      </w:r>
      <w:r>
        <w:t xml:space="preserve">conclude that variation in the microbiome contributes to variation in the</w:t>
      </w:r>
      <w:r>
        <w:t xml:space="preserve"> </w:t>
      </w:r>
      <w:r>
        <w:t xml:space="preserve">CH</w:t>
      </w:r>
      <w:r>
        <w:rPr>
          <w:vertAlign w:val="subscript"/>
        </w:rPr>
        <w:t xml:space="preserve">4</w:t>
      </w:r>
      <w:r>
        <w:t xml:space="preserve"> </w:t>
      </w:r>
      <w:r>
        <w:t xml:space="preserve">oxidation rate independent of the environment. This suggests that</w:t>
      </w:r>
      <w:r>
        <w:t xml:space="preserve"> </w:t>
      </w:r>
      <w:r>
        <w:t xml:space="preserve">microbiome manipulations could be an effective approach for altering the rate of</w:t>
      </w:r>
      <w:r>
        <w:t xml:space="preserve"> </w:t>
      </w:r>
      <w:r>
        <w:t xml:space="preserve">CH</w:t>
      </w:r>
      <w:r>
        <w:rPr>
          <w:vertAlign w:val="subscript"/>
        </w:rPr>
        <w:t xml:space="preserve">4</w:t>
      </w:r>
      <w:r>
        <w:t xml:space="preserve"> </w:t>
      </w:r>
      <w:r>
        <w:t xml:space="preserve">oxidation in this soil, and that the artificial selection approach may</w:t>
      </w:r>
      <w:r>
        <w:t xml:space="preserve"> </w:t>
      </w:r>
      <w:r>
        <w:t xml:space="preserve">be useful in determining the potential for microbiome manipulations for other</w:t>
      </w:r>
      <w:r>
        <w:t xml:space="preserve"> </w:t>
      </w:r>
      <w:r>
        <w:t xml:space="preserve">functions in other ecosystems.</w:t>
      </w:r>
    </w:p>
    <w:p>
      <w:pPr>
        <w:pStyle w:val="TextBody"/>
      </w:pPr>
      <w:r>
        <w:t xml:space="preserve">Given that variation in the microbiome is associated with variation in the rate</w:t>
      </w:r>
      <w:r>
        <w:t xml:space="preserve"> </w:t>
      </w:r>
      <w:r>
        <w:t xml:space="preserve">of an ecosystem function in our system, we next wanted to estimate how</w:t>
      </w:r>
      <w:r>
        <w:t xml:space="preserve"> </w:t>
      </w:r>
      <w:r>
        <w:t xml:space="preserve">much variation in ecosystem function is associated with microbiome variation.</w:t>
      </w:r>
      <w:r>
        <w:t xml:space="preserve"> </w:t>
      </w:r>
      <w:r>
        <w:t xml:space="preserve">The relationship between microbiome variation and ecosystem function variation</w:t>
      </w:r>
      <w:r>
        <w:t xml:space="preserve"> </w:t>
      </w:r>
      <w:r>
        <w:t xml:space="preserve">is analogous to the concept of</w:t>
      </w:r>
      <w:r>
        <w:t xml:space="preserve"> </w:t>
      </w:r>
      <w:r>
        <w:t xml:space="preserve">“</w:t>
      </w:r>
      <w:r>
        <w:t xml:space="preserve">heritability</w:t>
      </w:r>
      <w:r>
        <w:t xml:space="preserve">”</w:t>
      </w:r>
      <w:r>
        <w:t xml:space="preserve"> </w:t>
      </w:r>
      <w:r>
        <w:t xml:space="preserve">(Lynch and Walsh, 1998)</w:t>
      </w:r>
      <w:r>
        <w:t xml:space="preserve"> </w:t>
      </w:r>
      <w:r>
        <w:t xml:space="preserve">used by quantitative</w:t>
      </w:r>
      <w:r>
        <w:t xml:space="preserve"> </w:t>
      </w:r>
      <w:r>
        <w:t xml:space="preserve">geneticists, or more precisely the concept of</w:t>
      </w:r>
      <w:r>
        <w:t xml:space="preserve"> </w:t>
      </w:r>
      <w:r>
        <w:t xml:space="preserve">“</w:t>
      </w:r>
      <w:r>
        <w:t xml:space="preserve">microbiability</w:t>
      </w:r>
      <w:r>
        <w:t xml:space="preserve">”</w:t>
      </w:r>
      <w:r>
        <w:t xml:space="preserve"> </w:t>
      </w:r>
      <w:r>
        <w:t xml:space="preserve">(He et al., 2022)</w:t>
      </w:r>
      <w:r>
        <w:t xml:space="preserve"> </w:t>
      </w:r>
      <w:r>
        <w:t xml:space="preserve">proposed</w:t>
      </w:r>
      <w:r>
        <w:t xml:space="preserve"> </w:t>
      </w:r>
      <w:r>
        <w:t xml:space="preserve">by microbiome scientists who study host-associated microbiomes. Although rarely</w:t>
      </w:r>
      <w:r>
        <w:t xml:space="preserve"> </w:t>
      </w:r>
      <w:r>
        <w:t xml:space="preserve">used in the study of environmental microbiomes, this concept could be</w:t>
      </w:r>
      <w:r>
        <w:t xml:space="preserve"> </w:t>
      </w:r>
      <w:r>
        <w:t xml:space="preserve">useful for understanding and manipulating microbially-mediated functions in a</w:t>
      </w:r>
      <w:r>
        <w:t xml:space="preserve"> </w:t>
      </w:r>
      <w:r>
        <w:t xml:space="preserve">variety of ecosystems.</w:t>
      </w:r>
    </w:p>
    <w:p>
      <w:pPr>
        <w:pStyle w:val="TextBody"/>
      </w:pPr>
      <w:r>
        <w:t xml:space="preserve">In our experiment, the microbiability was not statistically</w:t>
      </w:r>
      <w:r>
        <w:t xml:space="preserve"> </w:t>
      </w:r>
      <w:r>
        <w:t xml:space="preserve">significant and, therefore, we were not able to accurately estimate</w:t>
      </w:r>
      <w:r>
        <w:t xml:space="preserve"> </w:t>
      </w:r>
      <w:r>
        <w:t xml:space="preserve">the percentage of variation in CH</w:t>
      </w:r>
      <w:r>
        <w:rPr>
          <w:vertAlign w:val="subscript"/>
        </w:rPr>
        <w:t xml:space="preserve">4</w:t>
      </w:r>
      <w:r>
        <w:t xml:space="preserve"> </w:t>
      </w:r>
      <w:r>
        <w:t xml:space="preserve">oxidation rate explained by the microbiome.</w:t>
      </w:r>
      <w:r>
        <w:t xml:space="preserve"> </w:t>
      </w:r>
      <w:r>
        <w:t xml:space="preserve">However, we did observe a significant divergence between the</w:t>
      </w:r>
      <w:r>
        <w:t xml:space="preserve"> </w:t>
      </w:r>
      <w:r>
        <w:t xml:space="preserve">positive selection and control lines as a result of passaging the microbiome.</w:t>
      </w:r>
      <w:r>
        <w:t xml:space="preserve"> </w:t>
      </w:r>
      <w:r>
        <w:t xml:space="preserve">This suggests that the imposed</w:t>
      </w:r>
      <w:r>
        <w:t xml:space="preserve"> </w:t>
      </w:r>
      <w:r>
        <w:t xml:space="preserve">selection was sufficient to generate</w:t>
      </w:r>
      <w:r>
        <w:t xml:space="preserve"> </w:t>
      </w:r>
      <w:r>
        <w:t xml:space="preserve">variation in soil CH</w:t>
      </w:r>
      <w:r>
        <w:rPr>
          <w:vertAlign w:val="subscript"/>
        </w:rPr>
        <w:t xml:space="preserve">4</w:t>
      </w:r>
      <w:r>
        <w:t xml:space="preserve"> </w:t>
      </w:r>
      <w:r>
        <w:t xml:space="preserve">oxidation rate via the microbiome. Future studies with</w:t>
      </w:r>
      <w:r>
        <w:t xml:space="preserve"> </w:t>
      </w:r>
      <w:r>
        <w:t xml:space="preserve">greater replication could more precisely estimate the microbiability.</w:t>
      </w:r>
      <w:r>
        <w:t xml:space="preserve"> </w:t>
      </w:r>
      <w:r>
        <w:t xml:space="preserve">Even though we attempted to estimate the microbiability in this study,</w:t>
      </w:r>
      <w:r>
        <w:t xml:space="preserve"> </w:t>
      </w:r>
      <w:r>
        <w:t xml:space="preserve">it is likely that the</w:t>
      </w:r>
      <w:r>
        <w:t xml:space="preserve"> </w:t>
      </w:r>
      <w:r>
        <w:t xml:space="preserve">“</w:t>
      </w:r>
      <w:r>
        <w:t xml:space="preserve">environmental microbiability</w:t>
      </w:r>
      <w:r>
        <w:t xml:space="preserve">”</w:t>
      </w:r>
      <w:r>
        <w:t xml:space="preserve"> </w:t>
      </w:r>
      <w:r>
        <w:t xml:space="preserve">will be different for other ecosystem functions</w:t>
      </w:r>
      <w:r>
        <w:t xml:space="preserve"> </w:t>
      </w:r>
      <w:r>
        <w:t xml:space="preserve">in this soil and for CH</w:t>
      </w:r>
      <w:r>
        <w:rPr>
          <w:vertAlign w:val="subscript"/>
        </w:rPr>
        <w:t xml:space="preserve">4</w:t>
      </w:r>
      <w:r>
        <w:t xml:space="preserve"> </w:t>
      </w:r>
      <w:r>
        <w:t xml:space="preserve">oxidation in other soils. However, our experiment</w:t>
      </w:r>
      <w:r>
        <w:t xml:space="preserve"> </w:t>
      </w:r>
      <w:r>
        <w:t xml:space="preserve">provides an example of how</w:t>
      </w:r>
      <w:r>
        <w:t xml:space="preserve"> </w:t>
      </w:r>
      <w:r>
        <w:t xml:space="preserve">this relationship can be measured</w:t>
      </w:r>
    </w:p>
    <w:p>
      <w:pPr>
        <w:pStyle w:val="TextBody"/>
      </w:pPr>
      <w:r>
        <w:t xml:space="preserve">We next wanted to determine which aspects of the</w:t>
      </w:r>
      <w:r>
        <w:t xml:space="preserve"> </w:t>
      </w:r>
      <w:r>
        <w:t xml:space="preserve">microbiome might explain the divergence in CH</w:t>
      </w:r>
      <w:r>
        <w:rPr>
          <w:vertAlign w:val="subscript"/>
        </w:rPr>
        <w:t xml:space="preserve">4</w:t>
      </w:r>
      <w:r>
        <w:t xml:space="preserve"> </w:t>
      </w:r>
      <w:r>
        <w:t xml:space="preserve">oxidation rate between the two treatments.</w:t>
      </w:r>
      <w:r>
        <w:t xml:space="preserve"> </w:t>
      </w:r>
      <w:r>
        <w:t xml:space="preserve">There are three inter-related ways that microbiomes could have responded</w:t>
      </w:r>
      <w:r>
        <w:t xml:space="preserve"> </w:t>
      </w:r>
      <w:r>
        <w:t xml:space="preserve">to selection in this experiment: gain or loss of taxa, changes in the</w:t>
      </w:r>
      <w:r>
        <w:t xml:space="preserve"> </w:t>
      </w:r>
      <w:r>
        <w:t xml:space="preserve">relative abundances of taxa, or changes within the genomes of the constituent</w:t>
      </w:r>
      <w:r>
        <w:t xml:space="preserve"> </w:t>
      </w:r>
      <w:r>
        <w:t xml:space="preserve">taxa. We surveyed microbiome variation via 16s rRNA ribotyping in our</w:t>
      </w:r>
      <w:r>
        <w:t xml:space="preserve"> </w:t>
      </w:r>
      <w:r>
        <w:t xml:space="preserve">experiment, which allowed us to deeply sample taxonomic diversity but did not</w:t>
      </w:r>
      <w:r>
        <w:t xml:space="preserve"> </w:t>
      </w:r>
      <w:r>
        <w:t xml:space="preserve">allow us to directly address whether taxa in this experiment evolved genomic changes</w:t>
      </w:r>
      <w:r>
        <w:t xml:space="preserve"> </w:t>
      </w:r>
      <w:r>
        <w:t xml:space="preserve">as a result of selection. However, if such genomic changes resulted in increased</w:t>
      </w:r>
      <w:r>
        <w:t xml:space="preserve"> </w:t>
      </w:r>
      <w:r>
        <w:t xml:space="preserve">persistence or abundance of the population with these changes, this would be</w:t>
      </w:r>
      <w:r>
        <w:t xml:space="preserve"> </w:t>
      </w:r>
      <w:r>
        <w:t xml:space="preserve">detectable. Therefore, we will focus on the first</w:t>
      </w:r>
      <w:r>
        <w:t xml:space="preserve"> </w:t>
      </w:r>
      <w:r>
        <w:t xml:space="preserve">two possibilities.</w:t>
      </w:r>
    </w:p>
    <w:p>
      <w:pPr>
        <w:pStyle w:val="TextBody"/>
      </w:pPr>
      <w:r>
        <w:t xml:space="preserve">Richness at the ASV level did not vary between the two treatments and there</w:t>
      </w:r>
      <w:r>
        <w:t xml:space="preserve"> </w:t>
      </w:r>
      <w:r>
        <w:t xml:space="preserve">were relatively few taxa gained or lost in the selection treatment and</w:t>
      </w:r>
      <w:r>
        <w:t xml:space="preserve"> </w:t>
      </w:r>
      <w:r>
        <w:t xml:space="preserve">none of these were prevalent across the 12 jars in passage 5. Therefore, the</w:t>
      </w:r>
      <w:r>
        <w:t xml:space="preserve"> </w:t>
      </w:r>
      <w:r>
        <w:t xml:space="preserve">gain or loss of species is unlikely to explain the increase in CH</w:t>
      </w:r>
      <w:r>
        <w:rPr>
          <w:vertAlign w:val="subscript"/>
        </w:rPr>
        <w:t xml:space="preserve">4</w:t>
      </w:r>
      <w:r>
        <w:t xml:space="preserve"> </w:t>
      </w:r>
      <w:r>
        <w:t xml:space="preserve">oxidation rate. However, we found that Bray-Curtis dissimilarity was greater</w:t>
      </w:r>
      <w:r>
        <w:t xml:space="preserve"> </w:t>
      </w:r>
      <w:r>
        <w:t xml:space="preserve">between the two treatments in Passage 5 than within each treatment and was</w:t>
      </w:r>
      <w:r>
        <w:t xml:space="preserve"> </w:t>
      </w:r>
      <w:r>
        <w:t xml:space="preserve">correlated with CH</w:t>
      </w:r>
      <w:r>
        <w:rPr>
          <w:vertAlign w:val="subscript"/>
        </w:rPr>
        <w:t xml:space="preserve">4</w:t>
      </w:r>
      <w:r>
        <w:t xml:space="preserve"> </w:t>
      </w:r>
      <w:r>
        <w:t xml:space="preserve">oxidation rate, which suggests that changes in the</w:t>
      </w:r>
      <w:r>
        <w:t xml:space="preserve"> </w:t>
      </w:r>
      <w:r>
        <w:t xml:space="preserve">relative abundance of taxa could explain the response to selection.</w:t>
      </w:r>
    </w:p>
    <w:p>
      <w:pPr>
        <w:pStyle w:val="TextBody"/>
      </w:pPr>
      <w:r>
        <w:t xml:space="preserve">Even though we observed an increase in CH</w:t>
      </w:r>
      <w:r>
        <w:rPr>
          <w:vertAlign w:val="subscript"/>
        </w:rPr>
        <w:t xml:space="preserve">4</w:t>
      </w:r>
      <w:r>
        <w:t xml:space="preserve"> </w:t>
      </w:r>
      <w:r>
        <w:t xml:space="preserve">oxidation rate in the selection</w:t>
      </w:r>
      <w:r>
        <w:t xml:space="preserve"> </w:t>
      </w:r>
      <w:r>
        <w:t xml:space="preserve">treatment and a difference in composition between the two treatments, we did</w:t>
      </w:r>
      <w:r>
        <w:t xml:space="preserve"> </w:t>
      </w:r>
      <w:r>
        <w:t xml:space="preserve">not observe an increase in the relative abundance of known methanotrophs. This was</w:t>
      </w:r>
      <w:r>
        <w:t xml:space="preserve"> </w:t>
      </w:r>
      <w:r>
        <w:t xml:space="preserve">surprising given that CH</w:t>
      </w:r>
      <w:r>
        <w:rPr>
          <w:vertAlign w:val="subscript"/>
        </w:rPr>
        <w:t xml:space="preserve">4</w:t>
      </w:r>
      <w:r>
        <w:t xml:space="preserve"> </w:t>
      </w:r>
      <w:r>
        <w:t xml:space="preserve">consumption is not a common trait among microbes</w:t>
      </w:r>
      <w:r>
        <w:t xml:space="preserve"> </w:t>
      </w:r>
      <w:r>
        <w:t xml:space="preserve">and that it is often assumed that the rate of an ecosystem function is limited</w:t>
      </w:r>
      <w:r>
        <w:t xml:space="preserve"> </w:t>
      </w:r>
      <w:r>
        <w:t xml:space="preserve">by the final enzymatic step in the underlying metabolic pathway</w:t>
      </w:r>
      <w:r>
        <w:t xml:space="preserve"> </w:t>
      </w:r>
      <w:r>
        <w:t xml:space="preserve">(Rocca et al., 2015)</w:t>
      </w:r>
      <w:r>
        <w:t xml:space="preserve">. In certain</w:t>
      </w:r>
      <w:r>
        <w:t xml:space="preserve"> </w:t>
      </w:r>
      <w:r>
        <w:t xml:space="preserve">ecosystems, CH</w:t>
      </w:r>
      <w:r>
        <w:rPr>
          <w:vertAlign w:val="subscript"/>
        </w:rPr>
        <w:t xml:space="preserve">4</w:t>
      </w:r>
      <w:r>
        <w:t xml:space="preserve"> </w:t>
      </w:r>
      <w:r>
        <w:t xml:space="preserve">production and consumption are correlated with the</w:t>
      </w:r>
      <w:r>
        <w:t xml:space="preserve"> </w:t>
      </w:r>
      <w:r>
        <w:t xml:space="preserve">abundance of methanogens and methanotrophs as estimated from marker genes</w:t>
      </w:r>
      <w:r>
        <w:t xml:space="preserve"> </w:t>
      </w:r>
      <w:r>
        <w:t xml:space="preserve">(Meyer et al., 2020b, 2020a)</w:t>
      </w:r>
      <w:r>
        <w:t xml:space="preserve">. However, our results suggest that in this system</w:t>
      </w:r>
      <w:r>
        <w:t xml:space="preserve"> </w:t>
      </w:r>
      <w:r>
        <w:t xml:space="preserve">ecosystem-scale CH</w:t>
      </w:r>
      <w:r>
        <w:rPr>
          <w:vertAlign w:val="subscript"/>
        </w:rPr>
        <w:t xml:space="preserve">4</w:t>
      </w:r>
      <w:r>
        <w:t xml:space="preserve"> </w:t>
      </w:r>
      <w:r>
        <w:t xml:space="preserve">oxidation rates can be altered by non-methanotrophs,</w:t>
      </w:r>
      <w:r>
        <w:t xml:space="preserve"> </w:t>
      </w:r>
      <w:r>
        <w:t xml:space="preserve">perhaps through ecological interactions with methanotrophic species, or by</w:t>
      </w:r>
      <w:r>
        <w:t xml:space="preserve"> </w:t>
      </w:r>
      <w:r>
        <w:t xml:space="preserve">unknown methanotrophs. This</w:t>
      </w:r>
      <w:r>
        <w:t xml:space="preserve"> </w:t>
      </w:r>
      <w:r>
        <w:t xml:space="preserve">suggests that simple assumptions about how microbes contribute to rate variation</w:t>
      </w:r>
      <w:r>
        <w:t xml:space="preserve"> </w:t>
      </w:r>
      <w:r>
        <w:t xml:space="preserve">in ecosystem function may not apply universally, and it demonstrates the</w:t>
      </w:r>
      <w:r>
        <w:t xml:space="preserve"> </w:t>
      </w:r>
      <w:r>
        <w:t xml:space="preserve">importance of using biologically</w:t>
      </w:r>
      <w:r>
        <w:t xml:space="preserve"> </w:t>
      </w:r>
      <w:r>
        <w:t xml:space="preserve">“</w:t>
      </w:r>
      <w:r>
        <w:t xml:space="preserve">agnostic</w:t>
      </w:r>
      <w:r>
        <w:t xml:space="preserve">”</w:t>
      </w:r>
      <w:r>
        <w:t xml:space="preserve"> </w:t>
      </w:r>
      <w:r>
        <w:t xml:space="preserve">approaches (that make few starting</w:t>
      </w:r>
      <w:r>
        <w:t xml:space="preserve"> </w:t>
      </w:r>
      <w:r>
        <w:t xml:space="preserve">assumptions) to linking microbial taxa to ecosystem functions</w:t>
      </w:r>
      <w:r>
        <w:t xml:space="preserve"> </w:t>
      </w:r>
      <w:r>
        <w:t xml:space="preserve">(Morris et al., 2020)</w:t>
      </w:r>
      <w:r>
        <w:t xml:space="preserve">.</w:t>
      </w:r>
      <w:r>
        <w:t xml:space="preserve"> </w:t>
      </w:r>
      <w:r>
        <w:t xml:space="preserve">Artificial ecosystem selection is an important example of such an approach.</w:t>
      </w:r>
    </w:p>
    <w:bookmarkEnd w:id="37"/>
    <w:bookmarkStart w:id="38" w:name="conclusions"/>
    <w:p>
      <w:pPr>
        <w:pStyle w:val="Heading1"/>
      </w:pPr>
      <w:r>
        <w:rPr>
          <w:rStyle w:val="SectionNumber"/>
        </w:rPr>
        <w:t xml:space="preserve">6</w:t>
      </w:r>
      <w:r>
        <w:tab/>
      </w:r>
      <w:r>
        <w:t xml:space="preserve">Conclusions</w:t>
      </w:r>
    </w:p>
    <w:p>
      <w:pPr>
        <w:pStyle w:val="FirstParagraph"/>
      </w:pPr>
      <w:r>
        <w:t xml:space="preserve">There is increasing interest in using artificial selection for understanding and</w:t>
      </w:r>
      <w:r>
        <w:t xml:space="preserve"> </w:t>
      </w:r>
      <w:r>
        <w:t xml:space="preserve">manipulating the microbiomes associated with plants and animals (a.k.a.,</w:t>
      </w:r>
      <w:r>
        <w:t xml:space="preserve"> </w:t>
      </w:r>
      <w:r>
        <w:t xml:space="preserve">“</w:t>
      </w:r>
      <w:r>
        <w:t xml:space="preserve">microbiome</w:t>
      </w:r>
      <w:r>
        <w:t xml:space="preserve"> </w:t>
      </w:r>
      <w:r>
        <w:t xml:space="preserve">breeding</w:t>
      </w:r>
      <w:r>
        <w:t xml:space="preserve">”</w:t>
      </w:r>
      <w:r>
        <w:t xml:space="preserve">;</w:t>
      </w:r>
      <w:r>
        <w:t xml:space="preserve"> </w:t>
      </w:r>
      <w:r>
        <w:t xml:space="preserve">Mueller and Linksvayer (2022)</w:t>
      </w:r>
      <w:r>
        <w:t xml:space="preserve">). Our study demonstrates that artificial ecosystem</w:t>
      </w:r>
      <w:r>
        <w:t xml:space="preserve"> </w:t>
      </w:r>
      <w:r>
        <w:t xml:space="preserve">selection can also be an important tool for exploring the relationship between</w:t>
      </w:r>
      <w:r>
        <w:t xml:space="preserve"> </w:t>
      </w:r>
      <w:r>
        <w:t xml:space="preserve">microbiome composition and ecosystem function in non-host systems. This</w:t>
      </w:r>
      <w:r>
        <w:t xml:space="preserve"> </w:t>
      </w:r>
      <w:r>
        <w:t xml:space="preserve">approach can provide unique information about the independent contribution of</w:t>
      </w:r>
      <w:r>
        <w:t xml:space="preserve"> </w:t>
      </w:r>
      <w:r>
        <w:t xml:space="preserve">microbiomes to ecosystem functions. For example, we demonstrated that passaging</w:t>
      </w:r>
      <w:r>
        <w:t xml:space="preserve"> </w:t>
      </w:r>
      <w:r>
        <w:t xml:space="preserve">of soil microbiomes can produce a response to selection on soil CH</w:t>
      </w:r>
      <w:r>
        <w:rPr>
          <w:vertAlign w:val="subscript"/>
        </w:rPr>
        <w:t xml:space="preserve">4</w:t>
      </w:r>
      <w:r>
        <w:t xml:space="preserve"> </w:t>
      </w:r>
      <w:r>
        <w:t xml:space="preserve">oxidation</w:t>
      </w:r>
      <w:r>
        <w:t xml:space="preserve"> </w:t>
      </w:r>
      <w:r>
        <w:t xml:space="preserve">rate. This demonstrates that microbiome variation can contribute to variation in</w:t>
      </w:r>
      <w:r>
        <w:t xml:space="preserve"> </w:t>
      </w:r>
      <w:r>
        <w:t xml:space="preserve">ecosystem function independent of the environment.</w:t>
      </w:r>
      <w:r>
        <w:t xml:space="preserve"> </w:t>
      </w:r>
      <w:r>
        <w:t xml:space="preserve">Such information is crucial if we are to</w:t>
      </w:r>
      <w:r>
        <w:t xml:space="preserve"> </w:t>
      </w:r>
      <w:r>
        <w:t xml:space="preserve">successfully manipulate environmental microbiomes to alter ecosystem functions,</w:t>
      </w:r>
      <w:r>
        <w:t xml:space="preserve"> </w:t>
      </w:r>
      <w:r>
        <w:t xml:space="preserve">whether to improve crop productivity</w:t>
      </w:r>
      <w:r>
        <w:t xml:space="preserve"> </w:t>
      </w:r>
      <w:r>
        <w:t xml:space="preserve">(Chaparro et al., 2012)</w:t>
      </w:r>
      <w:r>
        <w:t xml:space="preserve"> </w:t>
      </w:r>
      <w:r>
        <w:t xml:space="preserve">or</w:t>
      </w:r>
      <w:r>
        <w:t xml:space="preserve"> </w:t>
      </w:r>
      <w:r>
        <w:t xml:space="preserve">ameliorate the impacts of environmental change</w:t>
      </w:r>
      <w:r>
        <w:t xml:space="preserve"> </w:t>
      </w:r>
      <w:r>
        <w:t xml:space="preserve">(Jansson and Hofmockel, 2020)</w:t>
      </w:r>
      <w:r>
        <w:t xml:space="preserve">.</w:t>
      </w:r>
    </w:p>
    <w:bookmarkEnd w:id="38"/>
    <w:bookmarkStart w:id="39" w:name="acknowledgments"/>
    <w:p>
      <w:pPr>
        <w:pStyle w:val="Heading1"/>
      </w:pPr>
      <w:r>
        <w:t xml:space="preserve">Acknowledgments</w:t>
      </w:r>
    </w:p>
    <w:p>
      <w:pPr>
        <w:pStyle w:val="FirstParagraph"/>
      </w:pPr>
      <w:r>
        <w:t xml:space="preserve">This project was supported by the National Science Foundation Graduate Research</w:t>
      </w:r>
      <w:r>
        <w:t xml:space="preserve"> </w:t>
      </w:r>
      <w:r>
        <w:t xml:space="preserve">Fellowship Program (grant no. DGE 1255832) and the ARCS Foundation Florence and</w:t>
      </w:r>
      <w:r>
        <w:t xml:space="preserve"> </w:t>
      </w:r>
      <w:r>
        <w:t xml:space="preserve">Mike Nudelman Scholarship. Figure 1 was created with BioRender.com.</w:t>
      </w:r>
    </w:p>
    <w:bookmarkEnd w:id="39"/>
    <w:bookmarkStart w:id="40" w:name="competing-interests"/>
    <w:p>
      <w:pPr>
        <w:pStyle w:val="Heading1"/>
      </w:pPr>
      <w:r>
        <w:t xml:space="preserve">Competing interests</w:t>
      </w:r>
    </w:p>
    <w:p>
      <w:pPr>
        <w:pStyle w:val="FirstParagraph"/>
      </w:pPr>
      <w:r>
        <w:t xml:space="preserve">We declare we have no competing interests.</w:t>
      </w:r>
    </w:p>
    <w:bookmarkEnd w:id="40"/>
    <w:bookmarkStart w:id="43" w:name="data-availability-statement"/>
    <w:p>
      <w:pPr>
        <w:pStyle w:val="Heading1"/>
      </w:pPr>
      <w:r>
        <w:t xml:space="preserve">Data availability statement</w:t>
      </w:r>
    </w:p>
    <w:p>
      <w:pPr>
        <w:pStyle w:val="FirstParagraph"/>
      </w:pPr>
      <w:r>
        <w:t xml:space="preserve">The 16S rRNA sequencing data generated during the current study are available</w:t>
      </w:r>
      <w:r>
        <w:t xml:space="preserve"> </w:t>
      </w:r>
      <w:r>
        <w:t xml:space="preserve">in the NCBI Sequence Read Archive (SRA) under BioProject accession number</w:t>
      </w:r>
      <w:r>
        <w:t xml:space="preserve"> </w:t>
      </w:r>
      <w:r>
        <w:t xml:space="preserve">PRJNA832314,</w:t>
      </w:r>
      <w:r>
        <w:t xml:space="preserve"> </w:t>
      </w:r>
      <w:hyperlink r:id="rId41">
        <w:r>
          <w:rPr>
            <w:rStyle w:val="InternetLink"/>
          </w:rPr>
          <w:t xml:space="preserve">https://www.ncbi.nlm.nih.gov/sra/PRJNA832314</w:t>
        </w:r>
      </w:hyperlink>
      <w:r>
        <w:t xml:space="preserve">. The metadata</w:t>
      </w:r>
      <w:r>
        <w:t xml:space="preserve"> </w:t>
      </w:r>
      <w:r>
        <w:t xml:space="preserve">generated during the current study as well as the scripts to recreate the</w:t>
      </w:r>
      <w:r>
        <w:t xml:space="preserve"> </w:t>
      </w:r>
      <w:r>
        <w:t xml:space="preserve">analysis are available on Github,</w:t>
      </w:r>
      <w:r>
        <w:t xml:space="preserve"> </w:t>
      </w:r>
      <w:hyperlink r:id="rId42">
        <w:r>
          <w:rPr>
            <w:rStyle w:val="InternetLink"/>
          </w:rPr>
          <w:t xml:space="preserve">https://github.com/amorris28/artificial_ecosystem_selection</w:t>
        </w:r>
      </w:hyperlink>
      <w:r>
        <w:t xml:space="preserve">.</w:t>
      </w:r>
    </w:p>
    <w:bookmarkEnd w:id="43"/>
    <w:bookmarkStart w:id="147" w:name="references"/>
    <w:p>
      <w:pPr>
        <w:pStyle w:val="Heading1"/>
      </w:pPr>
      <w:r>
        <w:t xml:space="preserve">References</w:t>
      </w:r>
    </w:p>
    <w:bookmarkStart w:id="146" w:name="refs"/>
    <w:bookmarkStart w:id="45" w:name="ref-balser2005"/>
    <w:p>
      <w:pPr>
        <w:pStyle w:val="Bibliography"/>
      </w:pPr>
      <w:r>
        <w:t xml:space="preserve">Balser, T.C., Firestone, M.K., 2005. Linking microbial community composition and soil processes in a</w:t>
      </w:r>
      <w:r>
        <w:t xml:space="preserve"> </w:t>
      </w:r>
      <w:r>
        <w:t xml:space="preserve">California</w:t>
      </w:r>
      <w:r>
        <w:t xml:space="preserve"> </w:t>
      </w:r>
      <w:r>
        <w:t xml:space="preserve">annual grassland and mixed-conifer forest. Biogeochemistry 73, 395–415. doi:</w:t>
      </w:r>
      <w:hyperlink r:id="rId44">
        <w:r>
          <w:rPr>
            <w:rStyle w:val="InternetLink"/>
          </w:rPr>
          <w:t xml:space="preserve">10.1007/s10533-004-0372-y</w:t>
        </w:r>
      </w:hyperlink>
    </w:p>
    <w:bookmarkEnd w:id="45"/>
    <w:bookmarkStart w:id="47" w:name="ref-benjamini1995"/>
    <w:p>
      <w:pPr>
        <w:pStyle w:val="Bibliography"/>
      </w:pPr>
      <w:r>
        <w:t xml:space="preserve">Benjamini, Y., Hochberg, Y., 1995.</w:t>
      </w:r>
      <w:r>
        <w:t xml:space="preserve"> </w:t>
      </w:r>
      <w:hyperlink r:id="rId46">
        <w:r>
          <w:rPr>
            <w:rStyle w:val="InternetLink"/>
          </w:rPr>
          <w:t xml:space="preserve">Controlling the</w:t>
        </w:r>
        <w:r>
          <w:rPr>
            <w:rStyle w:val="InternetLink"/>
          </w:rPr>
          <w:t xml:space="preserve"> </w:t>
        </w:r>
        <w:r>
          <w:rPr>
            <w:rStyle w:val="InternetLink"/>
          </w:rPr>
          <w:t xml:space="preserve">False Discovery Rate</w:t>
        </w:r>
        <w:r>
          <w:rPr>
            <w:rStyle w:val="InternetLink"/>
          </w:rPr>
          <w:t xml:space="preserve">:</w:t>
        </w:r>
        <w:r>
          <w:rPr>
            <w:rStyle w:val="InternetLink"/>
          </w:rPr>
          <w:t xml:space="preserve"> </w:t>
        </w:r>
        <w:r>
          <w:rPr>
            <w:rStyle w:val="InternetLink"/>
          </w:rPr>
          <w:t xml:space="preserve">A Practical</w:t>
        </w:r>
        <w:r>
          <w:rPr>
            <w:rStyle w:val="InternetLink"/>
          </w:rPr>
          <w:t xml:space="preserve"> </w:t>
        </w:r>
        <w:r>
          <w:rPr>
            <w:rStyle w:val="InternetLink"/>
          </w:rPr>
          <w:t xml:space="preserve">and</w:t>
        </w:r>
        <w:r>
          <w:rPr>
            <w:rStyle w:val="InternetLink"/>
          </w:rPr>
          <w:t xml:space="preserve"> </w:t>
        </w:r>
        <w:r>
          <w:rPr>
            <w:rStyle w:val="InternetLink"/>
          </w:rPr>
          <w:t xml:space="preserve">Powerful Approach</w:t>
        </w:r>
        <w:r>
          <w:rPr>
            <w:rStyle w:val="InternetLink"/>
          </w:rPr>
          <w:t xml:space="preserve"> </w:t>
        </w:r>
        <w:r>
          <w:rPr>
            <w:rStyle w:val="InternetLink"/>
          </w:rPr>
          <w:t xml:space="preserve">to</w:t>
        </w:r>
        <w:r>
          <w:rPr>
            <w:rStyle w:val="InternetLink"/>
          </w:rPr>
          <w:t xml:space="preserve"> </w:t>
        </w:r>
        <w:r>
          <w:rPr>
            <w:rStyle w:val="InternetLink"/>
          </w:rPr>
          <w:t xml:space="preserve">Multiple Testing</w:t>
        </w:r>
      </w:hyperlink>
      <w:r>
        <w:t xml:space="preserve">. Journal of the Royal Statistical Society. Series B (Methodological) 57, 289–300.</w:t>
      </w:r>
    </w:p>
    <w:bookmarkEnd w:id="47"/>
    <w:bookmarkStart w:id="49" w:name="ref-blouin2015"/>
    <w:p>
      <w:pPr>
        <w:pStyle w:val="Bibliography"/>
      </w:pPr>
      <w:r>
        <w:t xml:space="preserve">Blouin, M., Karimi, B., Mathieu, J., Lerch, T.Z., 2015. Levels and limits in artificial selection of communities. Ecology Letters 18, 1040–1048. doi:</w:t>
      </w:r>
      <w:hyperlink r:id="rId48">
        <w:r>
          <w:rPr>
            <w:rStyle w:val="InternetLink"/>
          </w:rPr>
          <w:t xml:space="preserve">10.1111/ele.12486</w:t>
        </w:r>
      </w:hyperlink>
    </w:p>
    <w:bookmarkEnd w:id="49"/>
    <w:bookmarkStart w:id="51" w:name="ref-bray1957"/>
    <w:p>
      <w:pPr>
        <w:pStyle w:val="Bibliography"/>
      </w:pPr>
      <w:r>
        <w:t xml:space="preserve">Bray, J.R., Curtis, J.T., 1957. An</w:t>
      </w:r>
      <w:r>
        <w:t xml:space="preserve"> </w:t>
      </w:r>
      <w:r>
        <w:t xml:space="preserve">Ordination</w:t>
      </w:r>
      <w:r>
        <w:t xml:space="preserve"> </w:t>
      </w:r>
      <w:r>
        <w:t xml:space="preserve">of the</w:t>
      </w:r>
      <w:r>
        <w:t xml:space="preserve"> </w:t>
      </w:r>
      <w:r>
        <w:t xml:space="preserve">Upland Forest Communities</w:t>
      </w:r>
      <w:r>
        <w:t xml:space="preserve"> </w:t>
      </w:r>
      <w:r>
        <w:t xml:space="preserve">of</w:t>
      </w:r>
      <w:r>
        <w:t xml:space="preserve"> </w:t>
      </w:r>
      <w:r>
        <w:t xml:space="preserve">Southern Wisconsin</w:t>
      </w:r>
      <w:r>
        <w:t xml:space="preserve">. Ecological Monographs 27, 325–349. doi:</w:t>
      </w:r>
      <w:hyperlink r:id="rId50">
        <w:r>
          <w:rPr>
            <w:rStyle w:val="InternetLink"/>
          </w:rPr>
          <w:t xml:space="preserve">10.2307/1942268</w:t>
        </w:r>
      </w:hyperlink>
    </w:p>
    <w:bookmarkEnd w:id="51"/>
    <w:bookmarkStart w:id="53" w:name="ref-callahan2016"/>
    <w:p>
      <w:pPr>
        <w:pStyle w:val="Bibliography"/>
      </w:pPr>
      <w:r>
        <w:t xml:space="preserve">Callahan, B.J., McMurdie, P.J., Rosen, M.J., Han, A.W., Johnson, A.J.A., Holmes, S.P., 2016.</w:t>
      </w:r>
      <w:r>
        <w:t xml:space="preserve"> </w:t>
      </w:r>
      <w:r>
        <w:t xml:space="preserve">DADA2</w:t>
      </w:r>
      <w:r>
        <w:t xml:space="preserve">:</w:t>
      </w:r>
      <w:r>
        <w:t xml:space="preserve"> </w:t>
      </w:r>
      <w:r>
        <w:t xml:space="preserve">High-resolution</w:t>
      </w:r>
      <w:r>
        <w:t xml:space="preserve"> </w:t>
      </w:r>
      <w:r>
        <w:t xml:space="preserve">sample inference from</w:t>
      </w:r>
      <w:r>
        <w:t xml:space="preserve"> </w:t>
      </w:r>
      <w:r>
        <w:t xml:space="preserve">Illumina</w:t>
      </w:r>
      <w:r>
        <w:t xml:space="preserve"> </w:t>
      </w:r>
      <w:r>
        <w:t xml:space="preserve">amplicon data. Nature Methods 13, 581–583. doi:</w:t>
      </w:r>
      <w:hyperlink r:id="rId52">
        <w:r>
          <w:rPr>
            <w:rStyle w:val="InternetLink"/>
          </w:rPr>
          <w:t xml:space="preserve">10.1038/nmeth.3869</w:t>
        </w:r>
      </w:hyperlink>
    </w:p>
    <w:bookmarkEnd w:id="53"/>
    <w:bookmarkStart w:id="55" w:name="ref-caporaso2011"/>
    <w:p>
      <w:pPr>
        <w:pStyle w:val="Bibliography"/>
      </w:pPr>
      <w:r>
        <w:t xml:space="preserve">Caporaso, J.G., Lauber, C.L., Walters, W.A., Berg-Lyons, D., Lozupone, C.A., Turnbaugh, P.J., Fierer, N., Knight, R., 2011. Global patterns of</w:t>
      </w:r>
      <w:r>
        <w:t xml:space="preserve"> </w:t>
      </w:r>
      <w:r>
        <w:t xml:space="preserve">16S rRNA</w:t>
      </w:r>
      <w:r>
        <w:t xml:space="preserve"> </w:t>
      </w:r>
      <w:r>
        <w:t xml:space="preserve">diversity at a depth of millions of sequences per sample. Proceedings of the National Academy of Sciences 108, 4516–4522. doi:</w:t>
      </w:r>
      <w:hyperlink r:id="rId54">
        <w:r>
          <w:rPr>
            <w:rStyle w:val="InternetLink"/>
          </w:rPr>
          <w:t xml:space="preserve">10.1073/pnas.1000080107</w:t>
        </w:r>
      </w:hyperlink>
    </w:p>
    <w:bookmarkEnd w:id="55"/>
    <w:bookmarkStart w:id="57" w:name="ref-cavigelli2000"/>
    <w:p>
      <w:pPr>
        <w:pStyle w:val="Bibliography"/>
      </w:pPr>
      <w:r>
        <w:t xml:space="preserve">Cavigelli, M.A., Robertson, G.P., 2000. The</w:t>
      </w:r>
      <w:r>
        <w:t xml:space="preserve"> </w:t>
      </w:r>
      <w:r>
        <w:t xml:space="preserve">Functional Significance</w:t>
      </w:r>
      <w:r>
        <w:t xml:space="preserve"> </w:t>
      </w:r>
      <w:r>
        <w:t xml:space="preserve">of</w:t>
      </w:r>
      <w:r>
        <w:t xml:space="preserve"> </w:t>
      </w:r>
      <w:r>
        <w:t xml:space="preserve">Denitrifier Community Composition</w:t>
      </w:r>
      <w:r>
        <w:t xml:space="preserve"> </w:t>
      </w:r>
      <w:r>
        <w:t xml:space="preserve">in a</w:t>
      </w:r>
      <w:r>
        <w:t xml:space="preserve"> </w:t>
      </w:r>
      <w:r>
        <w:t xml:space="preserve">Terrestrial Ecosystem</w:t>
      </w:r>
      <w:r>
        <w:t xml:space="preserve">. Ecology 81, 1402–1414. doi:</w:t>
      </w:r>
      <w:hyperlink r:id="rId56">
        <w:r>
          <w:rPr>
            <w:rStyle w:val="InternetLink"/>
          </w:rPr>
          <w:t xml:space="preserve">10.1890/0012-9658(2000)081[1402:TFSODC]2.0.CO;2</w:t>
        </w:r>
      </w:hyperlink>
    </w:p>
    <w:bookmarkEnd w:id="57"/>
    <w:bookmarkStart w:id="59" w:name="ref-chaparro2012"/>
    <w:p>
      <w:pPr>
        <w:pStyle w:val="Bibliography"/>
      </w:pPr>
      <w:r>
        <w:t xml:space="preserve">Chaparro, J.M., Sheflin, A.M., Manter, D.K., Vivanco, J.M., 2012. Manipulating the soil microbiome to increase soil health and plant fertility. Biology and Fertility of Soils 48, 489–499. doi:</w:t>
      </w:r>
      <w:hyperlink r:id="rId58">
        <w:r>
          <w:rPr>
            <w:rStyle w:val="InternetLink"/>
          </w:rPr>
          <w:t xml:space="preserve">10.1007/s00374-012-0691-4</w:t>
        </w:r>
      </w:hyperlink>
    </w:p>
    <w:bookmarkEnd w:id="59"/>
    <w:bookmarkStart w:id="61" w:name="ref-conrad1996"/>
    <w:p>
      <w:pPr>
        <w:pStyle w:val="Bibliography"/>
      </w:pPr>
      <w:r>
        <w:t xml:space="preserve">Conrad, R., 1996. Soil microorganisms as controllers of atmospheric trace gases (</w:t>
      </w:r>
      <w:r>
        <w:t xml:space="preserve">H2</w:t>
      </w:r>
      <w:r>
        <w:t xml:space="preserve">,</w:t>
      </w:r>
      <w:r>
        <w:t xml:space="preserve"> </w:t>
      </w:r>
      <w:r>
        <w:t xml:space="preserve">CO</w:t>
      </w:r>
      <w:r>
        <w:t xml:space="preserve">,</w:t>
      </w:r>
      <w:r>
        <w:t xml:space="preserve"> </w:t>
      </w:r>
      <w:r>
        <w:t xml:space="preserve">CH4</w:t>
      </w:r>
      <w:r>
        <w:t xml:space="preserve">,</w:t>
      </w:r>
      <w:r>
        <w:t xml:space="preserve"> </w:t>
      </w:r>
      <w:r>
        <w:t xml:space="preserve">OCS</w:t>
      </w:r>
      <w:r>
        <w:t xml:space="preserve">,</w:t>
      </w:r>
      <w:r>
        <w:t xml:space="preserve"> </w:t>
      </w:r>
      <w:r>
        <w:t xml:space="preserve">N2O</w:t>
      </w:r>
      <w:r>
        <w:t xml:space="preserve">, and</w:t>
      </w:r>
      <w:r>
        <w:t xml:space="preserve"> </w:t>
      </w:r>
      <w:r>
        <w:t xml:space="preserve">NO</w:t>
      </w:r>
      <w:r>
        <w:t xml:space="preserve">). Microbiological Reviews 60, 609–640. doi:</w:t>
      </w:r>
      <w:hyperlink r:id="rId60">
        <w:r>
          <w:rPr>
            <w:rStyle w:val="InternetLink"/>
          </w:rPr>
          <w:t xml:space="preserve">10.1128/mr.60.4.609-640.1996</w:t>
        </w:r>
      </w:hyperlink>
    </w:p>
    <w:bookmarkEnd w:id="61"/>
    <w:bookmarkStart w:id="63" w:name="ref-crowther2019"/>
    <w:p>
      <w:pPr>
        <w:pStyle w:val="Bibliography"/>
      </w:pPr>
      <w:r>
        <w:t xml:space="preserve">Crowther, T.W., Hoogen, J. van den, Wan, J., Mayes, M.A., Keiser, A.D., Mo, L., Averill, C., Maynard, D.S., 2019. The global soil community and its influence on biogeochemistry. Science 365. doi:</w:t>
      </w:r>
      <w:hyperlink r:id="rId62">
        <w:r>
          <w:rPr>
            <w:rStyle w:val="InternetLink"/>
          </w:rPr>
          <w:t xml:space="preserve">10.1126/science.aav0550</w:t>
        </w:r>
      </w:hyperlink>
    </w:p>
    <w:bookmarkEnd w:id="63"/>
    <w:bookmarkStart w:id="65" w:name="ref-davis2018"/>
    <w:p>
      <w:pPr>
        <w:pStyle w:val="Bibliography"/>
      </w:pPr>
      <w:r>
        <w:t xml:space="preserve">Davis, N.M., Proctor, D.M., Holmes, S.P., Relman, D.A., Callahan, B.J., 2018. Simple statistical identification and removal of contaminant sequences in marker-gene and metagenomics data. Microbiome 6, 1–14. doi:</w:t>
      </w:r>
      <w:hyperlink r:id="rId64">
        <w:r>
          <w:rPr>
            <w:rStyle w:val="InternetLink"/>
          </w:rPr>
          <w:t xml:space="preserve">10.1186/s40168-018-0605-2</w:t>
        </w:r>
      </w:hyperlink>
    </w:p>
    <w:bookmarkEnd w:id="65"/>
    <w:bookmarkStart w:id="67" w:name="ref-dedysh2016"/>
    <w:p>
      <w:pPr>
        <w:pStyle w:val="Bibliography"/>
      </w:pPr>
      <w:r>
        <w:t xml:space="preserve">Dedysh, S.N., Haupt, E.S., Dunfield, P.F.Y.2016., 2016. Emended description of the family</w:t>
      </w:r>
      <w:r>
        <w:t xml:space="preserve"> </w:t>
      </w:r>
      <w:r>
        <w:t xml:space="preserve">Beijerinckiaceae</w:t>
      </w:r>
      <w:r>
        <w:t xml:space="preserve"> </w:t>
      </w:r>
      <w:r>
        <w:t xml:space="preserve">and transfer of the genera</w:t>
      </w:r>
      <w:r>
        <w:t xml:space="preserve"> </w:t>
      </w:r>
      <w:r>
        <w:t xml:space="preserve">Chelatococcus</w:t>
      </w:r>
      <w:r>
        <w:t xml:space="preserve"> </w:t>
      </w:r>
      <w:r>
        <w:t xml:space="preserve">and</w:t>
      </w:r>
      <w:r>
        <w:t xml:space="preserve"> </w:t>
      </w:r>
      <w:r>
        <w:t xml:space="preserve">Camelimonas</w:t>
      </w:r>
      <w:r>
        <w:t xml:space="preserve"> </w:t>
      </w:r>
      <w:r>
        <w:t xml:space="preserve">to the family</w:t>
      </w:r>
      <w:r>
        <w:t xml:space="preserve"> </w:t>
      </w:r>
      <w:r>
        <w:t xml:space="preserve">Chelatococcaceae</w:t>
      </w:r>
      <w:r>
        <w:t xml:space="preserve"> </w:t>
      </w:r>
      <w:r>
        <w:t xml:space="preserve">fam. nov. International Journal of Systematic and Evolutionary Microbiology 66, 3177–3182. doi:</w:t>
      </w:r>
      <w:hyperlink r:id="rId66">
        <w:r>
          <w:rPr>
            <w:rStyle w:val="InternetLink"/>
          </w:rPr>
          <w:t xml:space="preserve">10.1099/ijsem.0.001167</w:t>
        </w:r>
      </w:hyperlink>
    </w:p>
    <w:bookmarkEnd w:id="67"/>
    <w:bookmarkStart w:id="69" w:name="ref-fadrosh2014"/>
    <w:p>
      <w:pPr>
        <w:pStyle w:val="Bibliography"/>
      </w:pPr>
      <w:r>
        <w:t xml:space="preserve">Fadrosh, D.W., Ma, B., Gajer, P., Sengamalay, N., Ott, S., Brotman, R.M., Ravel, J., 2014. An improved dual-indexing approach for multiplexed</w:t>
      </w:r>
      <w:r>
        <w:t xml:space="preserve"> </w:t>
      </w:r>
      <w:r>
        <w:t xml:space="preserve">16S rRNA</w:t>
      </w:r>
      <w:r>
        <w:t xml:space="preserve"> </w:t>
      </w:r>
      <w:r>
        <w:t xml:space="preserve">gene sequencing on the</w:t>
      </w:r>
      <w:r>
        <w:t xml:space="preserve"> </w:t>
      </w:r>
      <w:r>
        <w:t xml:space="preserve">Illumina MiSeq</w:t>
      </w:r>
      <w:r>
        <w:t xml:space="preserve"> </w:t>
      </w:r>
      <w:r>
        <w:t xml:space="preserve">platform. Microbiome 2, 1–7. doi:</w:t>
      </w:r>
      <w:hyperlink r:id="rId68">
        <w:r>
          <w:rPr>
            <w:rStyle w:val="InternetLink"/>
          </w:rPr>
          <w:t xml:space="preserve">10.1186/2049-2618-2-6</w:t>
        </w:r>
      </w:hyperlink>
    </w:p>
    <w:bookmarkEnd w:id="69"/>
    <w:bookmarkStart w:id="70" w:name="ref-falconer1996"/>
    <w:p>
      <w:pPr>
        <w:pStyle w:val="Bibliography"/>
      </w:pPr>
      <w:r>
        <w:t xml:space="preserve">Falconer, D.S., MacKay, T.F.C., 1996. Introduction to quantitative genetics.</w:t>
      </w:r>
      <w:r>
        <w:t xml:space="preserve"> </w:t>
      </w:r>
      <w:r>
        <w:t xml:space="preserve">Harlow : Prentice Hall</w:t>
      </w:r>
      <w:r>
        <w:t xml:space="preserve">.</w:t>
      </w:r>
    </w:p>
    <w:bookmarkEnd w:id="70"/>
    <w:bookmarkStart w:id="72" w:name="ref-fernandes2014"/>
    <w:p>
      <w:pPr>
        <w:pStyle w:val="Bibliography"/>
      </w:pPr>
      <w:r>
        <w:t xml:space="preserve">Fernandes, A.D., Reid, J.N., Macklaim, J.M., McMurrough, T.A., Edgell, D.R., Gloor, G.B., 2014. Unifying the analysis of high-throughput sequencing datasets: Characterizing</w:t>
      </w:r>
      <w:r>
        <w:t xml:space="preserve"> </w:t>
      </w:r>
      <w:r>
        <w:t xml:space="preserve">RNA-seq</w:t>
      </w:r>
      <w:r>
        <w:t xml:space="preserve">,</w:t>
      </w:r>
      <w:r>
        <w:t xml:space="preserve"> </w:t>
      </w:r>
      <w:r>
        <w:t xml:space="preserve">16S rRNA</w:t>
      </w:r>
      <w:r>
        <w:t xml:space="preserve"> </w:t>
      </w:r>
      <w:r>
        <w:t xml:space="preserve">gene sequencing and selective growth experiments by compositional data analysis. Microbiome 2, 15. doi:</w:t>
      </w:r>
      <w:hyperlink r:id="rId71">
        <w:r>
          <w:rPr>
            <w:rStyle w:val="InternetLink"/>
          </w:rPr>
          <w:t xml:space="preserve">10.1186/2049-2618-2-15</w:t>
        </w:r>
      </w:hyperlink>
    </w:p>
    <w:bookmarkEnd w:id="72"/>
    <w:bookmarkStart w:id="74" w:name="ref-freitag2009"/>
    <w:p>
      <w:pPr>
        <w:pStyle w:val="Bibliography"/>
      </w:pPr>
      <w:r>
        <w:t xml:space="preserve">Freitag, T.E., Prosser, J.I., 2009. Correlation of</w:t>
      </w:r>
      <w:r>
        <w:t xml:space="preserve"> </w:t>
      </w:r>
      <w:r>
        <w:t xml:space="preserve">Methane Production</w:t>
      </w:r>
      <w:r>
        <w:t xml:space="preserve"> </w:t>
      </w:r>
      <w:r>
        <w:t xml:space="preserve">and</w:t>
      </w:r>
      <w:r>
        <w:t xml:space="preserve"> </w:t>
      </w:r>
      <w:r>
        <w:t xml:space="preserve">Functional Gene Transcriptional Activity</w:t>
      </w:r>
      <w:r>
        <w:t xml:space="preserve"> </w:t>
      </w:r>
      <w:r>
        <w:t xml:space="preserve">in a</w:t>
      </w:r>
      <w:r>
        <w:t xml:space="preserve"> </w:t>
      </w:r>
      <w:r>
        <w:t xml:space="preserve">Peat Soil</w:t>
      </w:r>
      <w:r>
        <w:t xml:space="preserve">. Applied and Environmental Microbiology 75, 6679–6687. doi:</w:t>
      </w:r>
      <w:hyperlink r:id="rId73">
        <w:r>
          <w:rPr>
            <w:rStyle w:val="InternetLink"/>
          </w:rPr>
          <w:t xml:space="preserve">10.1128/AEM.01021-09</w:t>
        </w:r>
      </w:hyperlink>
    </w:p>
    <w:bookmarkEnd w:id="74"/>
    <w:bookmarkStart w:id="76" w:name="ref-freitag2003"/>
    <w:p>
      <w:pPr>
        <w:pStyle w:val="Bibliography"/>
      </w:pPr>
      <w:r>
        <w:t xml:space="preserve">Freitag, T.E., Prosser, J.I., 2003. Community</w:t>
      </w:r>
      <w:r>
        <w:t xml:space="preserve"> </w:t>
      </w:r>
      <w:r>
        <w:t xml:space="preserve">Structure</w:t>
      </w:r>
      <w:r>
        <w:t xml:space="preserve"> </w:t>
      </w:r>
      <w:r>
        <w:t xml:space="preserve">of</w:t>
      </w:r>
      <w:r>
        <w:t xml:space="preserve"> </w:t>
      </w:r>
      <w:r>
        <w:t xml:space="preserve">Ammonia-Oxidizing Bacteria</w:t>
      </w:r>
      <w:r>
        <w:t xml:space="preserve"> </w:t>
      </w:r>
      <w:r>
        <w:t xml:space="preserve">within</w:t>
      </w:r>
      <w:r>
        <w:t xml:space="preserve"> </w:t>
      </w:r>
      <w:r>
        <w:t xml:space="preserve">Anoxic Marine Sediments</w:t>
      </w:r>
      <w:r>
        <w:t xml:space="preserve">. Applied and Environmental Microbiology 69, 1359–1371. doi:</w:t>
      </w:r>
      <w:hyperlink r:id="rId75">
        <w:r>
          <w:rPr>
            <w:rStyle w:val="InternetLink"/>
          </w:rPr>
          <w:t xml:space="preserve">10.1128/AEM.69.3.1359-1371.2003</w:t>
        </w:r>
      </w:hyperlink>
    </w:p>
    <w:bookmarkEnd w:id="76"/>
    <w:bookmarkStart w:id="78" w:name="ref-freitag2010"/>
    <w:p>
      <w:pPr>
        <w:pStyle w:val="Bibliography"/>
      </w:pPr>
      <w:r>
        <w:t xml:space="preserve">Freitag, T.E., Toet, S., Ineson, P., Prosser, J.I., 2010. Links between methane flux and transcriptional activities of methanogens and methane oxidizers in a blanket peat bog. FEMS Microbiology Ecology 73, 157–165. doi:</w:t>
      </w:r>
      <w:hyperlink r:id="rId77">
        <w:r>
          <w:rPr>
            <w:rStyle w:val="InternetLink"/>
          </w:rPr>
          <w:t xml:space="preserve">10.1111/j.1574-6941.2010.00871.x</w:t>
        </w:r>
      </w:hyperlink>
    </w:p>
    <w:bookmarkEnd w:id="78"/>
    <w:bookmarkStart w:id="79" w:name="ref-garrity2005"/>
    <w:p>
      <w:pPr>
        <w:pStyle w:val="Bibliography"/>
      </w:pPr>
      <w:r>
        <w:t xml:space="preserve">Garrity, G.M., Bell, J.A., Lilburn, T.G., 2005. Class</w:t>
      </w:r>
      <w:r>
        <w:t xml:space="preserve"> </w:t>
      </w:r>
      <w:r>
        <w:t xml:space="preserve">III</w:t>
      </w:r>
      <w:r>
        <w:t xml:space="preserve">.</w:t>
      </w:r>
      <w:r>
        <w:t xml:space="preserve"> </w:t>
      </w:r>
      <w:r>
        <w:t xml:space="preserve">Gammaproteobacteria</w:t>
      </w:r>
      <w:r>
        <w:t xml:space="preserve"> </w:t>
      </w:r>
      <w:r>
        <w:t xml:space="preserve">class. Nov., P. 1., in: Brenner, D.J., Krieg, N.R., Staley, J.T., Garrity, G.M. (Eds.), Bergey’s Manual of Systematic Bacteriology.</w:t>
      </w:r>
      <w:r>
        <w:t xml:space="preserve"> </w:t>
      </w:r>
      <w:r>
        <w:t xml:space="preserve">Springer</w:t>
      </w:r>
      <w:r>
        <w:t xml:space="preserve">,</w:t>
      </w:r>
      <w:r>
        <w:t xml:space="preserve"> </w:t>
      </w:r>
      <w:r>
        <w:t xml:space="preserve">New York, NY</w:t>
      </w:r>
      <w:r>
        <w:t xml:space="preserve">.</w:t>
      </w:r>
    </w:p>
    <w:bookmarkEnd w:id="79"/>
    <w:bookmarkStart w:id="80" w:name="ref-graham2016"/>
    <w:p>
      <w:pPr>
        <w:pStyle w:val="Bibliography"/>
      </w:pPr>
      <w:r>
        <w:t xml:space="preserve">Graham, E.B., Knelman, J.E., Schindlbacher, A., Siciliano, S., Breulmann, M., Yannarell, A., Beman, J.M., Abell, G., Philippot, L., Prosser, J., Foulquier, A., Yuste, J.C., Glanville, H.C., Jones, D.L., Angel, R., Salminen, J., Newton, R.J., Bürgmann, H., Ingram, L.J., Hamer, U., Siljanen, H.M.P., Peltoniemi, K., Potthast, K., Bañeras, L., Hartmann, M., Banerjee, S., Yu, R.-Q., Nogaro, G., Richter, A., Koranda, M., Castle, S.C., Goberna, M., Song, B., Chatterjee, A., Nunes, O.C., Lopes, A.R., Cao, Y., Kaisermann, A., Hallin, S., Strickland, M.S., Garcia-Pausas, J., Barba, J., Kang, H., Isobe, K., Papaspyrou, S., Pastorelli, R., Lagomarsino, A., Lindström, E.S., Basiliko, N., Nemergut, D.R., 2016. Microbes as</w:t>
      </w:r>
      <w:r>
        <w:t xml:space="preserve"> </w:t>
      </w:r>
      <w:r>
        <w:t xml:space="preserve">Engines</w:t>
      </w:r>
      <w:r>
        <w:t xml:space="preserve"> </w:t>
      </w:r>
      <w:r>
        <w:t xml:space="preserve">of</w:t>
      </w:r>
      <w:r>
        <w:t xml:space="preserve"> </w:t>
      </w:r>
      <w:r>
        <w:t xml:space="preserve">Ecosystem Function</w:t>
      </w:r>
      <w:r>
        <w:t xml:space="preserve">:</w:t>
      </w:r>
      <w:r>
        <w:t xml:space="preserve"> </w:t>
      </w:r>
      <w:r>
        <w:t xml:space="preserve">When Does Community Structure Enhance Predictions</w:t>
      </w:r>
      <w:r>
        <w:t xml:space="preserve"> </w:t>
      </w:r>
      <w:r>
        <w:t xml:space="preserve">of</w:t>
      </w:r>
      <w:r>
        <w:t xml:space="preserve"> </w:t>
      </w:r>
      <w:r>
        <w:t xml:space="preserve">Ecosystem Processes</w:t>
      </w:r>
      <w:r>
        <w:t xml:space="preserve">? Frontiers in Microbiology 7.</w:t>
      </w:r>
    </w:p>
    <w:bookmarkEnd w:id="80"/>
    <w:bookmarkStart w:id="82" w:name="ref-griffiths2001"/>
    <w:p>
      <w:pPr>
        <w:pStyle w:val="Bibliography"/>
      </w:pPr>
      <w:r>
        <w:t xml:space="preserve">Griffiths, B.S., Ritz, K., Wheatley, R., Kuan, H.L., Boag, B., Christensen, S., Ekelund, F., Sørensen, S.J., Muller, S., Bloem, J., 2001. An examination of the biodiversity</w:t>
      </w:r>
      <w:r>
        <w:t xml:space="preserve">ecosystem function relationship in arable soil microbial communities. Soil Biology and Biochemistry 33, 1713–1722. doi:</w:t>
      </w:r>
      <w:hyperlink r:id="rId81">
        <w:r>
          <w:rPr>
            <w:rStyle w:val="InternetLink"/>
          </w:rPr>
          <w:t xml:space="preserve">10.1016/S0038-0717(01)00094-3</w:t>
        </w:r>
      </w:hyperlink>
    </w:p>
    <w:bookmarkEnd w:id="82"/>
    <w:bookmarkStart w:id="84" w:name="ref-he2022"/>
    <w:p>
      <w:pPr>
        <w:pStyle w:val="Bibliography"/>
      </w:pPr>
      <w:r>
        <w:t xml:space="preserve">He, Y., Tiezzi, F., Jiang, J., Howard, J., Huang, Y., Gray, K., Choi, J.-W., Maltecca, C., 2022. Exploring methods to summarize gut microbiota composition for microbiability estimation and phenotypic prediction in swine. Journal of Animal Science 100, skac231. doi:</w:t>
      </w:r>
      <w:hyperlink r:id="rId83">
        <w:r>
          <w:rPr>
            <w:rStyle w:val="InternetLink"/>
          </w:rPr>
          <w:t xml:space="preserve">10.1093/jas/skac231</w:t>
        </w:r>
      </w:hyperlink>
    </w:p>
    <w:bookmarkEnd w:id="84"/>
    <w:bookmarkStart w:id="86" w:name="ref-hurlbert1971"/>
    <w:p>
      <w:pPr>
        <w:pStyle w:val="Bibliography"/>
      </w:pPr>
      <w:r>
        <w:t xml:space="preserve">Hurlbert, S.H., 1971. The</w:t>
      </w:r>
      <w:r>
        <w:t xml:space="preserve"> </w:t>
      </w:r>
      <w:r>
        <w:t xml:space="preserve">Nonconcept</w:t>
      </w:r>
      <w:r>
        <w:t xml:space="preserve"> </w:t>
      </w:r>
      <w:r>
        <w:t xml:space="preserve">of</w:t>
      </w:r>
      <w:r>
        <w:t xml:space="preserve"> </w:t>
      </w:r>
      <w:r>
        <w:t xml:space="preserve">Species Diversity</w:t>
      </w:r>
      <w:r>
        <w:t xml:space="preserve">:</w:t>
      </w:r>
      <w:r>
        <w:t xml:space="preserve"> </w:t>
      </w:r>
      <w:r>
        <w:t xml:space="preserve">A Critique</w:t>
      </w:r>
      <w:r>
        <w:t xml:space="preserve"> </w:t>
      </w:r>
      <w:r>
        <w:t xml:space="preserve">and</w:t>
      </w:r>
      <w:r>
        <w:t xml:space="preserve"> </w:t>
      </w:r>
      <w:r>
        <w:t xml:space="preserve">Alternative Parameters</w:t>
      </w:r>
      <w:r>
        <w:t xml:space="preserve">. Ecology 52, 577–586. doi:</w:t>
      </w:r>
      <w:hyperlink r:id="rId85">
        <w:r>
          <w:rPr>
            <w:rStyle w:val="InternetLink"/>
          </w:rPr>
          <w:t xml:space="preserve">10.2307/1934145</w:t>
        </w:r>
      </w:hyperlink>
    </w:p>
    <w:bookmarkEnd w:id="86"/>
    <w:bookmarkStart w:id="88" w:name="ref-im2012"/>
    <w:p>
      <w:pPr>
        <w:pStyle w:val="Bibliography"/>
      </w:pPr>
      <w:r>
        <w:t xml:space="preserve">Im, W.-T., Hu, Z.-Y., Kim, K.-H., Rhee, S.-K., Meng, H., Lee, S.-T., Quan, Z.-X., 2012. Description of</w:t>
      </w:r>
      <w:r>
        <w:t xml:space="preserve"> </w:t>
      </w:r>
      <w:r>
        <w:t xml:space="preserve">Fimbriimonas</w:t>
      </w:r>
      <w:r>
        <w:t xml:space="preserve"> </w:t>
      </w:r>
      <w:r>
        <w:t xml:space="preserve">ginsengisoli gen. Nov., Sp. Nov. Within the</w:t>
      </w:r>
      <w:r>
        <w:t xml:space="preserve"> </w:t>
      </w:r>
      <w:r>
        <w:t xml:space="preserve">Fimbriimonadia</w:t>
      </w:r>
      <w:r>
        <w:t xml:space="preserve"> </w:t>
      </w:r>
      <w:r>
        <w:t xml:space="preserve">class nov., Of the phylum</w:t>
      </w:r>
      <w:r>
        <w:t xml:space="preserve"> </w:t>
      </w:r>
      <w:r>
        <w:t xml:space="preserve">Armatimonadetes</w:t>
      </w:r>
      <w:r>
        <w:t xml:space="preserve">. Antonie van Leeuwenhoek 102, 307–317. doi:</w:t>
      </w:r>
      <w:hyperlink r:id="rId87">
        <w:r>
          <w:rPr>
            <w:rStyle w:val="InternetLink"/>
          </w:rPr>
          <w:t xml:space="preserve">10.1007/s10482-012-9739-6</w:t>
        </w:r>
      </w:hyperlink>
    </w:p>
    <w:bookmarkEnd w:id="88"/>
    <w:bookmarkStart w:id="90" w:name="ref-jansson2020"/>
    <w:p>
      <w:pPr>
        <w:pStyle w:val="Bibliography"/>
      </w:pPr>
      <w:r>
        <w:t xml:space="preserve">Jansson, J.K., Hofmockel, K.S., 2020. Soil microbiomes and climate change. Nature Reviews. Microbiology 18, 35–46. doi:</w:t>
      </w:r>
      <w:hyperlink r:id="rId89">
        <w:r>
          <w:rPr>
            <w:rStyle w:val="InternetLink"/>
          </w:rPr>
          <w:t xml:space="preserve">10.1038/s41579-019-0265-7</w:t>
        </w:r>
      </w:hyperlink>
    </w:p>
    <w:bookmarkEnd w:id="90"/>
    <w:bookmarkStart w:id="92" w:name="ref-kang2019"/>
    <w:p>
      <w:pPr>
        <w:pStyle w:val="Bibliography"/>
      </w:pPr>
      <w:r>
        <w:t xml:space="preserve">Kang, C.S., Dunfield, P.F., Semrau, J.D., 2019. The origin of aerobic methanotrophy within the</w:t>
      </w:r>
      <w:r>
        <w:t xml:space="preserve"> </w:t>
      </w:r>
      <w:r>
        <w:t xml:space="preserve">Proteobacteria</w:t>
      </w:r>
      <w:r>
        <w:t xml:space="preserve">. FEMS Microbiology Letters 366, fnz096. doi:</w:t>
      </w:r>
      <w:hyperlink r:id="rId91">
        <w:r>
          <w:rPr>
            <w:rStyle w:val="InternetLink"/>
          </w:rPr>
          <w:t xml:space="preserve">10.1093/femsle/fnz096</w:t>
        </w:r>
      </w:hyperlink>
    </w:p>
    <w:bookmarkEnd w:id="92"/>
    <w:bookmarkStart w:id="94" w:name="ref-kaul2017"/>
    <w:p>
      <w:pPr>
        <w:pStyle w:val="Bibliography"/>
      </w:pPr>
      <w:r>
        <w:t xml:space="preserve">Kaul, A., Mandal, S., Davidov, O., Peddada, S.D., 2017. Analysis of</w:t>
      </w:r>
      <w:r>
        <w:t xml:space="preserve"> </w:t>
      </w:r>
      <w:r>
        <w:t xml:space="preserve">Microbiome Data</w:t>
      </w:r>
      <w:r>
        <w:t xml:space="preserve"> </w:t>
      </w:r>
      <w:r>
        <w:t xml:space="preserve">in the</w:t>
      </w:r>
      <w:r>
        <w:t xml:space="preserve"> </w:t>
      </w:r>
      <w:r>
        <w:t xml:space="preserve">Presence</w:t>
      </w:r>
      <w:r>
        <w:t xml:space="preserve"> </w:t>
      </w:r>
      <w:r>
        <w:t xml:space="preserve">of</w:t>
      </w:r>
      <w:r>
        <w:t xml:space="preserve"> </w:t>
      </w:r>
      <w:r>
        <w:t xml:space="preserve">Excess Zeros</w:t>
      </w:r>
      <w:r>
        <w:t xml:space="preserve">. Frontiers in Microbiology 8, 2114. doi:</w:t>
      </w:r>
      <w:hyperlink r:id="rId93">
        <w:r>
          <w:rPr>
            <w:rStyle w:val="InternetLink"/>
          </w:rPr>
          <w:t xml:space="preserve">10.3389/fmicb.2017.02114</w:t>
        </w:r>
      </w:hyperlink>
    </w:p>
    <w:bookmarkEnd w:id="94"/>
    <w:bookmarkStart w:id="96" w:name="ref-kirschke2013"/>
    <w:p>
      <w:pPr>
        <w:pStyle w:val="Bibliography"/>
      </w:pPr>
      <w:r>
        <w:t xml:space="preserve">Kirschke, S., Bousquet, P., Ciais, P., Saunois, M., Canadell, J.G., Dlugokencky, E.J., Bergamaschi, P., Bergmann, D., Blake, D.R., Bruhwiler, L., Cameron-Smith, P., Castaldi, S., Chevallier, F., Feng, L., Fraser, A., Heimann, M., Hodson, E.L., Houweling, S., Josse, B., Fraser, P.J., Krummel, P.B., Lamarque, J.-F., Langenfelds, R.L., Le Quéré, C., Naik, V., O’Doherty, S., Palmer, P.I., Pison, I., Plummer, D., Poulter, B., Prinn, R.G., Rigby, M., Ringeval, B., Santini, M., Schmidt, M., Shindell, D.T., Simpson, I.J., Spahni, R., Steele, L.P., Strode, S.A., Sudo, K., Szopa, S., van der Werf, G.R., Voulgarakis, A., van Weele, M., Weiss, R.F., Williams, J.E., Zeng, G., 2013. Three decades of global methane sources and sinks. Nature Geoscience 6, 813–823. doi:</w:t>
      </w:r>
      <w:hyperlink r:id="rId95">
        <w:r>
          <w:rPr>
            <w:rStyle w:val="InternetLink"/>
          </w:rPr>
          <w:t xml:space="preserve">10.1038/ngeo1955</w:t>
        </w:r>
      </w:hyperlink>
    </w:p>
    <w:bookmarkEnd w:id="96"/>
    <w:bookmarkStart w:id="98" w:name="ref-kozich2013"/>
    <w:p>
      <w:pPr>
        <w:pStyle w:val="Bibliography"/>
      </w:pPr>
      <w:r>
        <w:t xml:space="preserve">Kozich, J.J., Westcott, S.L., Baxter, N.T., Highlander, S.K., Schloss, P.D., 2013. Development of a</w:t>
      </w:r>
      <w:r>
        <w:t xml:space="preserve"> </w:t>
      </w:r>
      <w:r>
        <w:t xml:space="preserve">Dual-Index Sequencing Strategy</w:t>
      </w:r>
      <w:r>
        <w:t xml:space="preserve"> </w:t>
      </w:r>
      <w:r>
        <w:t xml:space="preserve">and</w:t>
      </w:r>
      <w:r>
        <w:t xml:space="preserve"> </w:t>
      </w:r>
      <w:r>
        <w:t xml:space="preserve">Curation Pipeline</w:t>
      </w:r>
      <w:r>
        <w:t xml:space="preserve"> </w:t>
      </w:r>
      <w:r>
        <w:t xml:space="preserve">for</w:t>
      </w:r>
      <w:r>
        <w:t xml:space="preserve"> </w:t>
      </w:r>
      <w:r>
        <w:t xml:space="preserve">Analyzing Amplicon Sequence Data</w:t>
      </w:r>
      <w:r>
        <w:t xml:space="preserve"> </w:t>
      </w:r>
      <w:r>
        <w:t xml:space="preserve">on the</w:t>
      </w:r>
      <w:r>
        <w:t xml:space="preserve"> </w:t>
      </w:r>
      <w:r>
        <w:t xml:space="preserve">MiSeq Illumina Sequencing Platform</w:t>
      </w:r>
      <w:r>
        <w:t xml:space="preserve">. Applied and Environmental Microbiology 79, 5112–5120. doi:</w:t>
      </w:r>
      <w:hyperlink r:id="rId97">
        <w:r>
          <w:rPr>
            <w:rStyle w:val="InternetLink"/>
          </w:rPr>
          <w:t xml:space="preserve">10.1128/AEM.01043-13</w:t>
        </w:r>
      </w:hyperlink>
    </w:p>
    <w:bookmarkEnd w:id="98"/>
    <w:bookmarkStart w:id="100" w:name="ref-lin2020"/>
    <w:p>
      <w:pPr>
        <w:pStyle w:val="Bibliography"/>
      </w:pPr>
      <w:r>
        <w:t xml:space="preserve">Lin, H., Peddada, S.D., 2020. Analysis of compositions of microbiomes with bias correction. Nature Communications 11, 3514. doi:</w:t>
      </w:r>
      <w:hyperlink r:id="rId99">
        <w:r>
          <w:rPr>
            <w:rStyle w:val="InternetLink"/>
          </w:rPr>
          <w:t xml:space="preserve">10.1038/s41467-020-17041-7</w:t>
        </w:r>
      </w:hyperlink>
    </w:p>
    <w:bookmarkEnd w:id="100"/>
    <w:bookmarkStart w:id="101" w:name="ref-lynch1998"/>
    <w:p>
      <w:pPr>
        <w:pStyle w:val="Bibliography"/>
      </w:pPr>
      <w:r>
        <w:t xml:space="preserve">Lynch, M., Walsh, B., 1998. Genetics and</w:t>
      </w:r>
      <w:r>
        <w:t xml:space="preserve"> </w:t>
      </w:r>
      <w:r>
        <w:t xml:space="preserve">Analysis</w:t>
      </w:r>
      <w:r>
        <w:t xml:space="preserve"> </w:t>
      </w:r>
      <w:r>
        <w:t xml:space="preserve">of</w:t>
      </w:r>
      <w:r>
        <w:t xml:space="preserve"> </w:t>
      </w:r>
      <w:r>
        <w:t xml:space="preserve">Quantitative Traits</w:t>
      </w:r>
      <w:r>
        <w:t xml:space="preserve">.</w:t>
      </w:r>
      <w:r>
        <w:t xml:space="preserve"> </w:t>
      </w:r>
      <w:r>
        <w:t xml:space="preserve">Oxford University Press</w:t>
      </w:r>
      <w:r>
        <w:t xml:space="preserve">.</w:t>
      </w:r>
    </w:p>
    <w:bookmarkEnd w:id="101"/>
    <w:bookmarkStart w:id="103" w:name="ref-martin2020"/>
    <w:p>
      <w:pPr>
        <w:pStyle w:val="Bibliography"/>
      </w:pPr>
      <w:r>
        <w:t xml:space="preserve">Martin, B.D., Witten, D., Willis, A.D., 2020. Modeling microbial abundances and dysbiosis with beta-binomial regression. The Annals of Applied Statistics 14, 94–115. doi:</w:t>
      </w:r>
      <w:hyperlink r:id="rId102">
        <w:r>
          <w:rPr>
            <w:rStyle w:val="InternetLink"/>
          </w:rPr>
          <w:t xml:space="preserve">10.1214/19-AOAS1283</w:t>
        </w:r>
      </w:hyperlink>
    </w:p>
    <w:bookmarkEnd w:id="103"/>
    <w:bookmarkStart w:id="105" w:name="ref-martiny2013"/>
    <w:p>
      <w:pPr>
        <w:pStyle w:val="Bibliography"/>
      </w:pPr>
      <w:r>
        <w:t xml:space="preserve">Martiny, A.C., Treseder, K., Pusch, G., 2013. Phylogenetic conservatism of functional traits in microorganisms. The ISME Journal 7, 830–838. doi:</w:t>
      </w:r>
      <w:hyperlink r:id="rId104">
        <w:r>
          <w:rPr>
            <w:rStyle w:val="InternetLink"/>
          </w:rPr>
          <w:t xml:space="preserve">10.1038/ismej.2012.160</w:t>
        </w:r>
      </w:hyperlink>
    </w:p>
    <w:bookmarkEnd w:id="105"/>
    <w:bookmarkStart w:id="107" w:name="ref-mcardle2001"/>
    <w:p>
      <w:pPr>
        <w:pStyle w:val="Bibliography"/>
      </w:pPr>
      <w:r>
        <w:t xml:space="preserve">McArdle, B.H., Anderson, M.J., 2001. Fitting</w:t>
      </w:r>
      <w:r>
        <w:t xml:space="preserve"> </w:t>
      </w:r>
      <w:r>
        <w:t xml:space="preserve">Multivariate Models</w:t>
      </w:r>
      <w:r>
        <w:t xml:space="preserve"> </w:t>
      </w:r>
      <w:r>
        <w:t xml:space="preserve">to</w:t>
      </w:r>
      <w:r>
        <w:t xml:space="preserve"> </w:t>
      </w:r>
      <w:r>
        <w:t xml:space="preserve">Community Data</w:t>
      </w:r>
      <w:r>
        <w:t xml:space="preserve">:</w:t>
      </w:r>
      <w:r>
        <w:t xml:space="preserve"> </w:t>
      </w:r>
      <w:r>
        <w:t xml:space="preserve">A Comment</w:t>
      </w:r>
      <w:r>
        <w:t xml:space="preserve"> </w:t>
      </w:r>
      <w:r>
        <w:t xml:space="preserve">on</w:t>
      </w:r>
      <w:r>
        <w:t xml:space="preserve"> </w:t>
      </w:r>
      <w:r>
        <w:t xml:space="preserve">Distance-Based Redundancy Analysis</w:t>
      </w:r>
      <w:r>
        <w:t xml:space="preserve">. Ecology 82, 290–297. doi:</w:t>
      </w:r>
      <w:hyperlink r:id="rId106">
        <w:r>
          <w:rPr>
            <w:rStyle w:val="InternetLink"/>
          </w:rPr>
          <w:t xml:space="preserve">10.1890/0012-9658(2001)082[0290:FMMTCD]2.0.CO;2</w:t>
        </w:r>
      </w:hyperlink>
    </w:p>
    <w:bookmarkEnd w:id="107"/>
    <w:bookmarkStart w:id="109" w:name="ref-mcbride2014"/>
    <w:p>
      <w:pPr>
        <w:pStyle w:val="Bibliography"/>
      </w:pPr>
      <w:r>
        <w:t xml:space="preserve">McBride, M.J., Liu, W., Lu, X., Zhu, Y., Zhang, W., 2014. The</w:t>
      </w:r>
      <w:r>
        <w:t xml:space="preserve"> </w:t>
      </w:r>
      <w:r>
        <w:t xml:space="preserve">Family Cytophagaceae</w:t>
      </w:r>
      <w:r>
        <w:t xml:space="preserve">, in: Rosenberg, E., DeLong, E.F., Lory, S., Stackebrandt, E., Thompson, F. (Eds.), The</w:t>
      </w:r>
      <w:r>
        <w:t xml:space="preserve"> </w:t>
      </w:r>
      <w:r>
        <w:t xml:space="preserve">Prokaryotes</w:t>
      </w:r>
      <w:r>
        <w:t xml:space="preserve">:</w:t>
      </w:r>
      <w:r>
        <w:t xml:space="preserve"> </w:t>
      </w:r>
      <w:r>
        <w:t xml:space="preserve">Other Major Lineages</w:t>
      </w:r>
      <w:r>
        <w:t xml:space="preserve"> </w:t>
      </w:r>
      <w:r>
        <w:t xml:space="preserve">of</w:t>
      </w:r>
      <w:r>
        <w:t xml:space="preserve"> </w:t>
      </w:r>
      <w:r>
        <w:t xml:space="preserve">Bacteria</w:t>
      </w:r>
      <w:r>
        <w:t xml:space="preserve"> </w:t>
      </w:r>
      <w:r>
        <w:t xml:space="preserve">and</w:t>
      </w:r>
      <w:r>
        <w:t xml:space="preserve"> </w:t>
      </w:r>
      <w:r>
        <w:t xml:space="preserve">The Archaea</w:t>
      </w:r>
      <w:r>
        <w:t xml:space="preserve">.</w:t>
      </w:r>
      <w:r>
        <w:t xml:space="preserve"> </w:t>
      </w:r>
      <w:r>
        <w:t xml:space="preserve">Springer</w:t>
      </w:r>
      <w:r>
        <w:t xml:space="preserve">,</w:t>
      </w:r>
      <w:r>
        <w:t xml:space="preserve"> </w:t>
      </w:r>
      <w:r>
        <w:t xml:space="preserve">Berlin, Heidelberg</w:t>
      </w:r>
      <w:r>
        <w:t xml:space="preserve">, pp. 577–593. doi:</w:t>
      </w:r>
      <w:hyperlink r:id="rId108">
        <w:r>
          <w:rPr>
            <w:rStyle w:val="InternetLink"/>
          </w:rPr>
          <w:t xml:space="preserve">10.1007/978-3-642-38954-2\_382</w:t>
        </w:r>
      </w:hyperlink>
    </w:p>
    <w:bookmarkEnd w:id="109"/>
    <w:bookmarkStart w:id="111" w:name="ref-meyer2020a"/>
    <w:p>
      <w:pPr>
        <w:pStyle w:val="Bibliography"/>
      </w:pPr>
      <w:r>
        <w:t xml:space="preserve">Meyer, K.M., Hopple, A.M., Klein, A.M., Morris, A.H., Bridgham, S.D., Bohannan, B.J.M., 2020a. Community structure</w:t>
      </w:r>
      <w:r>
        <w:t xml:space="preserve"> </w:t>
      </w:r>
      <w:r>
        <w:t xml:space="preserve"> </w:t>
      </w:r>
      <w:r>
        <w:t xml:space="preserve">Ecosystem</w:t>
      </w:r>
      <w:r>
        <w:t xml:space="preserve"> </w:t>
      </w:r>
      <w:r>
        <w:t xml:space="preserve">function relationships in the</w:t>
      </w:r>
      <w:r>
        <w:t xml:space="preserve"> </w:t>
      </w:r>
      <w:r>
        <w:t xml:space="preserve">Congo Basin</w:t>
      </w:r>
      <w:r>
        <w:t xml:space="preserve"> </w:t>
      </w:r>
      <w:r>
        <w:t xml:space="preserve">methane cycle depend on the physiological scale of function. Molecular Ecology 29, 1806–1819. doi:</w:t>
      </w:r>
      <w:hyperlink r:id="rId110">
        <w:r>
          <w:rPr>
            <w:rStyle w:val="InternetLink"/>
          </w:rPr>
          <w:t xml:space="preserve">10.1111/mec.15442</w:t>
        </w:r>
      </w:hyperlink>
    </w:p>
    <w:bookmarkEnd w:id="111"/>
    <w:bookmarkStart w:id="113" w:name="ref-meyer2020"/>
    <w:p>
      <w:pPr>
        <w:pStyle w:val="Bibliography"/>
      </w:pPr>
      <w:r>
        <w:t xml:space="preserve">Meyer, K.M., Morris, A.H., Webster, K., Klein, A.M., Kroeger, M.E., Meredith, L.K., Brændholt, A., Nakamura, F., Venturini, A., Fonseca de Souza, L., Shek, K.L., Danielson, R., van Haren, J., Barbosa de Camargo, P., Tsai, S.M., Dini-Andreote, F., de Mauro, J.M.S., Barlow, J., Berenguer, E., Nüsslein, K., Saleska, S., Rodrigues, J.L.M., Bohannan, B.J.M., 2020b. Belowground changes to community structure alter methane-cycling dynamics in</w:t>
      </w:r>
      <w:r>
        <w:t xml:space="preserve"> </w:t>
      </w:r>
      <w:r>
        <w:t xml:space="preserve">Amazonia</w:t>
      </w:r>
      <w:r>
        <w:t xml:space="preserve">. Environment International 145, 106131. doi:</w:t>
      </w:r>
      <w:hyperlink r:id="rId112">
        <w:r>
          <w:rPr>
            <w:rStyle w:val="InternetLink"/>
          </w:rPr>
          <w:t xml:space="preserve">10.1016/j.envint.2020.106131</w:t>
        </w:r>
      </w:hyperlink>
    </w:p>
    <w:bookmarkEnd w:id="113"/>
    <w:bookmarkStart w:id="115" w:name="ref-morris2020"/>
    <w:p>
      <w:pPr>
        <w:pStyle w:val="Bibliography"/>
      </w:pPr>
      <w:r>
        <w:t xml:space="preserve">Morris, A., Meyer, K., Bohannan, B., 2020. Linking microbial communities to ecosystem functions: What we can learn from genotype</w:t>
      </w:r>
      <w:r>
        <w:t xml:space="preserve">phenotype mapping in organisms. Philosophical Transactions of the Royal Society B: Biological Sciences 375, 20190244. doi:</w:t>
      </w:r>
      <w:hyperlink r:id="rId114">
        <w:r>
          <w:rPr>
            <w:rStyle w:val="InternetLink"/>
          </w:rPr>
          <w:t xml:space="preserve">10.1098/rstb.2019.0244</w:t>
        </w:r>
      </w:hyperlink>
    </w:p>
    <w:bookmarkEnd w:id="115"/>
    <w:bookmarkStart w:id="117" w:name="ref-mueller2022"/>
    <w:p>
      <w:pPr>
        <w:pStyle w:val="Bibliography"/>
      </w:pPr>
      <w:r>
        <w:t xml:space="preserve">Mueller, U.G., Linksvayer, T.A., 2022. Microbiome breeding: Conceptual and practical issues. Trends in Microbiology 30, 997–1011. doi:</w:t>
      </w:r>
      <w:hyperlink r:id="rId116">
        <w:r>
          <w:rPr>
            <w:rStyle w:val="InternetLink"/>
          </w:rPr>
          <w:t xml:space="preserve">10.1016/j.tim.2022.04.003</w:t>
        </w:r>
      </w:hyperlink>
    </w:p>
    <w:bookmarkEnd w:id="117"/>
    <w:bookmarkStart w:id="118" w:name="ref-oksanen2019"/>
    <w:p>
      <w:pPr>
        <w:pStyle w:val="Bibliography"/>
      </w:pPr>
      <w:r>
        <w:t xml:space="preserve">Oksanen, J., Blanchet, F.G., Friendly, M., Kindt, R., Legendre, P., McGlinn, D., Minchin, P.R., O’Hara, R.B., Simpson, G.L., Solymos, P., Stevens, M.H.H., Szoecs, E., Wagner, H., 2019. Vegan: Community ecology package.</w:t>
      </w:r>
    </w:p>
    <w:bookmarkEnd w:id="118"/>
    <w:bookmarkStart w:id="120" w:name="ref-panke-buisse2015"/>
    <w:p>
      <w:pPr>
        <w:pStyle w:val="Bibliography"/>
      </w:pPr>
      <w:r>
        <w:t xml:space="preserve">Panke-Buisse, K., Poole, A.C., Goodrich, J.K., Ley, R.E., Kao-Kniffin, J., 2015. Selection on soil microbiomes reveals reproducible impacts on plant function. The ISME Journal 9, 980–989. doi:</w:t>
      </w:r>
      <w:hyperlink r:id="rId119">
        <w:r>
          <w:rPr>
            <w:rStyle w:val="InternetLink"/>
          </w:rPr>
          <w:t xml:space="preserve">10.1038/ismej.2014.196</w:t>
        </w:r>
      </w:hyperlink>
    </w:p>
    <w:bookmarkEnd w:id="120"/>
    <w:bookmarkStart w:id="121" w:name="ref-rcoreteam2018"/>
    <w:p>
      <w:pPr>
        <w:pStyle w:val="Bibliography"/>
      </w:pPr>
      <w:r>
        <w:t xml:space="preserve">R Core Team, 2018. R:</w:t>
      </w:r>
      <w:r>
        <w:t xml:space="preserve"> </w:t>
      </w:r>
      <w:r>
        <w:t xml:space="preserve">A</w:t>
      </w:r>
      <w:r>
        <w:t xml:space="preserve"> </w:t>
      </w:r>
      <w:r>
        <w:t xml:space="preserve">language and environment for statistical computing.</w:t>
      </w:r>
      <w:r>
        <w:t xml:space="preserve"> </w:t>
      </w:r>
      <w:r>
        <w:t xml:space="preserve">R Foundation for Statistical Computing</w:t>
      </w:r>
      <w:r>
        <w:t xml:space="preserve">,</w:t>
      </w:r>
      <w:r>
        <w:t xml:space="preserve"> </w:t>
      </w:r>
      <w:r>
        <w:t xml:space="preserve">Vienna, Austria</w:t>
      </w:r>
      <w:r>
        <w:t xml:space="preserve">.</w:t>
      </w:r>
    </w:p>
    <w:bookmarkEnd w:id="121"/>
    <w:bookmarkStart w:id="123" w:name="ref-reed2007"/>
    <w:p>
      <w:pPr>
        <w:pStyle w:val="Bibliography"/>
      </w:pPr>
      <w:r>
        <w:t xml:space="preserve">Reed, H.E., Martiny, J.B.H., 2007. Testing the functional significance of microbial composition in natural communities. FEMS Microbiology Ecology 62, 161–170. doi:</w:t>
      </w:r>
      <w:hyperlink r:id="rId122">
        <w:r>
          <w:rPr>
            <w:rStyle w:val="InternetLink"/>
          </w:rPr>
          <w:t xml:space="preserve">10.1111/j.1574-6941.2007.00386.x</w:t>
        </w:r>
      </w:hyperlink>
    </w:p>
    <w:bookmarkEnd w:id="123"/>
    <w:bookmarkStart w:id="125" w:name="ref-rocca2015"/>
    <w:p>
      <w:pPr>
        <w:pStyle w:val="Bibliography"/>
      </w:pPr>
      <w:r>
        <w:t xml:space="preserve">Rocca, J.D., Hall, E.K., Lennon, J.T., Evans, S.E., Waldrop, M.P., Cotner, J.B., Nemergut, D.R., Graham, E.B., Wallenstein, M.D., 2015. Relationships between protein-encoding gene abundance and corresponding process are commonly assumed yet rarely observed. The ISME Journal 9, 1693–1699. doi:</w:t>
      </w:r>
      <w:hyperlink r:id="rId124">
        <w:r>
          <w:rPr>
            <w:rStyle w:val="InternetLink"/>
          </w:rPr>
          <w:t xml:space="preserve">10.1038/ismej.2014.252</w:t>
        </w:r>
      </w:hyperlink>
    </w:p>
    <w:bookmarkEnd w:id="125"/>
    <w:bookmarkStart w:id="127" w:name="ref-schimel1998"/>
    <w:p>
      <w:pPr>
        <w:pStyle w:val="Bibliography"/>
      </w:pPr>
      <w:r>
        <w:t xml:space="preserve">Schimel, J.P., Gulledge, J., 1998. Microbial community structure and global trace gases. Global Change Biology 4, 745–758. doi:</w:t>
      </w:r>
      <w:hyperlink r:id="rId126">
        <w:r>
          <w:rPr>
            <w:rStyle w:val="InternetLink"/>
          </w:rPr>
          <w:t xml:space="preserve">10.1046/j.1365-2486.1998.00195.x</w:t>
        </w:r>
      </w:hyperlink>
    </w:p>
    <w:bookmarkEnd w:id="127"/>
    <w:bookmarkStart w:id="129" w:name="ref-schnyder2018"/>
    <w:p>
      <w:pPr>
        <w:pStyle w:val="Bibliography"/>
      </w:pPr>
      <w:r>
        <w:t xml:space="preserve">Schnyder, E., Bodelier, P.L.E., Hartmann, M., Henneberger, R., Niklaus, P.A., 2018. Positive diversity-functioning relationships in model communities of methanotrophic bacteria. Ecology 99, 714–723. doi:</w:t>
      </w:r>
      <w:hyperlink r:id="rId128">
        <w:r>
          <w:rPr>
            <w:rStyle w:val="InternetLink"/>
          </w:rPr>
          <w:t xml:space="preserve">10.1002/ecy.2138</w:t>
        </w:r>
      </w:hyperlink>
    </w:p>
    <w:bookmarkEnd w:id="129"/>
    <w:bookmarkStart w:id="131" w:name="ref-stein2012"/>
    <w:p>
      <w:pPr>
        <w:pStyle w:val="Bibliography"/>
      </w:pPr>
      <w:r>
        <w:t xml:space="preserve">Stein, L.Y., Roy, R., Dunfield, P.F., 2012. Aerobic</w:t>
      </w:r>
      <w:r>
        <w:t xml:space="preserve"> </w:t>
      </w:r>
      <w:r>
        <w:t xml:space="preserve">Methanotrophy</w:t>
      </w:r>
      <w:r>
        <w:t xml:space="preserve"> </w:t>
      </w:r>
      <w:r>
        <w:t xml:space="preserve">and</w:t>
      </w:r>
      <w:r>
        <w:t xml:space="preserve"> </w:t>
      </w:r>
      <w:r>
        <w:t xml:space="preserve">Nitrification</w:t>
      </w:r>
      <w:r>
        <w:t xml:space="preserve">:</w:t>
      </w:r>
      <w:r>
        <w:t xml:space="preserve"> </w:t>
      </w:r>
      <w:r>
        <w:t xml:space="preserve">Processes</w:t>
      </w:r>
      <w:r>
        <w:t xml:space="preserve"> </w:t>
      </w:r>
      <w:r>
        <w:t xml:space="preserve">and</w:t>
      </w:r>
      <w:r>
        <w:t xml:space="preserve"> </w:t>
      </w:r>
      <w:r>
        <w:t xml:space="preserve">Connections</w:t>
      </w:r>
      <w:r>
        <w:t xml:space="preserve">, in:</w:t>
      </w:r>
      <w:r>
        <w:t xml:space="preserve"> </w:t>
      </w:r>
      <w:r>
        <w:t xml:space="preserve">eLS</w:t>
      </w:r>
      <w:r>
        <w:t xml:space="preserve">.</w:t>
      </w:r>
      <w:r>
        <w:t xml:space="preserve"> </w:t>
      </w:r>
      <w:r>
        <w:t xml:space="preserve">John Wiley &amp; Sons, Ltd</w:t>
      </w:r>
      <w:r>
        <w:t xml:space="preserve">. doi:</w:t>
      </w:r>
      <w:hyperlink r:id="rId130">
        <w:r>
          <w:rPr>
            <w:rStyle w:val="InternetLink"/>
          </w:rPr>
          <w:t xml:space="preserve">10.1002/9780470015902.a0022213</w:t>
        </w:r>
      </w:hyperlink>
    </w:p>
    <w:bookmarkEnd w:id="131"/>
    <w:bookmarkStart w:id="133" w:name="ref-strickland2009"/>
    <w:p>
      <w:pPr>
        <w:pStyle w:val="Bibliography"/>
      </w:pPr>
      <w:r>
        <w:t xml:space="preserve">Strickland, M.S., Lauber, C., Fierer, N., Bradford, M.A., 2009. Testing the functional significance of microbial community composition. Ecology 90, 441–451. doi:</w:t>
      </w:r>
      <w:hyperlink r:id="rId132">
        <w:r>
          <w:rPr>
            <w:rStyle w:val="InternetLink"/>
          </w:rPr>
          <w:t xml:space="preserve">10.1890/08-0296.1</w:t>
        </w:r>
      </w:hyperlink>
    </w:p>
    <w:bookmarkEnd w:id="133"/>
    <w:bookmarkStart w:id="135" w:name="ref-swenson2000"/>
    <w:p>
      <w:pPr>
        <w:pStyle w:val="Bibliography"/>
      </w:pPr>
      <w:r>
        <w:t xml:space="preserve">Swenson, W., Wilson, D.S., Elias, R., 2000. Artificial ecosystem selection. Proceedings of the National Academy of Sciences 97, 9110–9114. doi:</w:t>
      </w:r>
      <w:hyperlink r:id="rId134">
        <w:r>
          <w:rPr>
            <w:rStyle w:val="InternetLink"/>
          </w:rPr>
          <w:t xml:space="preserve">10.1073/pnas.150237597</w:t>
        </w:r>
      </w:hyperlink>
    </w:p>
    <w:bookmarkEnd w:id="135"/>
    <w:bookmarkStart w:id="137" w:name="ref-tamas2014"/>
    <w:p>
      <w:pPr>
        <w:pStyle w:val="Bibliography"/>
      </w:pPr>
      <w:r>
        <w:t xml:space="preserve">Tamas, I., Smirnova, A.V., He, Z., Dunfield, P.F., 2014. The (d)evolution of methanotrophy in the</w:t>
      </w:r>
      <w:r>
        <w:t xml:space="preserve"> </w:t>
      </w:r>
      <w:r>
        <w:t xml:space="preserve">Beijerinckiaceae</w:t>
      </w:r>
      <w:r>
        <w:t xml:space="preserve">a comparative genomics analysis. The ISME Journal 8, 369–382. doi:</w:t>
      </w:r>
      <w:hyperlink r:id="rId136">
        <w:r>
          <w:rPr>
            <w:rStyle w:val="InternetLink"/>
          </w:rPr>
          <w:t xml:space="preserve">10.1038/ismej.2013.145</w:t>
        </w:r>
      </w:hyperlink>
    </w:p>
    <w:bookmarkEnd w:id="137"/>
    <w:bookmarkStart w:id="139" w:name="ref-wagg2014"/>
    <w:p>
      <w:pPr>
        <w:pStyle w:val="Bibliography"/>
      </w:pPr>
      <w:r>
        <w:t xml:space="preserve">Wagg, C., Bender, S.F., Widmer, F., Heijden, M.G.A. van der, 2014. Soil biodiversity and soil community composition determine ecosystem multifunctionality. Proceedings of the National Academy of Sciences 111, 5266–5270. doi:</w:t>
      </w:r>
      <w:hyperlink r:id="rId138">
        <w:r>
          <w:rPr>
            <w:rStyle w:val="InternetLink"/>
          </w:rPr>
          <w:t xml:space="preserve">10.1073/pnas.1320054111</w:t>
        </w:r>
      </w:hyperlink>
    </w:p>
    <w:bookmarkEnd w:id="139"/>
    <w:bookmarkStart w:id="141" w:name="ref-wagg2019"/>
    <w:p>
      <w:pPr>
        <w:pStyle w:val="Bibliography"/>
      </w:pPr>
      <w:r>
        <w:t xml:space="preserve">Wagg, C., Schlaeppi, K., Banerjee, S., Kuramae, E.E., van der Heijden, M.G.A., 2019. Fungal-bacterial diversity and microbiome complexity predict ecosystem functioning. Nature Communications 10, 4841. doi:</w:t>
      </w:r>
      <w:hyperlink r:id="rId140">
        <w:r>
          <w:rPr>
            <w:rStyle w:val="InternetLink"/>
          </w:rPr>
          <w:t xml:space="preserve">10.1038/s41467-019-12798-y</w:t>
        </w:r>
      </w:hyperlink>
    </w:p>
    <w:bookmarkEnd w:id="141"/>
    <w:bookmarkStart w:id="143" w:name="ref-waldrop2006"/>
    <w:p>
      <w:pPr>
        <w:pStyle w:val="Bibliography"/>
      </w:pPr>
      <w:r>
        <w:t xml:space="preserve">Waldrop, M.P., Firestone, M.K., 2006. Response of</w:t>
      </w:r>
      <w:r>
        <w:t xml:space="preserve"> </w:t>
      </w:r>
      <w:r>
        <w:t xml:space="preserve">Microbial Community Composition</w:t>
      </w:r>
      <w:r>
        <w:t xml:space="preserve"> </w:t>
      </w:r>
      <w:r>
        <w:t xml:space="preserve">and</w:t>
      </w:r>
      <w:r>
        <w:t xml:space="preserve"> </w:t>
      </w:r>
      <w:r>
        <w:t xml:space="preserve">Function</w:t>
      </w:r>
      <w:r>
        <w:t xml:space="preserve"> </w:t>
      </w:r>
      <w:r>
        <w:t xml:space="preserve">to</w:t>
      </w:r>
      <w:r>
        <w:t xml:space="preserve"> </w:t>
      </w:r>
      <w:r>
        <w:t xml:space="preserve">Soil Climate Change</w:t>
      </w:r>
      <w:r>
        <w:t xml:space="preserve">. Microbial Ecology 52, 716–724. doi:</w:t>
      </w:r>
      <w:hyperlink r:id="rId142">
        <w:r>
          <w:rPr>
            <w:rStyle w:val="InternetLink"/>
          </w:rPr>
          <w:t xml:space="preserve">10.1007/s00248-006-9103-3</w:t>
        </w:r>
      </w:hyperlink>
    </w:p>
    <w:bookmarkEnd w:id="143"/>
    <w:bookmarkStart w:id="145" w:name="ref-wang2007"/>
    <w:p>
      <w:pPr>
        <w:pStyle w:val="Bibliography"/>
      </w:pPr>
      <w:r>
        <w:t xml:space="preserve">Wang, Q., Garrity, G.M., Tiedje, J.M., Cole, J.R., 2007. Naïve</w:t>
      </w:r>
      <w:r>
        <w:t xml:space="preserve"> </w:t>
      </w:r>
      <w:r>
        <w:t xml:space="preserve">Bayesian Classifier</w:t>
      </w:r>
      <w:r>
        <w:t xml:space="preserve"> </w:t>
      </w:r>
      <w:r>
        <w:t xml:space="preserve">for</w:t>
      </w:r>
      <w:r>
        <w:t xml:space="preserve"> </w:t>
      </w:r>
      <w:r>
        <w:t xml:space="preserve">Rapid Assignment</w:t>
      </w:r>
      <w:r>
        <w:t xml:space="preserve"> </w:t>
      </w:r>
      <w:r>
        <w:t xml:space="preserve">of</w:t>
      </w:r>
      <w:r>
        <w:t xml:space="preserve"> </w:t>
      </w:r>
      <w:r>
        <w:t xml:space="preserve">rRNA Sequences</w:t>
      </w:r>
      <w:r>
        <w:t xml:space="preserve"> </w:t>
      </w:r>
      <w:r>
        <w:t xml:space="preserve">into the</w:t>
      </w:r>
      <w:r>
        <w:t xml:space="preserve"> </w:t>
      </w:r>
      <w:r>
        <w:t xml:space="preserve">New Bacterial Taxonomy</w:t>
      </w:r>
      <w:r>
        <w:t xml:space="preserve">. Applied and Environmental Microbiology 73, 5261–5267. doi:</w:t>
      </w:r>
      <w:hyperlink r:id="rId144">
        <w:r>
          <w:rPr>
            <w:rStyle w:val="InternetLink"/>
          </w:rPr>
          <w:t xml:space="preserve">10.1128/AEM.00062-07</w:t>
        </w:r>
      </w:hyperlink>
    </w:p>
    <w:bookmarkEnd w:id="145"/>
    <w:bookmarkEnd w:id="146"/>
    <w:bookmarkEnd w:id="147"/>
    <w:bookmarkStart w:id="148" w:name="figure-captions"/>
    <w:p>
      <w:pPr>
        <w:pStyle w:val="Heading1"/>
      </w:pPr>
      <w:r>
        <w:t xml:space="preserve">Figure Captions</w:t>
      </w:r>
    </w:p>
    <w:p>
      <w:pPr>
        <w:pStyle w:val="FirstParagraph"/>
      </w:pPr>
      <w:r>
        <w:t xml:space="preserve">Figure 1: Variation in the rate of an ecosystem function is the result of at least three components: variation in the abiotic environmental conditions, variation in microbiome composition, and the covariance between microbiomes and the environment. The arrows represent causal relationships between the components. It is important to isolate the direct effect of the microbiome from the effect of the environment via covariance with the microbiome. Here, we attempt to isolate the effect of the microbiome through artificial selection on microbiome composition. For simplicity, we omitted the reverse arrows as well as the interactions, though these relationships may also exist.</w:t>
      </w:r>
    </w:p>
    <w:p>
      <w:pPr>
        <w:pStyle w:val="TextBody"/>
      </w:pPr>
      <w:r>
        <w:t xml:space="preserve">Figure 2: Response to selection on soil CH</w:t>
      </w:r>
      <w:r>
        <w:rPr>
          <w:vertAlign w:val="subscript"/>
        </w:rPr>
        <w:t xml:space="preserve">4</w:t>
      </w:r>
      <w:r>
        <w:t xml:space="preserve"> </w:t>
      </w:r>
      <w:r>
        <w:t xml:space="preserve">oxidation rate. The y-axis is CH</w:t>
      </w:r>
      <w:r>
        <w:rPr>
          <w:vertAlign w:val="subscript"/>
        </w:rPr>
        <w:t xml:space="preserve">4</w:t>
      </w:r>
      <w:r>
        <w:t xml:space="preserve"> </w:t>
      </w:r>
      <w:r>
        <w:t xml:space="preserve">oxidation rate as the log</w:t>
      </w:r>
      <w:r>
        <w:rPr>
          <w:vertAlign w:val="subscript"/>
        </w:rPr>
        <w:t xml:space="preserve">10</w:t>
      </w:r>
      <w:r>
        <w:t xml:space="preserve"> </w:t>
      </w:r>
      <w:r>
        <w:t xml:space="preserve">of the additive inverse of the first-order exponential decay constant</w:t>
      </w:r>
      <w:r>
        <w:t xml:space="preserve"> </w:t>
      </w:r>
      <m:oMath>
        <m:r>
          <m:t>k</m:t>
        </m:r>
      </m:oMath>
      <w:r>
        <w:t xml:space="preserve"> </w:t>
      </w:r>
      <w:r>
        <w:t xml:space="preserve">(i.e.,</w:t>
      </w:r>
      <w:r>
        <w:t xml:space="preserve"> </w:t>
      </w:r>
      <m:oMath>
        <m:r>
          <m:rPr>
            <m:sty m:val="p"/>
          </m:rPr>
          <m:t>−</m:t>
        </m:r>
        <m:r>
          <m:t>k</m:t>
        </m:r>
      </m:oMath>
      <w:r>
        <w:t xml:space="preserve">) with units day</w:t>
      </w:r>
      <w:r>
        <w:rPr>
          <w:vertAlign w:val="superscript"/>
        </w:rPr>
        <w:t xml:space="preserve">-1</w:t>
      </w:r>
      <w:r>
        <w:t xml:space="preserve"> </w:t>
      </w:r>
      <w:r>
        <w:t xml:space="preserve">so that a more positive value represents a higher CH</w:t>
      </w:r>
      <w:r>
        <w:rPr>
          <w:vertAlign w:val="subscript"/>
        </w:rPr>
        <w:t xml:space="preserve">4</w:t>
      </w:r>
      <w:r>
        <w:t xml:space="preserve"> </w:t>
      </w:r>
      <w:r>
        <w:t xml:space="preserve">oxidation rate. Orange points and regression line are for the positive selection treatment and gray points and regression line are for the control. There was a significant difference of slopes between the positive selection treatment and the control (F</w:t>
      </w:r>
      <w:r>
        <w:rPr>
          <w:vertAlign w:val="subscript"/>
        </w:rPr>
        <w:t xml:space="preserve">2,113</w:t>
      </w:r>
      <w:r>
        <w:t xml:space="preserve"> </w:t>
      </w:r>
      <w:r>
        <w:t xml:space="preserve">= 3.85, p = 0.02).</w:t>
      </w:r>
    </w:p>
    <w:p>
      <w:pPr>
        <w:pStyle w:val="TextBody"/>
      </w:pPr>
      <w:r>
        <w:t xml:space="preserve">Figure 3: Non-metric multidimensional scaling plot of beta diversity for all jars. Dissimilarities are rarefied Bray-Curtis dissimilarity averaged over 100 subsamples. Orange points are the positive selection treatment and gray points are the control. Circles are passage 2 and triangles are passage 5.</w:t>
      </w:r>
    </w:p>
    <w:p>
      <w:pPr>
        <w:pStyle w:val="TextBody"/>
      </w:pPr>
      <w:r>
        <w:t xml:space="preserve">Figure 4: Differentially abundant family-level taxa identified by ANCOM-II, ALDEx2, and CORNCOB. Values on the x-axis are relative abundances on a log</w:t>
      </w:r>
      <w:r>
        <w:rPr>
          <w:vertAlign w:val="subscript"/>
        </w:rPr>
        <w:t xml:space="preserve">10</w:t>
      </w:r>
      <w:r>
        <w:t xml:space="preserve"> </w:t>
      </w:r>
      <w:r>
        <w:t xml:space="preserve">scale. Taxa in the top panel are enriched in the positive selection treatment relative to the control and taxa in the bottom panel are depleted in the positive selection treatment relative to the control. Taxa are sorted by their effect size with taxa at the top having the largest positive effect size and taxa at the bottom with the largest negative effect size.</w:t>
      </w:r>
    </w:p>
    <w:bookmarkEnd w:id="148"/>
    <w:sectPr>
      <w:type w:val="nextPage"/>
      <w:pgSz w:h="15840" w:w="12240"/>
      <w:pgMar w:bottom="1440" w:footer="0" w:gutter="0" w:header="0" w:left="1800" w:right="1800" w:top="1440"/>
      <w:lnNumType w:countBy="1" w:distance="288"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Calibri">
    <w:charset w:val="01"/>
    <w:family w:val="roman"/>
    <w:pitch w:val="variable"/>
  </w:font>
  <w:font w:name="Consola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line="480" w:lineRule="auto"/>
      <w:jc w:val="left"/>
    </w:pPr>
    <w:rPr>
      <w:rFonts w:ascii="Times" w:cs="" w:cstheme="minorBidi" w:eastAsia="Cambria" w:eastAsiaTheme="minorHAnsi" w:hAnsi="Times"/>
      <w:color w:val="auto"/>
      <w:kern w:val="0"/>
      <w:sz w:val="24"/>
      <w:szCs w:val="24"/>
      <w:lang w:bidi="ar-SA" w:eastAsia="en-US" w:val="en-US"/>
    </w:rPr>
  </w:style>
  <w:style w:styleId="Heading1" w:type="paragraph">
    <w:name w:val="Heading 1"/>
    <w:basedOn w:val="Normal"/>
    <w:uiPriority w:val="9"/>
    <w:qFormat/>
    <w:pPr>
      <w:keepNext w:val="true"/>
      <w:keepLines/>
      <w:spacing w:after="0" w:before="480"/>
    </w:pPr>
    <w:rPr>
      <w:rFonts w:ascii="Times" w:cs="" w:cstheme="majorBidi" w:eastAsia="" w:eastAsiaTheme="majorEastAsia" w:hAnsi="Times"/>
      <w:b/>
      <w:bCs/>
      <w:color w:themeShade="b5" w:val="auto"/>
      <w:sz w:val="32"/>
      <w:szCs w:val="32"/>
    </w:rPr>
  </w:style>
  <w:style w:styleId="Heading2" w:type="paragraph">
    <w:name w:val="Heading 2"/>
    <w:basedOn w:val="Normal"/>
    <w:uiPriority w:val="9"/>
    <w:unhideWhenUsed/>
    <w:qFormat/>
    <w:pPr>
      <w:keepNext w:val="true"/>
      <w:keepLines/>
      <w:spacing w:after="0" w:before="200"/>
    </w:pPr>
    <w:rPr>
      <w:rFonts w:ascii="Times" w:cs="" w:cstheme="majorBidi" w:eastAsia="" w:eastAsiaTheme="majorEastAsia" w:hAnsi="Times"/>
      <w:b w:val="false"/>
      <w:bCs/>
      <w:color w:val="auto"/>
      <w:sz w:val="32"/>
      <w:szCs w:val="32"/>
    </w:rPr>
  </w:style>
  <w:style w:styleId="Heading3" w:type="paragraph">
    <w:name w:val="Heading 3"/>
    <w:basedOn w:val="Normal"/>
    <w:uiPriority w:val="9"/>
    <w:unhideWhenUsed/>
    <w:qFormat/>
    <w:pPr>
      <w:keepNext w:val="true"/>
      <w:keepLines/>
      <w:spacing w:after="0" w:before="200"/>
    </w:pPr>
    <w:rPr>
      <w:rFonts w:ascii="Times" w:cs="" w:cstheme="majorBidi" w:eastAsia="" w:eastAsiaTheme="majorEastAsia" w:hAnsi="Times"/>
      <w:b/>
      <w:bCs/>
      <w:color w:val="auto"/>
      <w:sz w:val="28"/>
      <w:szCs w:val="28"/>
    </w:rPr>
  </w:style>
  <w:style w:styleId="Heading4" w:type="paragraph">
    <w:name w:val="Heading 4"/>
    <w:basedOn w:val="Normal"/>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sz w:val="24"/>
      <w:szCs w:val="24"/>
    </w:rPr>
  </w:style>
  <w:style w:styleId="Heading5" w:type="paragraph">
    <w:name w:val="Heading 5"/>
    <w:basedOn w:val="Normal"/>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sz w:val="24"/>
      <w:szCs w:val="24"/>
    </w:rPr>
  </w:style>
  <w:style w:styleId="Heading6" w:type="paragraph">
    <w:name w:val="Heading 6"/>
    <w:basedOn w:val="Normal"/>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007020"/>
    </w:rPr>
  </w:style>
  <w:style w:customStyle="1" w:styleId="DataTypeTok" w:type="character">
    <w:name w:val="DataTypeTok"/>
    <w:basedOn w:val="VerbatimChar"/>
    <w:qFormat/>
    <w:rPr>
      <w:color w:val="902000"/>
    </w:rPr>
  </w:style>
  <w:style w:customStyle="1" w:styleId="DecValTok" w:type="character">
    <w:name w:val="DecValTok"/>
    <w:basedOn w:val="VerbatimChar"/>
    <w:qFormat/>
    <w:rPr>
      <w:color w:val="40A070"/>
    </w:rPr>
  </w:style>
  <w:style w:customStyle="1" w:styleId="BaseNTok" w:type="character">
    <w:name w:val="BaseNTok"/>
    <w:basedOn w:val="VerbatimChar"/>
    <w:qFormat/>
    <w:rPr>
      <w:color w:val="40A070"/>
    </w:rPr>
  </w:style>
  <w:style w:customStyle="1" w:styleId="FloatTok" w:type="character">
    <w:name w:val="FloatTok"/>
    <w:basedOn w:val="VerbatimChar"/>
    <w:qFormat/>
    <w:rPr>
      <w:color w:val="40A070"/>
    </w:rPr>
  </w:style>
  <w:style w:customStyle="1" w:styleId="ConstantTok" w:type="character">
    <w:name w:val="ConstantTok"/>
    <w:basedOn w:val="VerbatimChar"/>
    <w:qFormat/>
    <w:rPr>
      <w:color w:val="880000"/>
    </w:rPr>
  </w:style>
  <w:style w:customStyle="1" w:styleId="CharTok" w:type="character">
    <w:name w:val="CharTok"/>
    <w:basedOn w:val="VerbatimChar"/>
    <w:qFormat/>
    <w:rPr>
      <w:color w:val="4070A0"/>
    </w:rPr>
  </w:style>
  <w:style w:customStyle="1" w:styleId="SpecialCharTok" w:type="character">
    <w:name w:val="SpecialCharTok"/>
    <w:basedOn w:val="VerbatimChar"/>
    <w:qFormat/>
    <w:rPr>
      <w:color w:val="4070A0"/>
    </w:rPr>
  </w:style>
  <w:style w:customStyle="1" w:styleId="StringTok" w:type="character">
    <w:name w:val="StringTok"/>
    <w:basedOn w:val="VerbatimChar"/>
    <w:qFormat/>
    <w:rPr>
      <w:color w:val="4070A0"/>
    </w:rPr>
  </w:style>
  <w:style w:customStyle="1" w:styleId="VerbatimStringTok" w:type="character">
    <w:name w:val="VerbatimStringTok"/>
    <w:basedOn w:val="VerbatimChar"/>
    <w:qFormat/>
    <w:rPr>
      <w:color w:val="4070A0"/>
    </w:rPr>
  </w:style>
  <w:style w:customStyle="1" w:styleId="SpecialStringTok" w:type="character">
    <w:name w:val="SpecialStringTok"/>
    <w:basedOn w:val="VerbatimChar"/>
    <w:qFormat/>
    <w:rPr>
      <w:color w:val="BB6688"/>
    </w:rPr>
  </w:style>
  <w:style w:customStyle="1" w:styleId="ImportTok" w:type="character">
    <w:name w:val="ImportTok"/>
    <w:basedOn w:val="VerbatimChar"/>
    <w:qFormat/>
    <w:rPr/>
  </w:style>
  <w:style w:customStyle="1" w:styleId="CommentTok" w:type="character">
    <w:name w:val="CommentTok"/>
    <w:basedOn w:val="VerbatimChar"/>
    <w:qFormat/>
    <w:rPr>
      <w:i/>
      <w:color w:val="60A0B0"/>
    </w:rPr>
  </w:style>
  <w:style w:customStyle="1" w:styleId="DocumentationTok" w:type="character">
    <w:name w:val="DocumentationTok"/>
    <w:basedOn w:val="VerbatimChar"/>
    <w:qFormat/>
    <w:rPr>
      <w:i/>
      <w:color w:val="BA2121"/>
    </w:rPr>
  </w:style>
  <w:style w:customStyle="1" w:styleId="AnnotationTok" w:type="character">
    <w:name w:val="AnnotationTok"/>
    <w:basedOn w:val="VerbatimChar"/>
    <w:qFormat/>
    <w:rPr>
      <w:b/>
      <w:i/>
      <w:color w:val="60A0B0"/>
    </w:rPr>
  </w:style>
  <w:style w:customStyle="1" w:styleId="CommentVarTok" w:type="character">
    <w:name w:val="CommentVarTok"/>
    <w:basedOn w:val="VerbatimChar"/>
    <w:qFormat/>
    <w:rPr>
      <w:b/>
      <w:i/>
      <w:color w:val="60A0B0"/>
    </w:rPr>
  </w:style>
  <w:style w:customStyle="1" w:styleId="OtherTok" w:type="character">
    <w:name w:val="OtherTok"/>
    <w:basedOn w:val="VerbatimChar"/>
    <w:qFormat/>
    <w:rPr>
      <w:color w:val="007020"/>
    </w:rPr>
  </w:style>
  <w:style w:customStyle="1" w:styleId="FunctionTok" w:type="character">
    <w:name w:val="FunctionTok"/>
    <w:basedOn w:val="VerbatimChar"/>
    <w:qFormat/>
    <w:rPr>
      <w:color w:val="06287E"/>
    </w:rPr>
  </w:style>
  <w:style w:customStyle="1" w:styleId="VariableTok" w:type="character">
    <w:name w:val="VariableTok"/>
    <w:basedOn w:val="VerbatimChar"/>
    <w:qFormat/>
    <w:rPr>
      <w:color w:val="19177C"/>
    </w:rPr>
  </w:style>
  <w:style w:customStyle="1" w:styleId="ControlFlowTok" w:type="character">
    <w:name w:val="ControlFlowTok"/>
    <w:basedOn w:val="VerbatimChar"/>
    <w:qFormat/>
    <w:rPr>
      <w:b/>
      <w:color w:val="007020"/>
    </w:rPr>
  </w:style>
  <w:style w:customStyle="1" w:styleId="OperatorTok" w:type="character">
    <w:name w:val="OperatorTok"/>
    <w:basedOn w:val="VerbatimChar"/>
    <w:qFormat/>
    <w:rPr>
      <w:color w:val="666666"/>
    </w:rPr>
  </w:style>
  <w:style w:customStyle="1" w:styleId="BuiltInTok" w:type="character">
    <w:name w:val="BuiltInTok"/>
    <w:basedOn w:val="VerbatimChar"/>
    <w:qFormat/>
    <w:rPr/>
  </w:style>
  <w:style w:customStyle="1" w:styleId="ExtensionTok" w:type="character">
    <w:name w:val="ExtensionTok"/>
    <w:basedOn w:val="VerbatimChar"/>
    <w:qFormat/>
    <w:rPr/>
  </w:style>
  <w:style w:customStyle="1" w:styleId="PreprocessorTok" w:type="character">
    <w:name w:val="PreprocessorTok"/>
    <w:basedOn w:val="VerbatimChar"/>
    <w:qFormat/>
    <w:rPr>
      <w:color w:val="BC7A00"/>
    </w:rPr>
  </w:style>
  <w:style w:customStyle="1" w:styleId="AttributeTok" w:type="character">
    <w:name w:val="AttributeTok"/>
    <w:basedOn w:val="VerbatimChar"/>
    <w:qFormat/>
    <w:rPr>
      <w:color w:val="7D9029"/>
    </w:rPr>
  </w:style>
  <w:style w:customStyle="1" w:styleId="RegionMarkerTok" w:type="character">
    <w:name w:val="RegionMarkerTok"/>
    <w:basedOn w:val="VerbatimChar"/>
    <w:qFormat/>
    <w:rPr/>
  </w:style>
  <w:style w:customStyle="1" w:styleId="InformationTok" w:type="character">
    <w:name w:val="InformationTok"/>
    <w:basedOn w:val="VerbatimChar"/>
    <w:qFormat/>
    <w:rPr>
      <w:b/>
      <w:i/>
      <w:color w:val="60A0B0"/>
    </w:rPr>
  </w:style>
  <w:style w:customStyle="1" w:styleId="WarningTok" w:type="character">
    <w:name w:val="WarningTok"/>
    <w:basedOn w:val="VerbatimChar"/>
    <w:qFormat/>
    <w:rPr>
      <w:b/>
      <w:i/>
      <w:color w:val="60A0B0"/>
    </w:rPr>
  </w:style>
  <w:style w:customStyle="1" w:styleId="AlertTok" w:type="character">
    <w:name w:val="AlertTok"/>
    <w:basedOn w:val="VerbatimChar"/>
    <w:qFormat/>
    <w:rPr>
      <w:b/>
      <w:color w:val="FF0000"/>
    </w:rPr>
  </w:style>
  <w:style w:customStyle="1" w:styleId="ErrorTok" w:type="character">
    <w:name w:val="ErrorTok"/>
    <w:basedOn w:val="VerbatimChar"/>
    <w:qFormat/>
    <w:rPr>
      <w:b/>
      <w:color w:val="FF0000"/>
    </w:rPr>
  </w:style>
  <w:style w:customStyle="1" w:styleId="NormalTok" w:type="character">
    <w:name w:val="NormalTok"/>
    <w:basedOn w:val="VerbatimChar"/>
    <w:qFormat/>
    <w:rPr/>
  </w:style>
  <w:style w:styleId="LineNumbering" w:type="character">
    <w:name w:val="Line Numbering"/>
    <w:rPr/>
  </w:style>
  <w:style w:styleId="Emphasis" w:type="character">
    <w:name w:val="Emphasis"/>
    <w:qFormat/>
    <w:rPr>
      <w:i/>
      <w:iCs/>
    </w:rPr>
  </w:style>
  <w:style w:styleId="Heading" w:type="paragraph">
    <w:name w:val="Heading"/>
    <w:basedOn w:val="Normal"/>
    <w:next w:val="TextBody"/>
    <w:qFormat/>
    <w:pPr>
      <w:keepNext w:val="true"/>
      <w:spacing w:after="120" w:before="240"/>
    </w:pPr>
    <w:rPr>
      <w:rFonts w:ascii="Times" w:cs="Droid Sans Devanagari" w:eastAsia="Droid Sans Fallback" w:hAnsi="Times"/>
      <w:sz w:val="28"/>
      <w:szCs w:val="28"/>
    </w:rPr>
  </w:style>
  <w:style w:styleId="TextBody" w:type="paragraph">
    <w:name w:val="Body Text"/>
    <w:basedOn w:val="Normal"/>
    <w:link w:val="BodyTextChar"/>
    <w:qFormat/>
    <w:pPr>
      <w:spacing w:after="0" w:before="0" w:line="480" w:lineRule="auto"/>
      <w:ind w:firstLine="576" w:left="0" w:right="0"/>
      <w:contextualSpacing/>
    </w:pPr>
    <w:rPr/>
  </w:style>
  <w:style w:styleId="List" w:type="paragraph">
    <w:name w:val="List"/>
    <w:basedOn w:val="TextBody"/>
    <w:pPr/>
    <w:rPr>
      <w:rFonts w:cs="Droid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Droid Sans Devanagari"/>
    </w:rPr>
  </w:style>
  <w:style w:customStyle="1" w:styleId="FirstParagraph" w:type="paragraph">
    <w:name w:val="First Paragraph"/>
    <w:basedOn w:val="TextBody"/>
    <w:qFormat/>
    <w:pPr>
      <w:spacing w:after="0" w:before="187" w:line="480" w:lineRule="auto"/>
      <w:ind w:hanging="0" w:left="0" w:right="0"/>
      <w:contextualSpacing/>
    </w:pPr>
    <w:rPr>
      <w:rFonts w:ascii="Times" w:hAnsi="Times"/>
    </w:rPr>
  </w:style>
  <w:style w:customStyle="1" w:styleId="Compact" w:type="paragraph">
    <w:name w:val="Compact"/>
    <w:basedOn w:val="TextBody"/>
    <w:qFormat/>
    <w:pPr>
      <w:spacing w:after="36" w:before="36"/>
      <w:contextualSpacing/>
    </w:pPr>
    <w:rPr/>
  </w:style>
  <w:style w:styleId="Title" w:type="paragraph">
    <w:name w:val="Title"/>
    <w:basedOn w:val="Normal"/>
    <w:qFormat/>
    <w:pPr>
      <w:keepNext w:val="true"/>
      <w:keepLines/>
      <w:spacing w:after="240" w:before="480"/>
      <w:jc w:val="left"/>
    </w:pPr>
    <w:rPr>
      <w:rFonts w:ascii="Times" w:cs="" w:cstheme="majorBidi" w:eastAsia="" w:eastAsiaTheme="majorEastAsia" w:hAnsi="Times"/>
      <w:b/>
      <w:bCs/>
      <w:color w:themeShade="b5" w:val="auto"/>
      <w:sz w:val="36"/>
      <w:szCs w:val="36"/>
    </w:rPr>
  </w:style>
  <w:style w:styleId="Subtitle" w:type="paragraph">
    <w:name w:val="Subtitle"/>
    <w:basedOn w:val="Title"/>
    <w:qFormat/>
    <w:pPr>
      <w:keepNext w:val="true"/>
      <w:keepLines/>
      <w:spacing w:after="240" w:before="240"/>
      <w:jc w:val="center"/>
    </w:pPr>
    <w:rPr>
      <w:sz w:val="30"/>
      <w:szCs w:val="30"/>
    </w:rPr>
  </w:style>
  <w:style w:customStyle="1" w:styleId="Author" w:type="paragraph">
    <w:name w:val="Author"/>
    <w:qFormat/>
    <w:pPr>
      <w:keepNext w:val="true"/>
      <w:keepLines/>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qFormat/>
    <w:pPr>
      <w:keepNext w:val="true"/>
      <w:keepLines/>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uiPriority w:val="9"/>
    <w:unhideWhenUsed/>
    <w:qFormat/>
    <w:pPr>
      <w:spacing w:after="100" w:before="100"/>
      <w:ind w:hanging="0" w:left="0" w:right="0"/>
      <w:contextualSpacing/>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rPr/>
  </w:style>
  <w:style w:styleId="HeaderandFooter" w:type="paragraph">
    <w:name w:val="Header and Footer"/>
    <w:basedOn w:val="Normal"/>
    <w:qFormat/>
    <w:pPr>
      <w:suppressLineNumbers/>
      <w:tabs>
        <w:tab w:pos="720" w:val="clear"/>
        <w:tab w:leader="none" w:pos="4320" w:val="center"/>
        <w:tab w:leader="none" w:pos="864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styleId="Heading1NoNumber" w:type="paragraph">
    <w:name w:val="Heading 1 No Number"/>
    <w:basedOn w:val="Heading1"/>
    <w:qFormat/>
    <w:pPr/>
    <w:rPr/>
  </w:style>
  <w:style w:styleId="TextBodyIndent" w:type="paragraph">
    <w:name w:val="Body Text Indent"/>
    <w:basedOn w:val="TextBody"/>
    <w:qFormat/>
    <w:pPr>
      <w:ind w:firstLine="283" w:left="0" w:right="0"/>
    </w:pPr>
    <w:rPr/>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0" Target="https://doi.org/10.1002/9780470015902.a0022213" TargetMode="External" /><Relationship Type="http://schemas.openxmlformats.org/officeDocument/2006/relationships/hyperlink" Id="rId128" Target="https://doi.org/10.1002/ecy.2138" TargetMode="External" /><Relationship Type="http://schemas.openxmlformats.org/officeDocument/2006/relationships/hyperlink" Id="rId108" Target="https://doi.org/10.1007/978-3-642-38954-2\_382" TargetMode="External" /><Relationship Type="http://schemas.openxmlformats.org/officeDocument/2006/relationships/hyperlink" Id="rId142" Target="https://doi.org/10.1007/s00248-006-9103-3" TargetMode="External" /><Relationship Type="http://schemas.openxmlformats.org/officeDocument/2006/relationships/hyperlink" Id="rId58" Target="https://doi.org/10.1007/s00374-012-0691-4" TargetMode="External" /><Relationship Type="http://schemas.openxmlformats.org/officeDocument/2006/relationships/hyperlink" Id="rId87" Target="https://doi.org/10.1007/s10482-012-9739-6" TargetMode="External" /><Relationship Type="http://schemas.openxmlformats.org/officeDocument/2006/relationships/hyperlink" Id="rId44" Target="https://doi.org/10.1007/s10533-004-0372-y" TargetMode="External" /><Relationship Type="http://schemas.openxmlformats.org/officeDocument/2006/relationships/hyperlink" Id="rId81" Target="https://doi.org/10.1016/S0038-0717(01)00094-3" TargetMode="External" /><Relationship Type="http://schemas.openxmlformats.org/officeDocument/2006/relationships/hyperlink" Id="rId112" Target="https://doi.org/10.1016/j.envint.2020.106131" TargetMode="External" /><Relationship Type="http://schemas.openxmlformats.org/officeDocument/2006/relationships/hyperlink" Id="rId116" Target="https://doi.org/10.1016/j.tim.2022.04.003" TargetMode="External" /><Relationship Type="http://schemas.openxmlformats.org/officeDocument/2006/relationships/hyperlink" Id="rId104" Target="https://doi.org/10.1038/ismej.2012.160" TargetMode="External" /><Relationship Type="http://schemas.openxmlformats.org/officeDocument/2006/relationships/hyperlink" Id="rId136" Target="https://doi.org/10.1038/ismej.2013.145" TargetMode="External" /><Relationship Type="http://schemas.openxmlformats.org/officeDocument/2006/relationships/hyperlink" Id="rId119" Target="https://doi.org/10.1038/ismej.2014.196" TargetMode="External" /><Relationship Type="http://schemas.openxmlformats.org/officeDocument/2006/relationships/hyperlink" Id="rId124" Target="https://doi.org/10.1038/ismej.2014.252" TargetMode="External" /><Relationship Type="http://schemas.openxmlformats.org/officeDocument/2006/relationships/hyperlink" Id="rId95" Target="https://doi.org/10.1038/ngeo1955" TargetMode="External" /><Relationship Type="http://schemas.openxmlformats.org/officeDocument/2006/relationships/hyperlink" Id="rId52" Target="https://doi.org/10.1038/nmeth.3869" TargetMode="External" /><Relationship Type="http://schemas.openxmlformats.org/officeDocument/2006/relationships/hyperlink" Id="rId140" Target="https://doi.org/10.1038/s41467-019-12798-y" TargetMode="External" /><Relationship Type="http://schemas.openxmlformats.org/officeDocument/2006/relationships/hyperlink" Id="rId99" Target="https://doi.org/10.1038/s41467-020-17041-7" TargetMode="External" /><Relationship Type="http://schemas.openxmlformats.org/officeDocument/2006/relationships/hyperlink" Id="rId89" Target="https://doi.org/10.1038/s41579-019-0265-7" TargetMode="External" /><Relationship Type="http://schemas.openxmlformats.org/officeDocument/2006/relationships/hyperlink" Id="rId126" Target="https://doi.org/10.1046/j.1365-2486.1998.00195.x" TargetMode="External" /><Relationship Type="http://schemas.openxmlformats.org/officeDocument/2006/relationships/hyperlink" Id="rId54" Target="https://doi.org/10.1073/pnas.1000080107" TargetMode="External" /><Relationship Type="http://schemas.openxmlformats.org/officeDocument/2006/relationships/hyperlink" Id="rId138" Target="https://doi.org/10.1073/pnas.1320054111" TargetMode="External" /><Relationship Type="http://schemas.openxmlformats.org/officeDocument/2006/relationships/hyperlink" Id="rId134" Target="https://doi.org/10.1073/pnas.150237597" TargetMode="External" /><Relationship Type="http://schemas.openxmlformats.org/officeDocument/2006/relationships/hyperlink" Id="rId91" Target="https://doi.org/10.1093/femsle/fnz096" TargetMode="External" /><Relationship Type="http://schemas.openxmlformats.org/officeDocument/2006/relationships/hyperlink" Id="rId83" Target="https://doi.org/10.1093/jas/skac231" TargetMode="External" /><Relationship Type="http://schemas.openxmlformats.org/officeDocument/2006/relationships/hyperlink" Id="rId114" Target="https://doi.org/10.1098/rstb.2019.0244" TargetMode="External" /><Relationship Type="http://schemas.openxmlformats.org/officeDocument/2006/relationships/hyperlink" Id="rId66" Target="https://doi.org/10.1099/ijsem.0.001167" TargetMode="External" /><Relationship Type="http://schemas.openxmlformats.org/officeDocument/2006/relationships/hyperlink" Id="rId48" Target="https://doi.org/10.1111/ele.12486" TargetMode="External" /><Relationship Type="http://schemas.openxmlformats.org/officeDocument/2006/relationships/hyperlink" Id="rId122" Target="https://doi.org/10.1111/j.1574-6941.2007.00386.x" TargetMode="External" /><Relationship Type="http://schemas.openxmlformats.org/officeDocument/2006/relationships/hyperlink" Id="rId77" Target="https://doi.org/10.1111/j.1574-6941.2010.00871.x" TargetMode="External" /><Relationship Type="http://schemas.openxmlformats.org/officeDocument/2006/relationships/hyperlink" Id="rId110" Target="https://doi.org/10.1111/mec.15442" TargetMode="External" /><Relationship Type="http://schemas.openxmlformats.org/officeDocument/2006/relationships/hyperlink" Id="rId62" Target="https://doi.org/10.1126/science.aav0550" TargetMode="External" /><Relationship Type="http://schemas.openxmlformats.org/officeDocument/2006/relationships/hyperlink" Id="rId144" Target="https://doi.org/10.1128/AEM.00062-07" TargetMode="External" /><Relationship Type="http://schemas.openxmlformats.org/officeDocument/2006/relationships/hyperlink" Id="rId73" Target="https://doi.org/10.1128/AEM.01021-09" TargetMode="External" /><Relationship Type="http://schemas.openxmlformats.org/officeDocument/2006/relationships/hyperlink" Id="rId97" Target="https://doi.org/10.1128/AEM.01043-13" TargetMode="External" /><Relationship Type="http://schemas.openxmlformats.org/officeDocument/2006/relationships/hyperlink" Id="rId75" Target="https://doi.org/10.1128/AEM.69.3.1359-1371.2003" TargetMode="External" /><Relationship Type="http://schemas.openxmlformats.org/officeDocument/2006/relationships/hyperlink" Id="rId60" Target="https://doi.org/10.1128/mr.60.4.609-640.1996" TargetMode="External" /><Relationship Type="http://schemas.openxmlformats.org/officeDocument/2006/relationships/hyperlink" Id="rId71" Target="https://doi.org/10.1186/2049-2618-2-15" TargetMode="External" /><Relationship Type="http://schemas.openxmlformats.org/officeDocument/2006/relationships/hyperlink" Id="rId68" Target="https://doi.org/10.1186/2049-2618-2-6" TargetMode="External" /><Relationship Type="http://schemas.openxmlformats.org/officeDocument/2006/relationships/hyperlink" Id="rId64" Target="https://doi.org/10.1186/s40168-018-0605-2" TargetMode="External" /><Relationship Type="http://schemas.openxmlformats.org/officeDocument/2006/relationships/hyperlink" Id="rId102" Target="https://doi.org/10.1214/19-AOAS1283" TargetMode="External" /><Relationship Type="http://schemas.openxmlformats.org/officeDocument/2006/relationships/hyperlink" Id="rId56" Target="https://doi.org/10.1890/0012-9658(2000)081[1402:TFSODC]2.0.CO;2" TargetMode="External" /><Relationship Type="http://schemas.openxmlformats.org/officeDocument/2006/relationships/hyperlink" Id="rId106" Target="https://doi.org/10.1890/0012-9658(2001)082[0290:FMMTCD]2.0.CO;2" TargetMode="External" /><Relationship Type="http://schemas.openxmlformats.org/officeDocument/2006/relationships/hyperlink" Id="rId132" Target="https://doi.org/10.1890/08-0296.1" TargetMode="External" /><Relationship Type="http://schemas.openxmlformats.org/officeDocument/2006/relationships/hyperlink" Id="rId85" Target="https://doi.org/10.2307/1934145" TargetMode="External" /><Relationship Type="http://schemas.openxmlformats.org/officeDocument/2006/relationships/hyperlink" Id="rId50" Target="https://doi.org/10.2307/1942268" TargetMode="External" /><Relationship Type="http://schemas.openxmlformats.org/officeDocument/2006/relationships/hyperlink" Id="rId93" Target="https://doi.org/10.3389/fmicb.2017.02114" TargetMode="External" /><Relationship Type="http://schemas.openxmlformats.org/officeDocument/2006/relationships/hyperlink" Id="rId42" Target="https://github.com/amorris28/artificial_ecosystem_selection" TargetMode="External" /><Relationship Type="http://schemas.openxmlformats.org/officeDocument/2006/relationships/hyperlink" Id="rId46" Target="https://www.jstor.org/stable/2346101" TargetMode="External" /><Relationship Type="http://schemas.openxmlformats.org/officeDocument/2006/relationships/hyperlink" Id="rId41" Target="https://www.ncbi.nlm.nih.gov/sra/PRJNA832314" TargetMode="External" /></Relationships>
</file>

<file path=word/_rels/footnotes.xml.rels><?xml version="1.0" encoding="UTF-8"?><Relationships xmlns="http://schemas.openxmlformats.org/package/2006/relationships"><Relationship Type="http://schemas.openxmlformats.org/officeDocument/2006/relationships/hyperlink" Id="rId130" Target="https://doi.org/10.1002/9780470015902.a0022213" TargetMode="External" /><Relationship Type="http://schemas.openxmlformats.org/officeDocument/2006/relationships/hyperlink" Id="rId128" Target="https://doi.org/10.1002/ecy.2138" TargetMode="External" /><Relationship Type="http://schemas.openxmlformats.org/officeDocument/2006/relationships/hyperlink" Id="rId108" Target="https://doi.org/10.1007/978-3-642-38954-2\_382" TargetMode="External" /><Relationship Type="http://schemas.openxmlformats.org/officeDocument/2006/relationships/hyperlink" Id="rId142" Target="https://doi.org/10.1007/s00248-006-9103-3" TargetMode="External" /><Relationship Type="http://schemas.openxmlformats.org/officeDocument/2006/relationships/hyperlink" Id="rId58" Target="https://doi.org/10.1007/s00374-012-0691-4" TargetMode="External" /><Relationship Type="http://schemas.openxmlformats.org/officeDocument/2006/relationships/hyperlink" Id="rId87" Target="https://doi.org/10.1007/s10482-012-9739-6" TargetMode="External" /><Relationship Type="http://schemas.openxmlformats.org/officeDocument/2006/relationships/hyperlink" Id="rId44" Target="https://doi.org/10.1007/s10533-004-0372-y" TargetMode="External" /><Relationship Type="http://schemas.openxmlformats.org/officeDocument/2006/relationships/hyperlink" Id="rId81" Target="https://doi.org/10.1016/S0038-0717(01)00094-3" TargetMode="External" /><Relationship Type="http://schemas.openxmlformats.org/officeDocument/2006/relationships/hyperlink" Id="rId112" Target="https://doi.org/10.1016/j.envint.2020.106131" TargetMode="External" /><Relationship Type="http://schemas.openxmlformats.org/officeDocument/2006/relationships/hyperlink" Id="rId116" Target="https://doi.org/10.1016/j.tim.2022.04.003" TargetMode="External" /><Relationship Type="http://schemas.openxmlformats.org/officeDocument/2006/relationships/hyperlink" Id="rId104" Target="https://doi.org/10.1038/ismej.2012.160" TargetMode="External" /><Relationship Type="http://schemas.openxmlformats.org/officeDocument/2006/relationships/hyperlink" Id="rId136" Target="https://doi.org/10.1038/ismej.2013.145" TargetMode="External" /><Relationship Type="http://schemas.openxmlformats.org/officeDocument/2006/relationships/hyperlink" Id="rId119" Target="https://doi.org/10.1038/ismej.2014.196" TargetMode="External" /><Relationship Type="http://schemas.openxmlformats.org/officeDocument/2006/relationships/hyperlink" Id="rId124" Target="https://doi.org/10.1038/ismej.2014.252" TargetMode="External" /><Relationship Type="http://schemas.openxmlformats.org/officeDocument/2006/relationships/hyperlink" Id="rId95" Target="https://doi.org/10.1038/ngeo1955" TargetMode="External" /><Relationship Type="http://schemas.openxmlformats.org/officeDocument/2006/relationships/hyperlink" Id="rId52" Target="https://doi.org/10.1038/nmeth.3869" TargetMode="External" /><Relationship Type="http://schemas.openxmlformats.org/officeDocument/2006/relationships/hyperlink" Id="rId140" Target="https://doi.org/10.1038/s41467-019-12798-y" TargetMode="External" /><Relationship Type="http://schemas.openxmlformats.org/officeDocument/2006/relationships/hyperlink" Id="rId99" Target="https://doi.org/10.1038/s41467-020-17041-7" TargetMode="External" /><Relationship Type="http://schemas.openxmlformats.org/officeDocument/2006/relationships/hyperlink" Id="rId89" Target="https://doi.org/10.1038/s41579-019-0265-7" TargetMode="External" /><Relationship Type="http://schemas.openxmlformats.org/officeDocument/2006/relationships/hyperlink" Id="rId126" Target="https://doi.org/10.1046/j.1365-2486.1998.00195.x" TargetMode="External" /><Relationship Type="http://schemas.openxmlformats.org/officeDocument/2006/relationships/hyperlink" Id="rId54" Target="https://doi.org/10.1073/pnas.1000080107" TargetMode="External" /><Relationship Type="http://schemas.openxmlformats.org/officeDocument/2006/relationships/hyperlink" Id="rId138" Target="https://doi.org/10.1073/pnas.1320054111" TargetMode="External" /><Relationship Type="http://schemas.openxmlformats.org/officeDocument/2006/relationships/hyperlink" Id="rId134" Target="https://doi.org/10.1073/pnas.150237597" TargetMode="External" /><Relationship Type="http://schemas.openxmlformats.org/officeDocument/2006/relationships/hyperlink" Id="rId91" Target="https://doi.org/10.1093/femsle/fnz096" TargetMode="External" /><Relationship Type="http://schemas.openxmlformats.org/officeDocument/2006/relationships/hyperlink" Id="rId83" Target="https://doi.org/10.1093/jas/skac231" TargetMode="External" /><Relationship Type="http://schemas.openxmlformats.org/officeDocument/2006/relationships/hyperlink" Id="rId114" Target="https://doi.org/10.1098/rstb.2019.0244" TargetMode="External" /><Relationship Type="http://schemas.openxmlformats.org/officeDocument/2006/relationships/hyperlink" Id="rId66" Target="https://doi.org/10.1099/ijsem.0.001167" TargetMode="External" /><Relationship Type="http://schemas.openxmlformats.org/officeDocument/2006/relationships/hyperlink" Id="rId48" Target="https://doi.org/10.1111/ele.12486" TargetMode="External" /><Relationship Type="http://schemas.openxmlformats.org/officeDocument/2006/relationships/hyperlink" Id="rId122" Target="https://doi.org/10.1111/j.1574-6941.2007.00386.x" TargetMode="External" /><Relationship Type="http://schemas.openxmlformats.org/officeDocument/2006/relationships/hyperlink" Id="rId77" Target="https://doi.org/10.1111/j.1574-6941.2010.00871.x" TargetMode="External" /><Relationship Type="http://schemas.openxmlformats.org/officeDocument/2006/relationships/hyperlink" Id="rId110" Target="https://doi.org/10.1111/mec.15442" TargetMode="External" /><Relationship Type="http://schemas.openxmlformats.org/officeDocument/2006/relationships/hyperlink" Id="rId62" Target="https://doi.org/10.1126/science.aav0550" TargetMode="External" /><Relationship Type="http://schemas.openxmlformats.org/officeDocument/2006/relationships/hyperlink" Id="rId144" Target="https://doi.org/10.1128/AEM.00062-07" TargetMode="External" /><Relationship Type="http://schemas.openxmlformats.org/officeDocument/2006/relationships/hyperlink" Id="rId73" Target="https://doi.org/10.1128/AEM.01021-09" TargetMode="External" /><Relationship Type="http://schemas.openxmlformats.org/officeDocument/2006/relationships/hyperlink" Id="rId97" Target="https://doi.org/10.1128/AEM.01043-13" TargetMode="External" /><Relationship Type="http://schemas.openxmlformats.org/officeDocument/2006/relationships/hyperlink" Id="rId75" Target="https://doi.org/10.1128/AEM.69.3.1359-1371.2003" TargetMode="External" /><Relationship Type="http://schemas.openxmlformats.org/officeDocument/2006/relationships/hyperlink" Id="rId60" Target="https://doi.org/10.1128/mr.60.4.609-640.1996" TargetMode="External" /><Relationship Type="http://schemas.openxmlformats.org/officeDocument/2006/relationships/hyperlink" Id="rId71" Target="https://doi.org/10.1186/2049-2618-2-15" TargetMode="External" /><Relationship Type="http://schemas.openxmlformats.org/officeDocument/2006/relationships/hyperlink" Id="rId68" Target="https://doi.org/10.1186/2049-2618-2-6" TargetMode="External" /><Relationship Type="http://schemas.openxmlformats.org/officeDocument/2006/relationships/hyperlink" Id="rId64" Target="https://doi.org/10.1186/s40168-018-0605-2" TargetMode="External" /><Relationship Type="http://schemas.openxmlformats.org/officeDocument/2006/relationships/hyperlink" Id="rId102" Target="https://doi.org/10.1214/19-AOAS1283" TargetMode="External" /><Relationship Type="http://schemas.openxmlformats.org/officeDocument/2006/relationships/hyperlink" Id="rId56" Target="https://doi.org/10.1890/0012-9658(2000)081[1402:TFSODC]2.0.CO;2" TargetMode="External" /><Relationship Type="http://schemas.openxmlformats.org/officeDocument/2006/relationships/hyperlink" Id="rId106" Target="https://doi.org/10.1890/0012-9658(2001)082[0290:FMMTCD]2.0.CO;2" TargetMode="External" /><Relationship Type="http://schemas.openxmlformats.org/officeDocument/2006/relationships/hyperlink" Id="rId132" Target="https://doi.org/10.1890/08-0296.1" TargetMode="External" /><Relationship Type="http://schemas.openxmlformats.org/officeDocument/2006/relationships/hyperlink" Id="rId85" Target="https://doi.org/10.2307/1934145" TargetMode="External" /><Relationship Type="http://schemas.openxmlformats.org/officeDocument/2006/relationships/hyperlink" Id="rId50" Target="https://doi.org/10.2307/1942268" TargetMode="External" /><Relationship Type="http://schemas.openxmlformats.org/officeDocument/2006/relationships/hyperlink" Id="rId93" Target="https://doi.org/10.3389/fmicb.2017.02114" TargetMode="External" /><Relationship Type="http://schemas.openxmlformats.org/officeDocument/2006/relationships/hyperlink" Id="rId42" Target="https://github.com/amorris28/artificial_ecosystem_selection" TargetMode="External" /><Relationship Type="http://schemas.openxmlformats.org/officeDocument/2006/relationships/hyperlink" Id="rId46" Target="https://www.jstor.org/stable/2346101" TargetMode="External" /><Relationship Type="http://schemas.openxmlformats.org/officeDocument/2006/relationships/hyperlink" Id="rId41" Target="https://www.ncbi.nlm.nih.gov/sra/PRJNA8323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LibreOffice/6.4.7.2$Linux_X86_64 LibreOffice_project/40$Build-2</Application>
  <Pages>1</Pages>
  <Words>2</Words>
  <Characters>9</Characters>
  <CharactersWithSpaces>10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of soil microbiome composition to selection on methane oxidation rate</dc:title>
  <dc:creator>Andrew H. Morris1* and Brendan J. M. Bohannan1</dc:creator>
  <cp:keywords/>
  <dcterms:created xsi:type="dcterms:W3CDTF">2023-12-22T16:17:02Z</dcterms:created>
  <dcterms:modified xsi:type="dcterms:W3CDTF">2023-12-22T16:17:02Z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soil-biology-and-biochemistry.csl</vt:lpwstr>
  </property>
  <property fmtid="{D5CDD505-2E9C-101B-9397-08002B2CF9AE}" pid="4" name="output">
    <vt:lpwstr/>
  </property>
</Properties>
</file>