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To address these challenges, we imposed artificial</w:t>
      </w:r>
      <w:r>
        <w:t xml:space="preserve"> </w:t>
      </w:r>
      <w:r>
        <w:t xml:space="preserve">selection on whole soil ecosystems over multiple generations to select for microbial communities</w:t>
      </w:r>
      <w:r>
        <w:t xml:space="preserve"> </w:t>
      </w:r>
      <w:r>
        <w:t xml:space="preserve">with a high rate of CH</w:t>
      </w:r>
      <w:r>
        <w:rPr>
          <w:vertAlign w:val="subscript"/>
        </w:rPr>
        <w:t xml:space="preserve">4</w:t>
      </w:r>
      <w:r>
        <w:t xml:space="preserve"> </w:t>
      </w:r>
      <w:r>
        <w:t xml:space="preserve">oxidation. This approach</w:t>
      </w:r>
      <w:r>
        <w:t xml:space="preserve"> </w:t>
      </w:r>
      <w:r>
        <w:t xml:space="preserve">is potentially powerful because it is biologically</w:t>
      </w:r>
      <w:r>
        <w:t xml:space="preserve"> </w:t>
      </w:r>
      <w:r>
        <w:t xml:space="preserve">“</w:t>
      </w:r>
      <w:r>
        <w:t xml:space="preserve">agnostic</w:t>
      </w:r>
      <w:r>
        <w:t xml:space="preserve">”</w:t>
      </w:r>
      <w:r>
        <w:t xml:space="preserve"> </w:t>
      </w:r>
      <w:r>
        <w:t xml:space="preserve">in</w:t>
      </w:r>
      <w:r>
        <w:t xml:space="preserve"> </w:t>
      </w:r>
      <w:r>
        <w:t xml:space="preserve">that it makes few assumptions about which taxa are important to function, and</w:t>
      </w:r>
      <w:r>
        <w:t xml:space="preserve"> </w:t>
      </w:r>
      <w:r>
        <w:t xml:space="preserve">repeated passaging with fresh substrate weakens the covariance between microbes</w:t>
      </w:r>
      <w:r>
        <w:t xml:space="preserve"> </w:t>
      </w:r>
      <w:r>
        <w:t xml:space="preserve">and the environment. As a response to selection, we observed a</w:t>
      </w:r>
      <w:r>
        <w:t xml:space="preserve"> </w:t>
      </w:r>
      <w:r>
        <w:t xml:space="preserve">50.7% increase in</w:t>
      </w:r>
      <w:r>
        <w:t xml:space="preserve"> </w:t>
      </w:r>
      <w:r>
        <w:t xml:space="preserve">CH</w:t>
      </w:r>
      <w:r>
        <w:rPr>
          <w:vertAlign w:val="subscript"/>
        </w:rPr>
        <w:t xml:space="preserve">4</w:t>
      </w:r>
      <w:r>
        <w:t xml:space="preserve"> </w:t>
      </w:r>
      <w:r>
        <w:t xml:space="preserve">oxidation rate per passage relative to a control that experienced</w:t>
      </w:r>
      <w:r>
        <w:t xml:space="preserve"> </w:t>
      </w:r>
      <w:r>
        <w:t xml:space="preserve">random selection.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(though this was not significant).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w:t>
      </w:r>
      <w:r>
        <w:t xml:space="preserve"> </w:t>
      </w:r>
      <w:r>
        <w:t xml:space="preserve">independent of the environment and that this may not always be limited by the final step</w:t>
      </w:r>
      <w:r>
        <w:t xml:space="preserve"> </w:t>
      </w:r>
      <w:r>
        <w:t xml:space="preserve">in a pathway. This suggests</w:t>
      </w:r>
      <w:r>
        <w:t xml:space="preserve"> </w:t>
      </w:r>
      <w:r>
        <w:t xml:space="preserve">that manipulating microbiome composition directly without altering the environment</w:t>
      </w:r>
      <w:r>
        <w:t xml:space="preserve"> </w:t>
      </w:r>
      <w:r>
        <w:t xml:space="preserve">could be a viable strategy for managing</w:t>
      </w:r>
      <w:r>
        <w:t xml:space="preserve"> </w:t>
      </w:r>
      <w:r>
        <w:t xml:space="preserve">ecosystem functions.</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(10)</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By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(17)</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(2,23)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 (</w:t>
      </w:r>
      <w:r>
        <w:rPr>
          <w:i/>
        </w:rPr>
        <w:t xml:space="preserve">sensu</w:t>
      </w:r>
      <w:r>
        <w:t xml:space="preserve"> </w:t>
      </w:r>
      <w:r>
        <w:t xml:space="preserve">(14)</w:t>
      </w:r>
      <w:r>
        <w:t xml:space="preserve">)</w:t>
      </w:r>
      <w:r>
        <w:t xml:space="preserve"> </w:t>
      </w:r>
      <w:r>
        <w:t xml:space="preserve">by passaging replicate soil microbiomes. The trait we selected on was soil CH</w:t>
      </w:r>
      <w:r>
        <w:rPr>
          <w:vertAlign w:val="subscript"/>
        </w:rPr>
        <w:t xml:space="preserve">4</w:t>
      </w:r>
      <w:r>
        <w:t xml:space="preserve"> </w:t>
      </w:r>
      <w:r>
        <w:t xml:space="preserve">oxidation rate. Soil microcosms were incubated at room temperature in sealed</w:t>
      </w:r>
      <w:r>
        <w:t xml:space="preserve"> </w:t>
      </w:r>
      <w:r>
        <w:t xml:space="preserve">500 mL glass jars with a rubber septum for gas sampling. Each jar was sterilized</w:t>
      </w:r>
      <w:r>
        <w:t xml:space="preserve"> </w:t>
      </w:r>
      <w:r>
        <w:t xml:space="preserve">with 70% ethanol and was composed of 45 g of autoclaved artificial potting mix,</w:t>
      </w:r>
      <w:r>
        <w:t xml:space="preserve"> </w:t>
      </w:r>
      <w:r>
        <w:t xml:space="preserve">5 g of living soil inoculum, and 3.5 mL of sterile deionized water to bring the</w:t>
      </w:r>
      <w:r>
        <w:t xml:space="preserve"> </w:t>
      </w:r>
      <w:r>
        <w:t xml:space="preserve">soil to 60% of field capacity. The potting mix consisted of bark fines, peat</w:t>
      </w:r>
      <w:r>
        <w:t xml:space="preserve"> </w:t>
      </w:r>
      <w:r>
        <w:t xml:space="preserve">moss, pumice, sand, composted manure, and biochar (Lane Potting Mix, Lane Forest</w:t>
      </w:r>
      <w:r>
        <w:t xml:space="preserve"> </w:t>
      </w:r>
      <w:r>
        <w:t xml:space="preserve">Products, Eugene, OR). The initial soil microbiome inoculum was sampled from the</w:t>
      </w:r>
      <w:r>
        <w:t xml:space="preserve"> </w:t>
      </w:r>
      <w:r>
        <w:t xml:space="preserve">top 10 cm of an upland mineral soil under a deciduous forest ecosystem near the</w:t>
      </w:r>
      <w:r>
        <w:t xml:space="preserve"> </w:t>
      </w:r>
      <w:r>
        <w:t xml:space="preserve">University of Oregon campus in Eugene, OR, USA. Each jar</w:t>
      </w:r>
      <w:r>
        <w:t xml:space="preserve"> </w:t>
      </w:r>
      <w:r>
        <w:t xml:space="preserve">was capped and injected with 4.3 mL of 99% CH</w:t>
      </w:r>
      <w:r>
        <w:rPr>
          <w:vertAlign w:val="subscript"/>
        </w:rPr>
        <w:t xml:space="preserve">4</w:t>
      </w:r>
      <w:r>
        <w:t xml:space="preserve">, which produced a mean</w:t>
      </w:r>
      <w:r>
        <w:t xml:space="preserve"> </w:t>
      </w:r>
      <w:r>
        <w:t xml:space="preserve">headspace concentration of 763.9 ppm (SD = 183.1). Twice per week, jars were</w:t>
      </w:r>
      <w:r>
        <w:t xml:space="preserve"> </w:t>
      </w:r>
      <w:r>
        <w:t xml:space="preserve">flushed in a biosafety cabinet (to avoid contamination) and respiked with CH</w:t>
      </w:r>
      <w:r>
        <w:rPr>
          <w:vertAlign w:val="subscript"/>
        </w:rPr>
        <w:t xml:space="preserve">4</w:t>
      </w:r>
      <w:r>
        <w:t xml:space="preserve"> </w:t>
      </w:r>
      <w:r>
        <w:t xml:space="preserve">to maintain aerobic conditions and elevated CH</w:t>
      </w:r>
      <w:r>
        <w:rPr>
          <w:vertAlign w:val="subscript"/>
        </w:rPr>
        <w:t xml:space="preserve">4</w:t>
      </w:r>
      <w:r>
        <w:t xml:space="preserve"> </w:t>
      </w:r>
      <w:r>
        <w:t xml:space="preserve">concentrations.</w:t>
      </w:r>
    </w:p>
    <w:p>
      <w:pPr>
        <w:pStyle w:val="TextBody"/>
      </w:pPr>
      <w:r>
        <w:t xml:space="preserve">For the selection experiment, we created two lines of soil microcosms with 12</w:t>
      </w:r>
      <w:r>
        <w:t xml:space="preserve"> </w:t>
      </w:r>
      <w:r>
        <w:t xml:space="preserve">jars each: a control line with random selection and an experimental line with</w:t>
      </w:r>
      <w:r>
        <w:t xml:space="preserve"> </w:t>
      </w:r>
      <w:r>
        <w:t xml:space="preserve">directional selection for greater soil CH</w:t>
      </w:r>
      <w:r>
        <w:rPr>
          <w:vertAlign w:val="subscript"/>
        </w:rPr>
        <w:t xml:space="preserve">4</w:t>
      </w:r>
      <w:r>
        <w:t xml:space="preserve"> </w:t>
      </w:r>
      <w:r>
        <w:t xml:space="preserve">oxidation rate. The selection line</w:t>
      </w:r>
      <w:r>
        <w:t xml:space="preserve"> </w:t>
      </w:r>
      <w:r>
        <w:t xml:space="preserve">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three jars were chosen in all generations except for passage 3</w:t>
      </w:r>
      <w:r>
        <w:t xml:space="preserve"> </w:t>
      </w:r>
      <w:r>
        <w:t xml:space="preserve">where two jars were selected. The experiment was carried out over five passages</w:t>
      </w:r>
      <w:r>
        <w:t xml:space="preserve"> </w:t>
      </w:r>
      <w:r>
        <w:t xml:space="preserve">with an average</w:t>
      </w:r>
      <w:r>
        <w:t xml:space="preserve"> </w:t>
      </w:r>
      <w:r>
        <w:t xml:space="preserve">incubation time per generation of four weeks.</w:t>
      </w:r>
      <w:r>
        <w:t xml:space="preserve"> </w:t>
      </w:r>
      <w:r>
        <w:t xml:space="preserve">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as the</w:t>
      </w:r>
      <w:r>
        <w:t xml:space="preserve"> </w:t>
      </w:r>
      <w:r>
        <w:t xml:space="preserve">living soil inoculum for the next generation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to inoculate passage three for the positive</w:t>
      </w:r>
      <w:r>
        <w:t xml:space="preserve"> </w:t>
      </w:r>
      <w:r>
        <w:t xml:space="preserve">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(24)</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(25,26)</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(27)</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(28)</w:t>
      </w:r>
      <w:r>
        <w:t xml:space="preserve">. Taxonomic assignment was performed</w:t>
      </w:r>
      <w:r>
        <w:t xml:space="preserve"> </w:t>
      </w:r>
      <w:r>
        <w:t xml:space="preserve">using the Ribosomal Database Project naive Bayesian classifier</w:t>
      </w:r>
      <w:r>
        <w:t xml:space="preserve"> </w:t>
      </w:r>
      <w:r>
        <w:t xml:space="preserve">(29)</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by comparing samples to extraction controls of</w:t>
      </w:r>
      <w:r>
        <w:t xml:space="preserve"> </w:t>
      </w:r>
      <w:r>
        <w:t xml:space="preserve">water</w:t>
      </w:r>
      <w:r>
        <w:t xml:space="preserve"> </w:t>
      </w:r>
      <w:r>
        <w:t xml:space="preserve">(30)</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(27)</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Following transformation, these assumptions</w:t>
      </w:r>
      <w:r>
        <w:t xml:space="preserve"> </w:t>
      </w:r>
      <w:r>
        <w:t xml:space="preserve">were met.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as the regression of divergence between the positive</w:t>
      </w:r>
      <w:r>
        <w:t xml:space="preserve"> </w:t>
      </w:r>
      <w:r>
        <w:t xml:space="preserve">line and the control on the cumulative selection differential</w:t>
      </w:r>
      <w:r>
        <w:t xml:space="preserve"> </w:t>
      </w:r>
      <w:r>
        <w:t xml:space="preserve">(31)</w:t>
      </w:r>
      <w:r>
        <w:t xml:space="preserve">.</w:t>
      </w:r>
      <w:r>
        <w:t xml:space="preserve"> </w:t>
      </w:r>
      <w:r>
        <w:t xml:space="preserve">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(32)</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w:t>
      </w:r>
      <w:r>
        <w:t xml:space="preserve"> </w:t>
      </w:r>
      <w:r>
        <w:t xml:space="preserve">Divergence was calculated as the mean CH</w:t>
      </w:r>
      <w:r>
        <w:rPr>
          <w:vertAlign w:val="subscript"/>
        </w:rPr>
        <w:t xml:space="preserve">4</w:t>
      </w:r>
      <w:r>
        <w:t xml:space="preserve"> </w:t>
      </w:r>
      <w:r>
        <w:t xml:space="preserve">oxidation rate of the positive</w:t>
      </w:r>
      <w:r>
        <w:t xml:space="preserve"> </w:t>
      </w:r>
      <w:r>
        <w:t xml:space="preserve">treatment minus the mean CH</w:t>
      </w:r>
      <w:r>
        <w:rPr>
          <w:vertAlign w:val="subscript"/>
        </w:rPr>
        <w:t xml:space="preserve">4</w:t>
      </w:r>
      <w:r>
        <w:t xml:space="preserve"> </w:t>
      </w:r>
      <w:r>
        <w:t xml:space="preserve">oxidation rate of the control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 We report</w:t>
      </w:r>
      <w:r>
        <w:t xml:space="preserve"> </w:t>
      </w:r>
      <w:r>
        <w:t xml:space="preserve">the slope as a percent change by back-calculating the percent change from the</w:t>
      </w:r>
      <w:r>
        <w:t xml:space="preserve"> </w:t>
      </w:r>
      <w:r>
        <w:t xml:space="preserve">log-transformed data into the original units using the formula</w:t>
      </w:r>
      <w:r>
        <w:t xml:space="preserve"> </w:t>
      </w:r>
      <m:oMath>
        <m:r>
          <m:t>(</m:t>
        </m:r>
        <m:sSup>
          <m:e>
            <m:r>
              <m:t>10</m:t>
            </m:r>
          </m:e>
          <m:sup>
            <m:r>
              <m:t>β</m:t>
            </m:r>
          </m:sup>
        </m:sSup>
        <m:r>
          <m:t>−</m:t>
        </m:r>
        <m:r>
          <m:t>1</m:t>
        </m:r>
        <m:r>
          <m:t>)</m:t>
        </m:r>
        <m:r>
          <m:t>*</m:t>
        </m:r>
        <m:r>
          <m:t>100</m:t>
        </m:r>
      </m:oMath>
      <w:r>
        <w:t xml:space="preserve"> </w:t>
      </w:r>
      <w:r>
        <w:t xml:space="preserve">where</w:t>
      </w:r>
      <w:r>
        <w:t xml:space="preserve"> </w:t>
      </w:r>
      <m:oMath>
        <m:r>
          <m:t>β</m:t>
        </m:r>
      </m:oMath>
      <w:r>
        <w:t xml:space="preserve"> </w:t>
      </w:r>
      <w:r>
        <w:t xml:space="preserve">is the slope.</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We chose this level of agglomeration</w:t>
      </w:r>
      <w:r>
        <w:t xml:space="preserve"> </w:t>
      </w:r>
      <w:r>
        <w:t xml:space="preserve">because CH</w:t>
      </w:r>
      <w:r>
        <w:rPr>
          <w:vertAlign w:val="subscript"/>
        </w:rPr>
        <w:t xml:space="preserve">4</w:t>
      </w:r>
      <w:r>
        <w:t xml:space="preserve"> </w:t>
      </w:r>
      <w:r>
        <w:t xml:space="preserve">oxidation</w:t>
      </w:r>
      <w:r>
        <w:t xml:space="preserve"> </w:t>
      </w:r>
      <w:r>
        <w:t xml:space="preserve">is a relatively deeply conserved function</w:t>
      </w:r>
      <w:r>
        <w:t xml:space="preserve"> </w:t>
      </w:r>
      <w:r>
        <w:t xml:space="preserve">(23)</w:t>
      </w:r>
      <w:r>
        <w:t xml:space="preserve"> </w:t>
      </w:r>
      <w:r>
        <w:t xml:space="preserve">and is restricted to</w:t>
      </w:r>
      <w:r>
        <w:t xml:space="preserve"> </w:t>
      </w:r>
      <w:r>
        <w:t xml:space="preserve">a handful of bacterial and archaeal families</w:t>
      </w:r>
      <w:r>
        <w:t xml:space="preserve"> </w:t>
      </w:r>
      <w:r>
        <w:t xml:space="preserve">(37)</w:t>
      </w:r>
      <w:r>
        <w:t xml:space="preserve">. Therefore, we are most</w:t>
      </w:r>
      <w:r>
        <w:t xml:space="preserve"> </w:t>
      </w:r>
      <w:r>
        <w:t xml:space="preserve">likely to detect an enrichment of methanotrophs at this taxonomic scale.</w:t>
      </w:r>
      <w:r>
        <w:t xml:space="preserve"> </w:t>
      </w:r>
      <w:r>
        <w:t xml:space="preserve">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(38–41)</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(38,39)</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(40)</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(41)</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 For each test, p-values were adjusted</w:t>
      </w:r>
      <w:r>
        <w:t xml:space="preserve"> </w:t>
      </w:r>
      <w:r>
        <w:t xml:space="preserve">for multiple testing by controlling the false discovery rate using the</w:t>
      </w:r>
      <w:r>
        <w:t xml:space="preserve"> </w:t>
      </w:r>
      <w:r>
        <w:t xml:space="preserve">Banjamini-Hochberg procedure</w:t>
      </w:r>
      <w:r>
        <w:t xml:space="preserve"> </w:t>
      </w:r>
      <w:r>
        <w:t xml:space="preserve">(42)</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composition–i.e., microbiability–we regressed divergence between the</w:t>
      </w:r>
      <w:r>
        <w:t xml:space="preserve"> </w:t>
      </w:r>
      <w:r>
        <w:t xml:space="preserve">positive selection treatment and the control against the cumulative selection</w:t>
      </w:r>
      <w:r>
        <w:t xml:space="preserve"> </w:t>
      </w:r>
      <w:r>
        <w:t xml:space="preserve">differential. The microbiability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Passage 2: p = 0.66,</w:t>
      </w:r>
      <w:r>
        <w:t xml:space="preserve"> </w:t>
      </w:r>
      <w:r>
        <w:t xml:space="preserve">Passage 5: p = 0.67).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0.010)</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4).</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(43)</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(44)</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(45)</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
        </w:rPr>
        <w:t xml:space="preserve">Fimbriimonadaceae</w:t>
      </w:r>
      <w:r>
        <w:t xml:space="preserve"> </w:t>
      </w:r>
      <w:r>
        <w:t xml:space="preserve">and</w:t>
      </w:r>
      <w:r>
        <w:t xml:space="preserve"> </w:t>
      </w:r>
      <w:r>
        <w:t xml:space="preserve">an unclassified ASV from the order Armatimonadales</w:t>
      </w:r>
      <w:r>
        <w:t xml:space="preserve"> </w:t>
      </w:r>
      <w:r>
        <w:t xml:space="preserve">(46)</w:t>
      </w:r>
      <w:r>
        <w:t xml:space="preserve">.</w:t>
      </w:r>
      <w:r>
        <w:t xml:space="preserve"> </w:t>
      </w:r>
      <w:r>
        <w:rPr>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(47)</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selection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selection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(48,49)</w:t>
      </w:r>
      <w:r>
        <w:t xml:space="preserve">. Based on this analysis,</w:t>
      </w:r>
      <w:r>
        <w:t xml:space="preserve"> </w:t>
      </w:r>
      <w:r>
        <w:t xml:space="preserve">it appears that no methanotrophs were enriched in the positive selection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(31)</w:t>
      </w:r>
      <w:r>
        <w:t xml:space="preserve">. We can</w:t>
      </w:r>
      <w:r>
        <w:t xml:space="preserve"> </w:t>
      </w:r>
      <w:r>
        <w:t xml:space="preserve">calculate the response to selection as the difference between two successive</w:t>
      </w:r>
      <w:r>
        <w:t xml:space="preserve"> </w:t>
      </w:r>
      <w:r>
        <w:t xml:space="preserve">passages in their mean CH</w:t>
      </w:r>
      <w:r>
        <w:rPr>
          <w:vertAlign w:val="subscript"/>
        </w:rPr>
        <w:t xml:space="preserve">4</w:t>
      </w:r>
      <w:r>
        <w:t xml:space="preserve"> </w:t>
      </w:r>
      <w:r>
        <w:t xml:space="preserve">oxidation rate. We will denote this as</w:t>
      </w:r>
      <w:r>
        <w:t xml:space="preserve"> </w:t>
      </w:r>
      <m:oMath>
        <m:r>
          <m:t>R</m:t>
        </m:r>
      </m:oMath>
      <w:r>
        <w:t xml:space="preserve">. We</w:t>
      </w:r>
      <w:r>
        <w:t xml:space="preserve"> </w:t>
      </w:r>
      <w:r>
        <w:t xml:space="preserve">can also calculate the strength of selection as the difference in mean CH</w:t>
      </w:r>
      <w:r>
        <w:rPr>
          <w:vertAlign w:val="subscript"/>
        </w:rPr>
        <w:t xml:space="preserve">4</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CH</w:t>
      </w:r>
      <w:r>
        <w:rPr>
          <w:vertAlign w:val="subscript"/>
        </w:rPr>
        <w:t xml:space="preserve">4</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The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(50)</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(32)</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w:t>
      </w:r>
      <w:r>
        <w:t xml:space="preserve"> </w:t>
      </w:r>
      <w:r>
        <w:t xml:space="preserve">31.5% of the</w:t>
      </w:r>
      <w:r>
        <w:t xml:space="preserve"> </w:t>
      </w:r>
      <w:r>
        <w:t xml:space="preserve">variation we observed in the rate of CH</w:t>
      </w:r>
      <w:r>
        <w:rPr>
          <w:vertAlign w:val="subscript"/>
        </w:rPr>
        <w:t xml:space="preserve">4</w:t>
      </w:r>
      <w:r>
        <w:t xml:space="preserve"> </w:t>
      </w:r>
      <w:r>
        <w:t xml:space="preserve">oxidation, though this was not</w:t>
      </w:r>
      <w:r>
        <w:t xml:space="preserve"> </w:t>
      </w:r>
      <w:r>
        <w:t xml:space="preserve">significant. However, we did observe a significant divergence between the</w:t>
      </w:r>
      <w:r>
        <w:t xml:space="preserve"> </w:t>
      </w:r>
      <w:r>
        <w:t xml:space="preserve">positive selection and control lines, which suggests that the imposed</w:t>
      </w:r>
      <w:r>
        <w:t xml:space="preserve"> </w:t>
      </w:r>
      <w:r>
        <w:t xml:space="preserve">selection and passaging of microbiomes was sufficient to generate</w:t>
      </w:r>
      <w:r>
        <w:t xml:space="preserve"> </w:t>
      </w:r>
      <w:r>
        <w:t xml:space="preserve">variation in soil CH</w:t>
      </w:r>
      <w:r>
        <w:rPr>
          <w:vertAlign w:val="subscript"/>
        </w:rPr>
        <w:t xml:space="preserve">4</w:t>
      </w:r>
      <w:r>
        <w:t xml:space="preserve"> </w:t>
      </w:r>
      <w:r>
        <w:t xml:space="preserve">oxidation rate. Future studies with</w:t>
      </w:r>
      <w:r>
        <w:t xml:space="preserve"> </w:t>
      </w:r>
      <w:r>
        <w:t xml:space="preserve">greater replication could more precisely estimate the microbiability.</w:t>
      </w:r>
      <w:r>
        <w:t xml:space="preserve"> </w:t>
      </w:r>
      <w:r>
        <w:t xml:space="preserve">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We next wanted to determine which aspects of the</w:t>
      </w:r>
      <w:r>
        <w:t xml:space="preserve"> </w:t>
      </w:r>
      <w:r>
        <w:t xml:space="preserve">microbiome might explain the divergence in CH</w:t>
      </w:r>
      <w:r>
        <w:rPr>
          <w:vertAlign w:val="subscript"/>
        </w:rPr>
        <w:t xml:space="preserve">4</w:t>
      </w:r>
      <w:r>
        <w:t xml:space="preserve"> </w:t>
      </w:r>
      <w:r>
        <w:t xml:space="preserve">oxidation rate between the two treatments.</w:t>
      </w:r>
      <w:r>
        <w:t xml:space="preserve"> </w:t>
      </w:r>
      <w:r>
        <w:t xml:space="preserve">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known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 in this system</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or by</w:t>
      </w:r>
      <w:r>
        <w:t xml:space="preserve"> </w:t>
      </w:r>
      <w:r>
        <w:t xml:space="preserve">unknown methanotrophs.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(51)</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(52)</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(53)</w:t>
      </w:r>
      <w:r>
        <w:t xml:space="preserve"> </w:t>
      </w:r>
      <w:r>
        <w:t xml:space="preserve">or</w:t>
      </w:r>
      <w:r>
        <w:t xml:space="preserve"> </w:t>
      </w:r>
      <w:r>
        <w:t xml:space="preserve">ameliorate the impacts of environmental change</w:t>
      </w:r>
      <w:r>
        <w:t xml:space="preserve"> </w:t>
      </w:r>
      <w:r>
        <w:t xml:space="preserve">(54)</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references"/>
      <w:r>
        <w:t xml:space="preserve">References</w:t>
      </w:r>
      <w:bookmarkEnd w:id="39"/>
    </w:p>
    <w:bookmarkStart w:id="95" w:name="refs"/>
    <w:bookmarkStart w:id="40" w:name="ref-conrad1996"/>
    <w:p>
      <w:pPr>
        <w:pStyle w:val="Bibliography"/>
      </w:pPr>
      <w:r>
        <w:t xml:space="preserve">1. Conrad R. Soil microorganisms as controllers of atmospheric trace gases (H2, CO, CH4, OCS, N2O, and NO). Microbiological Reviews. 1996 Dec;60(4):609–40.</w:t>
      </w:r>
      <w:r>
        <w:t xml:space="preserve"> </w:t>
      </w:r>
    </w:p>
    <w:bookmarkEnd w:id="40"/>
    <w:bookmarkStart w:id="41" w:name="ref-schimel1998"/>
    <w:p>
      <w:pPr>
        <w:pStyle w:val="Bibliography"/>
      </w:pPr>
      <w:r>
        <w:t xml:space="preserve">2. Schimel JP, Gulledge J. Microbial community structure and global trace gases. Global Change Biology. 1998;4(7):745–58.</w:t>
      </w:r>
      <w:r>
        <w:t xml:space="preserve"> </w:t>
      </w:r>
    </w:p>
    <w:bookmarkEnd w:id="41"/>
    <w:bookmarkStart w:id="42"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2"/>
    <w:bookmarkStart w:id="43" w:name="ref-cavigelli2000"/>
    <w:p>
      <w:pPr>
        <w:pStyle w:val="Bibliography"/>
      </w:pPr>
      <w:r>
        <w:t xml:space="preserve">4. Cavigelli MA, Robertson GP. The Functional Significance of Denitrifier Community Composition in a Terrestrial Ecosystem. Ecology. 2000;81(5):1402–14.</w:t>
      </w:r>
      <w:r>
        <w:t xml:space="preserve"> </w:t>
      </w:r>
    </w:p>
    <w:bookmarkEnd w:id="43"/>
    <w:bookmarkStart w:id="44"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4"/>
    <w:bookmarkStart w:id="45" w:name="ref-waldrop2006"/>
    <w:p>
      <w:pPr>
        <w:pStyle w:val="Bibliography"/>
      </w:pPr>
      <w:r>
        <w:t xml:space="preserve">6. Waldrop MP, Firestone MK. Response of Microbial Community Composition and Function to Soil Climate Change. Microbial Ecology. 2006 Nov;52(4):716–24.</w:t>
      </w:r>
      <w:r>
        <w:t xml:space="preserve"> </w:t>
      </w:r>
    </w:p>
    <w:bookmarkEnd w:id="45"/>
    <w:bookmarkStart w:id="46" w:name="ref-strickland2009"/>
    <w:p>
      <w:pPr>
        <w:pStyle w:val="Bibliography"/>
      </w:pPr>
      <w:r>
        <w:t xml:space="preserve">7. Strickland MS, Lauber C, Fierer N, Bradford MA. Testing the functional significance of microbial community composition. Ecology. 2009;90(2):441–51.</w:t>
      </w:r>
      <w:r>
        <w:t xml:space="preserve"> </w:t>
      </w:r>
    </w:p>
    <w:bookmarkEnd w:id="46"/>
    <w:bookmarkStart w:id="47"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7"/>
    <w:bookmarkStart w:id="48"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8"/>
    <w:bookmarkStart w:id="49"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2016;7.</w:t>
      </w:r>
      <w:r>
        <w:t xml:space="preserve"> </w:t>
      </w:r>
    </w:p>
    <w:bookmarkEnd w:id="49"/>
    <w:bookmarkStart w:id="50"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0"/>
    <w:bookmarkStart w:id="51"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Oct;33(12):1713–22.</w:t>
      </w:r>
      <w:r>
        <w:t xml:space="preserve"> </w:t>
      </w:r>
    </w:p>
    <w:bookmarkEnd w:id="51"/>
    <w:bookmarkStart w:id="52" w:name="ref-reed2007"/>
    <w:p>
      <w:pPr>
        <w:pStyle w:val="Bibliography"/>
      </w:pPr>
      <w:r>
        <w:t xml:space="preserve">13. Reed HE, Martiny JBH. Testing the functional significance of microbial composition in natural communities. FEMS Microbiology Ecology. 2007;62(2):161–70.</w:t>
      </w:r>
      <w:r>
        <w:t xml:space="preserve"> </w:t>
      </w:r>
    </w:p>
    <w:bookmarkEnd w:id="52"/>
    <w:bookmarkStart w:id="53" w:name="ref-swenson2000"/>
    <w:p>
      <w:pPr>
        <w:pStyle w:val="Bibliography"/>
      </w:pPr>
      <w:r>
        <w:t xml:space="preserve">14. Swenson W, Wilson DS, Elias R. Artificial ecosystem selection. Proceedings of the National Academy of Sciences. 2000 Aug;97(16):9110–4.</w:t>
      </w:r>
      <w:r>
        <w:t xml:space="preserve"> </w:t>
      </w:r>
    </w:p>
    <w:bookmarkEnd w:id="53"/>
    <w:bookmarkStart w:id="54" w:name="ref-blouin2015"/>
    <w:p>
      <w:pPr>
        <w:pStyle w:val="Bibliography"/>
      </w:pPr>
      <w:r>
        <w:t xml:space="preserve">15. Blouin M, Karimi B, Mathieu J, Lerch TZ. Levels and limits in artificial selection of communities. Ecology Letters. 2015;18(10):1040–8.</w:t>
      </w:r>
      <w:r>
        <w:t xml:space="preserve"> </w:t>
      </w:r>
    </w:p>
    <w:bookmarkEnd w:id="54"/>
    <w:bookmarkStart w:id="55"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5"/>
    <w:bookmarkStart w:id="56"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6"/>
    <w:bookmarkStart w:id="57"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7"/>
    <w:bookmarkStart w:id="58"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8"/>
    <w:bookmarkStart w:id="59"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59"/>
    <w:bookmarkStart w:id="60"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0"/>
    <w:bookmarkStart w:id="61"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1"/>
    <w:bookmarkStart w:id="62" w:name="ref-martiny2013"/>
    <w:p>
      <w:pPr>
        <w:pStyle w:val="Bibliography"/>
      </w:pPr>
      <w:r>
        <w:t xml:space="preserve">23. Martiny AC, Treseder K, Pusch G. Phylogenetic conservatism of functional traits in microorganisms. The ISME Journal. 2013 Apr;7(4):830–8.</w:t>
      </w:r>
      <w:r>
        <w:t xml:space="preserve"> </w:t>
      </w:r>
    </w:p>
    <w:bookmarkEnd w:id="62"/>
    <w:bookmarkStart w:id="63" w:name="ref-caporaso2011"/>
    <w:p>
      <w:pPr>
        <w:pStyle w:val="Bibliography"/>
      </w:pPr>
      <w:r>
        <w:t xml:space="preserve">24.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3"/>
    <w:bookmarkStart w:id="64" w:name="ref-fadrosh2014"/>
    <w:p>
      <w:pPr>
        <w:pStyle w:val="Bibliography"/>
      </w:pPr>
      <w:r>
        <w:t xml:space="preserve">25. Fadrosh DW, Ma B, Gajer P, Sengamalay N, Ott S, Brotman RM, et al. An improved dual-indexing approach for multiplexed 16S rRNA gene sequencing on the Illumina MiSeq platform. Microbiome. 2014 Dec;2(1):1–7.</w:t>
      </w:r>
      <w:r>
        <w:t xml:space="preserve"> </w:t>
      </w:r>
    </w:p>
    <w:bookmarkEnd w:id="64"/>
    <w:bookmarkStart w:id="65" w:name="ref-kozich2013"/>
    <w:p>
      <w:pPr>
        <w:pStyle w:val="Bibliography"/>
      </w:pPr>
      <w:r>
        <w:t xml:space="preserve">26. Kozich JJ, Westcott SL, Baxter NT, Highlander SK, Schloss PD. Development of a Dual-Index Sequencing Strategy and Curation Pipeline for Analyzing Amplicon Sequence Data on the MiSeq Illumina Sequencing Platform. Applied and Environmental Microbiology. 2013 Sep;79(17):5112–20.</w:t>
      </w:r>
      <w:r>
        <w:t xml:space="preserve"> </w:t>
      </w:r>
    </w:p>
    <w:bookmarkEnd w:id="65"/>
    <w:bookmarkStart w:id="66" w:name="ref-rcoreteam2018"/>
    <w:p>
      <w:pPr>
        <w:pStyle w:val="Bibliography"/>
      </w:pPr>
      <w:r>
        <w:t xml:space="preserve">27. R Core Team. R: A language and environment for statistical computing. Vienna, Austria: R Foundation for Statistical Computing; 2018.</w:t>
      </w:r>
      <w:r>
        <w:t xml:space="preserve"> </w:t>
      </w:r>
    </w:p>
    <w:bookmarkEnd w:id="66"/>
    <w:bookmarkStart w:id="67" w:name="ref-callahan2016"/>
    <w:p>
      <w:pPr>
        <w:pStyle w:val="Bibliography"/>
      </w:pPr>
      <w:r>
        <w:t xml:space="preserve">28. Callahan BJ, McMurdie PJ, Rosen MJ, Han AW, Johnson AJA, Holmes SP. DADA2: High-resolution sample inference from Illumina amplicon data. Nature Methods. 2016 Jul;13(7):581–3.</w:t>
      </w:r>
      <w:r>
        <w:t xml:space="preserve"> </w:t>
      </w:r>
    </w:p>
    <w:bookmarkEnd w:id="67"/>
    <w:bookmarkStart w:id="68" w:name="ref-wang2007"/>
    <w:p>
      <w:pPr>
        <w:pStyle w:val="Bibliography"/>
      </w:pPr>
      <w:r>
        <w:t xml:space="preserve">29. Wang Q, Garrity GM, Tiedje JM, Cole JR. Naïve Bayesian Classifier for Rapid Assignment of rRNA Sequences into the New Bacterial Taxonomy. Applied and Environmental Microbiology. 2007 Aug;73(16):5261–7.</w:t>
      </w:r>
      <w:r>
        <w:t xml:space="preserve"> </w:t>
      </w:r>
    </w:p>
    <w:bookmarkEnd w:id="68"/>
    <w:bookmarkStart w:id="69" w:name="ref-davis2018"/>
    <w:p>
      <w:pPr>
        <w:pStyle w:val="Bibliography"/>
      </w:pPr>
      <w:r>
        <w:t xml:space="preserve">30. Davis NM, Proctor DM, Holmes SP, Relman DA, Callahan BJ. Simple statistical identification and removal of contaminant sequences in marker-gene and metagenomics data. Microbiome. 2018 Dec;6(1):1–14.</w:t>
      </w:r>
      <w:r>
        <w:t xml:space="preserve"> </w:t>
      </w:r>
    </w:p>
    <w:bookmarkEnd w:id="69"/>
    <w:bookmarkStart w:id="70" w:name="ref-falconer1996"/>
    <w:p>
      <w:pPr>
        <w:pStyle w:val="Bibliography"/>
      </w:pPr>
      <w:r>
        <w:t xml:space="preserve">31. Falconer DS, MacKay TFC. Introduction to quantitative genetics. Harlow : Prentice Hall; 1996.</w:t>
      </w:r>
      <w:r>
        <w:t xml:space="preserve"> </w:t>
      </w:r>
    </w:p>
    <w:bookmarkEnd w:id="70"/>
    <w:bookmarkStart w:id="71" w:name="ref-he2022"/>
    <w:p>
      <w:pPr>
        <w:pStyle w:val="Bibliography"/>
      </w:pPr>
      <w:r>
        <w:t xml:space="preserve">32. He Y, Tiezzi F, Jiang J, Howard J, Huang Y, Gray K, et al. Exploring methods to summarize gut microbiota composition for microbiability estimation and phenotypic prediction in swine. Journal of Animal Science. 2022 Sep;100(9):skac231.</w:t>
      </w:r>
      <w:r>
        <w:t xml:space="preserve"> </w:t>
      </w:r>
    </w:p>
    <w:bookmarkEnd w:id="71"/>
    <w:bookmarkStart w:id="72" w:name="ref-hurlbert1971"/>
    <w:p>
      <w:pPr>
        <w:pStyle w:val="Bibliography"/>
      </w:pPr>
      <w:r>
        <w:t xml:space="preserve">33. Hurlbert SH. The Nonconcept of Species Diversity: A Critique and Alternative Parameters. Ecology. 1971;52(4):577–86.</w:t>
      </w:r>
      <w:r>
        <w:t xml:space="preserve"> </w:t>
      </w:r>
    </w:p>
    <w:bookmarkEnd w:id="72"/>
    <w:bookmarkStart w:id="73" w:name="ref-oksanen2019"/>
    <w:p>
      <w:pPr>
        <w:pStyle w:val="Bibliography"/>
      </w:pPr>
      <w:r>
        <w:t xml:space="preserve">34. Oksanen J, Blanchet FG, Friendly M, Kindt R, Legendre P, McGlinn D, et al. Vegan: Community ecology package. 2019.</w:t>
      </w:r>
      <w:r>
        <w:t xml:space="preserve"> </w:t>
      </w:r>
    </w:p>
    <w:bookmarkEnd w:id="73"/>
    <w:bookmarkStart w:id="74" w:name="ref-bray1957"/>
    <w:p>
      <w:pPr>
        <w:pStyle w:val="Bibliography"/>
      </w:pPr>
      <w:r>
        <w:t xml:space="preserve">35. Bray JR, Curtis JT. An Ordination of the Upland Forest Communities of Southern Wisconsin. Ecological Monographs. 1957;27(4):325–49.</w:t>
      </w:r>
      <w:r>
        <w:t xml:space="preserve"> </w:t>
      </w:r>
    </w:p>
    <w:bookmarkEnd w:id="74"/>
    <w:bookmarkStart w:id="75" w:name="ref-mcardle2001"/>
    <w:p>
      <w:pPr>
        <w:pStyle w:val="Bibliography"/>
      </w:pPr>
      <w:r>
        <w:t xml:space="preserve">36. McArdle BH, Anderson MJ. Fitting Multivariate Models to Community Data: A Comment on Distance-Based Redundancy Analysis. Ecology. 2001;82(1):290–7.</w:t>
      </w:r>
      <w:r>
        <w:t xml:space="preserve"> </w:t>
      </w:r>
    </w:p>
    <w:bookmarkEnd w:id="75"/>
    <w:bookmarkStart w:id="76" w:name="ref-kang2019"/>
    <w:p>
      <w:pPr>
        <w:pStyle w:val="Bibliography"/>
      </w:pPr>
      <w:r>
        <w:t xml:space="preserve">37. Kang CS, Dunfield PF, Semrau JD. The origin of aerobic methanotrophy within the Proteobacteria. FEMS Microbiology Letters. 2019 May;366(9):fnz096.</w:t>
      </w:r>
      <w:r>
        <w:t xml:space="preserve"> </w:t>
      </w:r>
    </w:p>
    <w:bookmarkEnd w:id="76"/>
    <w:bookmarkStart w:id="77" w:name="ref-kaul2017"/>
    <w:p>
      <w:pPr>
        <w:pStyle w:val="Bibliography"/>
      </w:pPr>
      <w:r>
        <w:t xml:space="preserve">38.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39. Lin H, Peddada SD. Analysis of compositions of microbiomes with bias correction. Nature Communications. 2020 Jul;11(1):3514.</w:t>
      </w:r>
      <w:r>
        <w:t xml:space="preserve"> </w:t>
      </w:r>
    </w:p>
    <w:bookmarkEnd w:id="78"/>
    <w:bookmarkStart w:id="79" w:name="ref-fernandes2014"/>
    <w:p>
      <w:pPr>
        <w:pStyle w:val="Bibliography"/>
      </w:pPr>
      <w:r>
        <w:t xml:space="preserve">40.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41. Martin BD, Witten D, Willis AD. Modeling microbial abundances and dysbiosis with beta-binomial regression. The Annals of Applied Statistics. 2020 Mar;14(1):94–115.</w:t>
      </w:r>
      <w:r>
        <w:t xml:space="preserve"> </w:t>
      </w:r>
    </w:p>
    <w:bookmarkEnd w:id="80"/>
    <w:bookmarkStart w:id="82" w:name="ref-benjamini1995"/>
    <w:p>
      <w:pPr>
        <w:pStyle w:val="Bibliography"/>
      </w:pPr>
      <w:r>
        <w:t xml:space="preserve">42. Benjamini Y, Hochberg Y. Controlling the False Discovery Rate: A Practical and Powerful Approach to Multiple Testing. Journal of the Royal Statistical Society Series B (Methodological) [Internet]. 1995 [cited 2023 Jun 13];57(1):289–300. Available from:</w:t>
      </w:r>
      <w:r>
        <w:t xml:space="preserve"> </w:t>
      </w:r>
      <w:hyperlink r:id="rId81">
        <w:r>
          <w:rPr>
            <w:rStyle w:val="InternetLink"/>
          </w:rPr>
          <w:t xml:space="preserve">http://www.jstor.org/stable/2346101</w:t>
        </w:r>
      </w:hyperlink>
    </w:p>
    <w:bookmarkEnd w:id="82"/>
    <w:bookmarkStart w:id="83" w:name="ref-stein2012"/>
    <w:p>
      <w:pPr>
        <w:pStyle w:val="Bibliography"/>
      </w:pPr>
      <w:r>
        <w:t xml:space="preserve">43. Stein LY, Roy R, Dunfield PF. Aerobic Methanotrophy and Nitrification: Processes and Connections. In: eLS. John Wiley &amp; Sons, Ltd; 2012.</w:t>
      </w:r>
      <w:r>
        <w:t xml:space="preserve"> </w:t>
      </w:r>
    </w:p>
    <w:bookmarkEnd w:id="83"/>
    <w:bookmarkStart w:id="84" w:name="ref-garrity2005"/>
    <w:p>
      <w:pPr>
        <w:pStyle w:val="Bibliography"/>
      </w:pPr>
      <w:r>
        <w:t xml:space="preserve">44. Garrity GM, Bell JA, Lilburn TG. Class III. Gammaproteobacteria class. Nov., p. 1. In: Brenner DJ, Krieg NR, Staley JT, Garrity GM, editors. Bergey’s manual of systematic bacteriology. Second. New York, NY: Springer; 2005.</w:t>
      </w:r>
      <w:r>
        <w:t xml:space="preserve"> </w:t>
      </w:r>
    </w:p>
    <w:bookmarkEnd w:id="84"/>
    <w:bookmarkStart w:id="85" w:name="ref-freitag2003"/>
    <w:p>
      <w:pPr>
        <w:pStyle w:val="Bibliography"/>
      </w:pPr>
      <w:r>
        <w:t xml:space="preserve">45. Freitag TE, Prosser JI. Community Structure of Ammonia-Oxidizing Bacteria within Anoxic Marine Sediments. Applied and Environmental Microbiology. 2003 Mar;69(3):1359–71.</w:t>
      </w:r>
      <w:r>
        <w:t xml:space="preserve"> </w:t>
      </w:r>
    </w:p>
    <w:bookmarkEnd w:id="85"/>
    <w:bookmarkStart w:id="86" w:name="ref-im2012"/>
    <w:p>
      <w:pPr>
        <w:pStyle w:val="Bibliography"/>
      </w:pPr>
      <w:r>
        <w:t xml:space="preserve">46. Im W-T, Hu Z-Y, Kim K-H, Rhee S-K, Meng H, Lee S-T, et al. Description of Fimbriimonas ginsengisoli gen. Nov., sp. Nov. Within the Fimbriimonadia class nov., of the phylum Armatimonadetes. Antonie van Leeuwenhoek. 2012 Aug;102(2):307–17.</w:t>
      </w:r>
      <w:r>
        <w:t xml:space="preserve"> </w:t>
      </w:r>
    </w:p>
    <w:bookmarkEnd w:id="86"/>
    <w:bookmarkStart w:id="87" w:name="ref-mcbride2014"/>
    <w:p>
      <w:pPr>
        <w:pStyle w:val="Bibliography"/>
      </w:pPr>
      <w:r>
        <w:t xml:space="preserve">47.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7"/>
    <w:bookmarkStart w:id="88" w:name="ref-tamas2014"/>
    <w:p>
      <w:pPr>
        <w:pStyle w:val="Bibliography"/>
      </w:pPr>
      <w:r>
        <w:t xml:space="preserve">48. Tamas I, Smirnova AV, He Z, Dunfield PF. The (d)Evolution of methanotrophy in the Beijerinckiaceaea comparative genomics analysis. The ISME Journal. 2014 Feb;8(2):369–82.</w:t>
      </w:r>
      <w:r>
        <w:t xml:space="preserve"> </w:t>
      </w:r>
    </w:p>
    <w:bookmarkEnd w:id="88"/>
    <w:bookmarkStart w:id="89" w:name="ref-dedysh2016"/>
    <w:p>
      <w:pPr>
        <w:pStyle w:val="Bibliography"/>
      </w:pPr>
      <w:r>
        <w:t xml:space="preserve">49.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9"/>
    <w:bookmarkStart w:id="90" w:name="ref-lynch1998"/>
    <w:p>
      <w:pPr>
        <w:pStyle w:val="Bibliography"/>
      </w:pPr>
      <w:r>
        <w:t xml:space="preserve">50. Lynch M, Walsh B. Genetics and Analysis of Quantitative Traits. Oxford University Press; 1998.</w:t>
      </w:r>
      <w:r>
        <w:t xml:space="preserve"> </w:t>
      </w:r>
    </w:p>
    <w:bookmarkEnd w:id="90"/>
    <w:bookmarkStart w:id="91" w:name="ref-morris2020"/>
    <w:p>
      <w:pPr>
        <w:pStyle w:val="Bibliography"/>
      </w:pPr>
      <w:r>
        <w:t xml:space="preserve">51.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91"/>
    <w:bookmarkStart w:id="92" w:name="ref-mueller2022"/>
    <w:p>
      <w:pPr>
        <w:pStyle w:val="Bibliography"/>
      </w:pPr>
      <w:r>
        <w:t xml:space="preserve">52. Mueller UG, Linksvayer TA. Microbiome breeding: Conceptual and practical issues. Trends in Microbiology. 2022 Oct;30(10):997–1011.</w:t>
      </w:r>
      <w:r>
        <w:t xml:space="preserve"> </w:t>
      </w:r>
    </w:p>
    <w:bookmarkEnd w:id="92"/>
    <w:bookmarkStart w:id="93" w:name="ref-chaparro2012"/>
    <w:p>
      <w:pPr>
        <w:pStyle w:val="Bibliography"/>
      </w:pPr>
      <w:r>
        <w:t xml:space="preserve">53. Chaparro JM, Sheflin AM, Manter DK, Vivanco JM. Manipulating the soil microbiome to increase soil health and plant fertility. Biology and Fertility of Soils. 2012 Jul;48(5):489–99.</w:t>
      </w:r>
      <w:r>
        <w:t xml:space="preserve"> </w:t>
      </w:r>
    </w:p>
    <w:bookmarkEnd w:id="93"/>
    <w:bookmarkStart w:id="94" w:name="ref-jansson2020"/>
    <w:p>
      <w:pPr>
        <w:pStyle w:val="Bibliography"/>
      </w:pPr>
      <w:r>
        <w:t xml:space="preserve">54. Jansson JK, Hofmockel KS. Soil microbiomes and climate change. Nature Reviews Microbiology. 2020 Jan;18(1):35–46.</w:t>
      </w:r>
      <w:r>
        <w:t xml:space="preserve"> </w:t>
      </w:r>
    </w:p>
    <w:bookmarkEnd w:id="94"/>
    <w:bookmarkEnd w:id="95"/>
    <w:p>
      <w:pPr>
        <w:pStyle w:val="Heading1"/>
      </w:pPr>
      <w:bookmarkStart w:id="96" w:name="figure-captions"/>
      <w:r>
        <w:t xml:space="preserve">Figure Captions</w:t>
      </w:r>
      <w:bookmarkEnd w:id="96"/>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Closed points are the positive selection treatment and open points are the control. The solid line is the regression for the positive selection treatment and the dotted line is the regression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Non-metric multidimensional scaling plot of beta diversity for all jars. Dissimilarities are rarefied Bray-Curtis dissimilarity averaged over 100 subsamples. Closed points are the positive selection treatment and open points are the control. Triangles are passage 2 and circles are passage 5.</w:t>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jstor.org/stable/2346101"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81" Target="http://www.jstor.org/stable/2346101"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2023-06-16T20:54:02Z</dcterms:created>
  <dcterms:modified xsi:type="dcterms:W3CDTF">2023-06-16T20:54:02Z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