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CH</w:t>
      </w:r>
      <w:r>
        <w:rPr>
          <w:vertAlign w:val="subscript"/>
        </w:rPr>
        <w:t xml:space="preserve">4</w:t>
      </w:r>
      <w:r>
        <w:t xml:space="preserve"> </w:t>
      </w:r>
      <w:r>
        <w:t xml:space="preserve">oxidation rate. We observed a</w:t>
      </w:r>
      <w:r>
        <w:t xml:space="preserve"> </w:t>
      </w:r>
      <w:r>
        <w:t xml:space="preserve">strong response to selection with a 50.7% increase in</w:t>
      </w:r>
      <w:r>
        <w:t xml:space="preserve"> </w:t>
      </w:r>
      <w:r>
        <w:t xml:space="preserve">CH</w:t>
      </w:r>
      <w:r>
        <w:rPr>
          <w:vertAlign w:val="subscript"/>
        </w:rPr>
        <w:t xml:space="preserve">4</w:t>
      </w:r>
      <w:r>
        <w:t xml:space="preserve"> </w:t>
      </w:r>
      <w:r>
        <w:t xml:space="preserve">oxidation rate per passage.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(10)</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By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(17)</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(2,23)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w:t>
      </w:r>
      <w:r>
        <w:t xml:space="preserve"> </w:t>
      </w:r>
      <w:r>
        <w:t xml:space="preserve">(</w:t>
      </w:r>
      <w:r>
        <w:rPr>
          <w:i/>
        </w:rPr>
        <w:t xml:space="preserve">sensu</w:t>
      </w:r>
      <w:r>
        <w:t xml:space="preserve"> </w:t>
      </w:r>
      <w:r>
        <w:t xml:space="preserve">(14)</w:t>
      </w:r>
      <w:r>
        <w:t xml:space="preserve">) by passaging replicate soil microbiomes. The trait we</w:t>
      </w:r>
      <w:r>
        <w:t xml:space="preserve"> </w:t>
      </w:r>
      <w:r>
        <w:t xml:space="preserve">selected on was CH</w:t>
      </w:r>
      <w:r>
        <w:rPr>
          <w:vertAlign w:val="subscript"/>
        </w:rPr>
        <w:t xml:space="preserve">4</w:t>
      </w:r>
      <w:r>
        <w:t xml:space="preserve"> </w:t>
      </w:r>
      <w:r>
        <w:t xml:space="preserve">oxidation rate. This experiment had a selection line and a</w:t>
      </w:r>
      <w:r>
        <w:t xml:space="preserve"> </w:t>
      </w:r>
      <w:r>
        <w:t xml:space="preserve">control line with twelve jars each for a total of twenty-four jars per passage.</w:t>
      </w:r>
      <w:r>
        <w:t xml:space="preserve"> </w:t>
      </w:r>
      <w:r>
        <w:t xml:space="preserve">The selection line 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selection or control line. Jars were</w:t>
      </w:r>
      <w:r>
        <w:t xml:space="preserve"> </w:t>
      </w:r>
      <w:r>
        <w:t xml:space="preserve">flushed and respiked with CH</w:t>
      </w:r>
      <w:r>
        <w:rPr>
          <w:vertAlign w:val="subscript"/>
        </w:rPr>
        <w:t xml:space="preserve">4</w:t>
      </w:r>
      <w:r>
        <w:t xml:space="preserve"> </w:t>
      </w:r>
      <w:r>
        <w:t xml:space="preserve">twice per week to maintain aerobic conditions</w:t>
      </w:r>
      <w:r>
        <w:t xml:space="preserve"> </w:t>
      </w:r>
      <w:r>
        <w:t xml:space="preserve">and elevated 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to</w:t>
      </w:r>
      <w:r>
        <w:t xml:space="preserve"> </w:t>
      </w:r>
      <w:r>
        <w:t xml:space="preserve">inoculate the next set of jars, which represents a 10% subsampling.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w:t>
      </w:r>
      <w:r>
        <w:t xml:space="preserve">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in passage two for the positive 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as the regression of divergence between the positive</w:t>
      </w:r>
      <w:r>
        <w:t xml:space="preserve"> </w:t>
      </w:r>
      <w:r>
        <w:t xml:space="preserve">line and the control on the cumulative selection differential</w:t>
      </w:r>
      <w:r>
        <w:t xml:space="preserve"> </w:t>
      </w:r>
      <w:r>
        <w:t xml:space="preserve">(32)</w:t>
      </w:r>
      <w:r>
        <w:t xml:space="preserve">.</w:t>
      </w:r>
      <w:r>
        <w:t xml:space="preserve"> </w:t>
      </w:r>
      <w:r>
        <w:t xml:space="preserve">Divergence was calculated as the mean CH</w:t>
      </w:r>
      <w:r>
        <w:rPr>
          <w:vertAlign w:val="subscript"/>
        </w:rPr>
        <w:t xml:space="preserve">4</w:t>
      </w:r>
      <w:r>
        <w:t xml:space="preserve"> </w:t>
      </w:r>
      <w:r>
        <w:t xml:space="preserve">oxidation rate of the positive</w:t>
      </w:r>
      <w:r>
        <w:t xml:space="preserve"> </w:t>
      </w:r>
      <w:r>
        <w:t xml:space="preserve">treatment minus the mean CH</w:t>
      </w:r>
      <w:r>
        <w:rPr>
          <w:vertAlign w:val="subscript"/>
        </w:rPr>
        <w:t xml:space="preserve">4</w:t>
      </w:r>
      <w:r>
        <w:t xml:space="preserve"> </w:t>
      </w:r>
      <w:r>
        <w:t xml:space="preserve">oxidation rate of the control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 we regressed divergence between the</w:t>
      </w:r>
      <w:r>
        <w:t xml:space="preserve"> </w:t>
      </w:r>
      <w:r>
        <w:t xml:space="preserve">positive selection treatment and the control against the cumulative selection</w:t>
      </w:r>
      <w:r>
        <w:t xml:space="preserve"> </w:t>
      </w:r>
      <w:r>
        <w:t xml:space="preserve">differential (Figure 3). 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(41)</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 which in our</w:t>
      </w:r>
      <w:r>
        <w:t xml:space="preserve"> </w:t>
      </w:r>
      <w:r>
        <w:t xml:space="preserve">experiment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4).</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5).</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(43)</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(44)</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
        </w:rPr>
        <w:t xml:space="preserve">Fimbriimonadaceae</w:t>
      </w:r>
      <w:r>
        <w:t xml:space="preserve"> </w:t>
      </w:r>
      <w:r>
        <w:t xml:space="preserve">and</w:t>
      </w:r>
      <w:r>
        <w:t xml:space="preserve"> </w:t>
      </w:r>
      <w:r>
        <w:t xml:space="preserve">an unclassified ASV from the order Armatimonadales</w:t>
      </w:r>
      <w:r>
        <w:t xml:space="preserve"> </w:t>
      </w:r>
      <w:r>
        <w:t xml:space="preserve">(45)</w:t>
      </w:r>
      <w:r>
        <w:t xml:space="preserve">.</w:t>
      </w:r>
      <w:r>
        <w:t xml:space="preserve"> </w:t>
      </w:r>
      <w:r>
        <w:rPr>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(46)</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selection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selection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(47,48)</w:t>
      </w:r>
      <w:r>
        <w:t xml:space="preserve">. Based on this analysis,</w:t>
      </w:r>
      <w:r>
        <w:t xml:space="preserve"> </w:t>
      </w:r>
      <w:r>
        <w:t xml:space="preserve">it appears that no methanotrophs were enriched in the positive selection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(32)</w:t>
      </w:r>
      <w:r>
        <w:t xml:space="preserve">. We can</w:t>
      </w:r>
      <w:r>
        <w:t xml:space="preserve"> </w:t>
      </w:r>
      <w:r>
        <w:t xml:space="preserve">calculate the response to selection as the difference between two successive</w:t>
      </w:r>
      <w:r>
        <w:t xml:space="preserve"> </w:t>
      </w:r>
      <w:r>
        <w:t xml:space="preserve">passages in their mean CH</w:t>
      </w:r>
      <w:r>
        <w:rPr>
          <w:vertAlign w:val="subscript"/>
        </w:rPr>
        <w:t xml:space="preserve">4</w:t>
      </w:r>
      <w:r>
        <w:t xml:space="preserve"> </w:t>
      </w:r>
      <w:r>
        <w:t xml:space="preserve">oxidation rate. We will denote this as</w:t>
      </w:r>
      <w:r>
        <w:t xml:space="preserve"> </w:t>
      </w:r>
      <m:oMath>
        <m:r>
          <m:t>R</m:t>
        </m:r>
      </m:oMath>
      <w:r>
        <w:t xml:space="preserve">. We</w:t>
      </w:r>
      <w:r>
        <w:t xml:space="preserve"> </w:t>
      </w:r>
      <w:r>
        <w:t xml:space="preserve">can also calculate the strength of selection as the difference in mean CH</w:t>
      </w:r>
      <w:r>
        <w:rPr>
          <w:vertAlign w:val="subscript"/>
        </w:rPr>
        <w:t xml:space="preserve">4</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CH</w:t>
      </w:r>
      <w:r>
        <w:rPr>
          <w:vertAlign w:val="subscript"/>
        </w:rPr>
        <w:t xml:space="preserve">4</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This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(49)</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(41)</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CH</w:t>
      </w:r>
      <w:r>
        <w:rPr>
          <w:vertAlign w:val="subscript"/>
        </w:rPr>
        <w:t xml:space="preserve">4</w:t>
      </w:r>
      <w:r>
        <w:t xml:space="preserve"> </w:t>
      </w:r>
      <w:r>
        <w:t xml:space="preserve">oxidation. 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Given that variation in the microbiome is driving substantial variation in</w:t>
      </w:r>
      <w:r>
        <w:t xml:space="preserve"> </w:t>
      </w:r>
      <w:r>
        <w:t xml:space="preserve">CH</w:t>
      </w:r>
      <w:r>
        <w:rPr>
          <w:vertAlign w:val="subscript"/>
        </w:rPr>
        <w:t xml:space="preserve">4</w:t>
      </w:r>
      <w:r>
        <w:t xml:space="preserve"> </w:t>
      </w:r>
      <w:r>
        <w:t xml:space="preserve">oxidation rate in our system, we next wanted to determine which aspects of the</w:t>
      </w:r>
      <w:r>
        <w:t xml:space="preserve"> </w:t>
      </w:r>
      <w:r>
        <w:t xml:space="preserve">microbiome best explain this contribution of microbiome variation to</w:t>
      </w:r>
      <w:r>
        <w:t xml:space="preserve"> </w:t>
      </w:r>
      <w:r>
        <w:t xml:space="preserve">CH</w:t>
      </w:r>
      <w:r>
        <w:rPr>
          <w:vertAlign w:val="subscript"/>
        </w:rPr>
        <w:t xml:space="preserve">4</w:t>
      </w:r>
      <w:r>
        <w:t xml:space="preserve"> </w:t>
      </w:r>
      <w:r>
        <w:t xml:space="preserve">oxidation rate. 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(50)</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(51)</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(52)</w:t>
      </w:r>
      <w:r>
        <w:t xml:space="preserve"> </w:t>
      </w:r>
      <w:r>
        <w:t xml:space="preserve">or</w:t>
      </w:r>
      <w:r>
        <w:t xml:space="preserve"> </w:t>
      </w:r>
      <w:r>
        <w:t xml:space="preserve">ameliorate the impacts of environmental change</w:t>
      </w:r>
      <w:r>
        <w:t xml:space="preserve"> </w:t>
      </w:r>
      <w:r>
        <w:t xml:space="preserve">(53)</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references"/>
      <w:r>
        <w:t xml:space="preserve">References</w:t>
      </w:r>
      <w:bookmarkEnd w:id="39"/>
    </w:p>
    <w:bookmarkStart w:id="93" w:name="refs"/>
    <w:bookmarkStart w:id="40" w:name="ref-conrad1996"/>
    <w:p>
      <w:pPr>
        <w:pStyle w:val="Bibliography"/>
      </w:pPr>
      <w:r>
        <w:t xml:space="preserve">1. Conrad R. Soil microorganisms as controllers of atmospheric trace gases (H2, CO, CH4, OCS, N2O, and NO). Microbiological Reviews. 1996 Dec;60(4):609–40.</w:t>
      </w:r>
      <w:r>
        <w:t xml:space="preserve"> </w:t>
      </w:r>
    </w:p>
    <w:bookmarkEnd w:id="40"/>
    <w:bookmarkStart w:id="41" w:name="ref-schimel1998"/>
    <w:p>
      <w:pPr>
        <w:pStyle w:val="Bibliography"/>
      </w:pPr>
      <w:r>
        <w:t xml:space="preserve">2. Schimel JP, Gulledge J. Microbial community structure and global trace gases. Global Change Biology. 1998;4(7):745–58.</w:t>
      </w:r>
      <w:r>
        <w:t xml:space="preserve"> </w:t>
      </w:r>
    </w:p>
    <w:bookmarkEnd w:id="41"/>
    <w:bookmarkStart w:id="42"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2"/>
    <w:bookmarkStart w:id="43" w:name="ref-cavigelli2000"/>
    <w:p>
      <w:pPr>
        <w:pStyle w:val="Bibliography"/>
      </w:pPr>
      <w:r>
        <w:t xml:space="preserve">4. Cavigelli MA, Robertson GP. The Functional Significance of Denitrifier Community Composition in a Terrestrial Ecosystem. Ecology. 2000;81(5):1402–14.</w:t>
      </w:r>
      <w:r>
        <w:t xml:space="preserve"> </w:t>
      </w:r>
    </w:p>
    <w:bookmarkEnd w:id="43"/>
    <w:bookmarkStart w:id="44"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4"/>
    <w:bookmarkStart w:id="45" w:name="ref-waldrop2006"/>
    <w:p>
      <w:pPr>
        <w:pStyle w:val="Bibliography"/>
      </w:pPr>
      <w:r>
        <w:t xml:space="preserve">6. Waldrop MP, Firestone MK. Response of Microbial Community Composition and Function to Soil Climate Change. Microbial Ecology. 2006 Nov;52(4):716–24.</w:t>
      </w:r>
      <w:r>
        <w:t xml:space="preserve"> </w:t>
      </w:r>
    </w:p>
    <w:bookmarkEnd w:id="45"/>
    <w:bookmarkStart w:id="46" w:name="ref-strickland2009"/>
    <w:p>
      <w:pPr>
        <w:pStyle w:val="Bibliography"/>
      </w:pPr>
      <w:r>
        <w:t xml:space="preserve">7. Strickland MS, Lauber C, Fierer N, Bradford MA. Testing the functional significance of microbial community composition. Ecology. 2009;90(2):441–51.</w:t>
      </w:r>
      <w:r>
        <w:t xml:space="preserve"> </w:t>
      </w:r>
    </w:p>
    <w:bookmarkEnd w:id="46"/>
    <w:bookmarkStart w:id="47"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7"/>
    <w:bookmarkStart w:id="48"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8"/>
    <w:bookmarkStart w:id="49"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49"/>
    <w:bookmarkStart w:id="50"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0"/>
    <w:bookmarkStart w:id="51"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1"/>
    <w:bookmarkStart w:id="52" w:name="ref-reed2007"/>
    <w:p>
      <w:pPr>
        <w:pStyle w:val="Bibliography"/>
      </w:pPr>
      <w:r>
        <w:t xml:space="preserve">13. Reed HE, Martiny JBH. Testing the functional significance of microbial composition in natural communities. FEMS Microbiology Ecology. 2007;62(2):161–70.</w:t>
      </w:r>
      <w:r>
        <w:t xml:space="preserve"> </w:t>
      </w:r>
    </w:p>
    <w:bookmarkEnd w:id="52"/>
    <w:bookmarkStart w:id="53" w:name="ref-swenson2000"/>
    <w:p>
      <w:pPr>
        <w:pStyle w:val="Bibliography"/>
      </w:pPr>
      <w:r>
        <w:t xml:space="preserve">14. Swenson W, Wilson DS, Elias R. Artificial ecosystem selection. Proceedings of the National Academy of Sciences. 2000 Aug;97(16):9110–4.</w:t>
      </w:r>
      <w:r>
        <w:t xml:space="preserve"> </w:t>
      </w:r>
    </w:p>
    <w:bookmarkEnd w:id="53"/>
    <w:bookmarkStart w:id="54" w:name="ref-blouin2015"/>
    <w:p>
      <w:pPr>
        <w:pStyle w:val="Bibliography"/>
      </w:pPr>
      <w:r>
        <w:t xml:space="preserve">15. Blouin M, Karimi B, Mathieu J, Lerch TZ. Levels and limits in artificial selection of communities. Ecology Letters. 2015;18(10):1040–8.</w:t>
      </w:r>
      <w:r>
        <w:t xml:space="preserve"> </w:t>
      </w:r>
    </w:p>
    <w:bookmarkEnd w:id="54"/>
    <w:bookmarkStart w:id="55"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5"/>
    <w:bookmarkStart w:id="56"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6"/>
    <w:bookmarkStart w:id="57"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7"/>
    <w:bookmarkStart w:id="58"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8"/>
    <w:bookmarkStart w:id="59"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59"/>
    <w:bookmarkStart w:id="60"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0"/>
    <w:bookmarkStart w:id="61"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1"/>
    <w:bookmarkStart w:id="62" w:name="ref-martiny2013"/>
    <w:p>
      <w:pPr>
        <w:pStyle w:val="Bibliography"/>
      </w:pPr>
      <w:r>
        <w:t xml:space="preserve">23. Martiny AC, Treseder K, Pusch G. Phylogenetic conservatism of functional traits in microorganisms. The ISME Journal. 2013 Apr;7(4):830–8.</w:t>
      </w:r>
      <w:r>
        <w:t xml:space="preserve"> </w:t>
      </w:r>
    </w:p>
    <w:bookmarkEnd w:id="62"/>
    <w:bookmarkStart w:id="63" w:name="ref-sanchez2021"/>
    <w:p>
      <w:pPr>
        <w:pStyle w:val="Bibliography"/>
      </w:pPr>
      <w:r>
        <w:t xml:space="preserve">24. Sánchez Á, Vila JCC, Chang C-Y, Diaz-Colunga J, Estrela S, Rebolleda-Gomez M. Directed Evolution of Microbial Communities. Annual Review of Biophysics. 2021;50(1):323–41.</w:t>
      </w:r>
      <w:r>
        <w:t xml:space="preserve"> </w:t>
      </w:r>
    </w:p>
    <w:bookmarkEnd w:id="63"/>
    <w:bookmarkStart w:id="64" w:name="ref-caporaso2011"/>
    <w:p>
      <w:pPr>
        <w:pStyle w:val="Bibliography"/>
      </w:pPr>
      <w:r>
        <w:t xml:space="preserve">25.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4"/>
    <w:bookmarkStart w:id="65" w:name="ref-fadrosh2014"/>
    <w:p>
      <w:pPr>
        <w:pStyle w:val="Bibliography"/>
      </w:pPr>
      <w:r>
        <w:t xml:space="preserve">26. Fadrosh DW, Ma B, Gajer P, Sengamalay N, Ott S, Brotman RM, et al. An improved dual-indexing approach for multiplexed 16S rRNA gene sequencing on the Illumina MiSeq platform. Microbiome. 2014 Dec;2(1):1–7.</w:t>
      </w:r>
      <w:r>
        <w:t xml:space="preserve"> </w:t>
      </w:r>
    </w:p>
    <w:bookmarkEnd w:id="65"/>
    <w:bookmarkStart w:id="66" w:name="ref-kozich2013"/>
    <w:p>
      <w:pPr>
        <w:pStyle w:val="Bibliography"/>
      </w:pPr>
      <w:r>
        <w:t xml:space="preserve">27.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6"/>
    <w:bookmarkStart w:id="67" w:name="ref-rcoreteam2018"/>
    <w:p>
      <w:pPr>
        <w:pStyle w:val="Bibliography"/>
      </w:pPr>
      <w:r>
        <w:t xml:space="preserve">28. R Core Team. R: A language and environment for statistical computing. Vienna, Austria: R Foundation for Statistical Computing; 2018.</w:t>
      </w:r>
      <w:r>
        <w:t xml:space="preserve"> </w:t>
      </w:r>
    </w:p>
    <w:bookmarkEnd w:id="67"/>
    <w:bookmarkStart w:id="68" w:name="ref-callahan2016"/>
    <w:p>
      <w:pPr>
        <w:pStyle w:val="Bibliography"/>
      </w:pPr>
      <w:r>
        <w:t xml:space="preserve">29. Callahan BJ, McMurdie PJ, Rosen MJ, Han AW, Johnson AJA, Holmes SP. DADA2: High-resolution sample inference from Illumina amplicon data. Nature Methods. 2016 Jul;13(7):581–3.</w:t>
      </w:r>
      <w:r>
        <w:t xml:space="preserve"> </w:t>
      </w:r>
    </w:p>
    <w:bookmarkEnd w:id="68"/>
    <w:bookmarkStart w:id="69" w:name="ref-wang2007"/>
    <w:p>
      <w:pPr>
        <w:pStyle w:val="Bibliography"/>
      </w:pPr>
      <w:r>
        <w:t xml:space="preserve">30. Wang Q, Garrity GM, Tiedje JM, Cole JR. Naïve Bayesian Classifier for Rapid Assignment of rRNA Sequences into the New Bacterial Taxonomy. Applied and Environmental Microbiology. 2007 Aug;73(16):5261–7.</w:t>
      </w:r>
      <w:r>
        <w:t xml:space="preserve"> </w:t>
      </w:r>
    </w:p>
    <w:bookmarkEnd w:id="69"/>
    <w:bookmarkStart w:id="70" w:name="ref-davis2018"/>
    <w:p>
      <w:pPr>
        <w:pStyle w:val="Bibliography"/>
      </w:pPr>
      <w:r>
        <w:t xml:space="preserve">31. Davis NM, Proctor DM, Holmes SP, Relman DA, Callahan BJ. Simple statistical identification and removal of contaminant sequences in marker-gene and metagenomics data. Microbiome. 2018 Dec;6(1):1–14.</w:t>
      </w:r>
      <w:r>
        <w:t xml:space="preserve"> </w:t>
      </w:r>
    </w:p>
    <w:bookmarkEnd w:id="70"/>
    <w:bookmarkStart w:id="71" w:name="ref-falconer1996"/>
    <w:p>
      <w:pPr>
        <w:pStyle w:val="Bibliography"/>
      </w:pPr>
      <w:r>
        <w:t xml:space="preserve">32. Falconer DS, MacKay TFC. Introduction to quantitative genetics. Harlow : Prentice Hall; 1996.</w:t>
      </w:r>
      <w:r>
        <w:t xml:space="preserve"> </w:t>
      </w:r>
    </w:p>
    <w:bookmarkEnd w:id="71"/>
    <w:bookmarkStart w:id="72" w:name="ref-hurlbert1971"/>
    <w:p>
      <w:pPr>
        <w:pStyle w:val="Bibliography"/>
      </w:pPr>
      <w:r>
        <w:t xml:space="preserve">33. Hurlbert SH. The Nonconcept of Species Diversity: A Critique and Alternative Parameters. Ecology. 1971;52(4):577–86.</w:t>
      </w:r>
      <w:r>
        <w:t xml:space="preserve"> </w:t>
      </w:r>
    </w:p>
    <w:bookmarkEnd w:id="72"/>
    <w:bookmarkStart w:id="73" w:name="ref-oksanen2019"/>
    <w:p>
      <w:pPr>
        <w:pStyle w:val="Bibliography"/>
      </w:pPr>
      <w:r>
        <w:t xml:space="preserve">34. Oksanen J, Blanchet FG, Friendly M, Kindt R, Legendre P, McGlinn D, et al. Vegan: Community ecology package. 2019.</w:t>
      </w:r>
      <w:r>
        <w:t xml:space="preserve"> </w:t>
      </w:r>
    </w:p>
    <w:bookmarkEnd w:id="73"/>
    <w:bookmarkStart w:id="74" w:name="ref-bray1957"/>
    <w:p>
      <w:pPr>
        <w:pStyle w:val="Bibliography"/>
      </w:pPr>
      <w:r>
        <w:t xml:space="preserve">35. Bray JR, Curtis JT. An Ordination of the Upland Forest Communities of Southern Wisconsin. Ecological Monographs. 1957;27(4):325–49.</w:t>
      </w:r>
      <w:r>
        <w:t xml:space="preserve"> </w:t>
      </w:r>
    </w:p>
    <w:bookmarkEnd w:id="74"/>
    <w:bookmarkStart w:id="75" w:name="ref-mcardle2001"/>
    <w:p>
      <w:pPr>
        <w:pStyle w:val="Bibliography"/>
      </w:pPr>
      <w:r>
        <w:t xml:space="preserve">36. McArdle BH, Anderson MJ. Fitting Multivariate Models to Community Data: A Comment on Distance-Based Redundancy Analysis. Ecology. 2001;82(1):290–7.</w:t>
      </w:r>
      <w:r>
        <w:t xml:space="preserve"> </w:t>
      </w:r>
    </w:p>
    <w:bookmarkEnd w:id="75"/>
    <w:bookmarkStart w:id="76" w:name="ref-kaul2017"/>
    <w:p>
      <w:pPr>
        <w:pStyle w:val="Bibliography"/>
      </w:pPr>
      <w:r>
        <w:t xml:space="preserve">37. Kaul A, Mandal S, Davidov O, Peddada SD. Analysis of Microbiome Data in the Presence of Excess Zeros. Frontiers in Microbiology. 2017 Nov;8:2114.</w:t>
      </w:r>
      <w:r>
        <w:t xml:space="preserve"> </w:t>
      </w:r>
    </w:p>
    <w:bookmarkEnd w:id="76"/>
    <w:bookmarkStart w:id="77" w:name="ref-lin2020"/>
    <w:p>
      <w:pPr>
        <w:pStyle w:val="Bibliography"/>
      </w:pPr>
      <w:r>
        <w:t xml:space="preserve">38. Lin H, Peddada SD. Analysis of compositions of microbiomes with bias correction. Nature Communications. 2020 Jul;11(1):3514.</w:t>
      </w:r>
      <w:r>
        <w:t xml:space="preserve"> </w:t>
      </w:r>
    </w:p>
    <w:bookmarkEnd w:id="77"/>
    <w:bookmarkStart w:id="78" w:name="ref-fernandes2014"/>
    <w:p>
      <w:pPr>
        <w:pStyle w:val="Bibliography"/>
      </w:pPr>
      <w:r>
        <w:t xml:space="preserve">39.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8"/>
    <w:bookmarkStart w:id="79" w:name="ref-martin2020"/>
    <w:p>
      <w:pPr>
        <w:pStyle w:val="Bibliography"/>
      </w:pPr>
      <w:r>
        <w:t xml:space="preserve">40. Martin BD, Witten D, Willis AD. Modeling microbial abundances and dysbiosis with beta-binomial regression. The Annals of Applied Statistics. 2020 Mar;14(1):94–115.</w:t>
      </w:r>
      <w:r>
        <w:t xml:space="preserve"> </w:t>
      </w:r>
    </w:p>
    <w:bookmarkEnd w:id="79"/>
    <w:bookmarkStart w:id="80" w:name="ref-difford2016"/>
    <w:p>
      <w:pPr>
        <w:pStyle w:val="Bibliography"/>
      </w:pPr>
      <w:r>
        <w:t xml:space="preserve">41. Difford G, Lassen J, Lovendahl P. Genes and microbes, the next step in dairy cattle breeding. In: EAAP-67th annual meeting 2016. Wageningen Academic Publishers; 2016. pp. 285–5.</w:t>
      </w:r>
      <w:r>
        <w:t xml:space="preserve"> </w:t>
      </w:r>
    </w:p>
    <w:bookmarkEnd w:id="80"/>
    <w:bookmarkStart w:id="81" w:name="ref-stein2012"/>
    <w:p>
      <w:pPr>
        <w:pStyle w:val="Bibliography"/>
      </w:pPr>
      <w:r>
        <w:t xml:space="preserve">42. Stein LY, Roy R, Dunfield PF. Aerobic Methanotrophy and Nitrification: Processes and Connections. In: eLS. John Wiley &amp; Sons, Ltd; 2012.</w:t>
      </w:r>
      <w:r>
        <w:t xml:space="preserve"> </w:t>
      </w:r>
    </w:p>
    <w:bookmarkEnd w:id="81"/>
    <w:bookmarkStart w:id="82" w:name="ref-garrity2005"/>
    <w:p>
      <w:pPr>
        <w:pStyle w:val="Bibliography"/>
      </w:pPr>
      <w:r>
        <w:t xml:space="preserve">43. Garrity GM, Bell JA, Lilburn TG. Class III. Gammaproteobacteria class. Nov., p. 1. In: Brenner DJ, Krieg NR, Staley JT, Garrity GM, editors. Bergey’s manual of systematic bacteriology. Second. New York, NY: Springer; 2005.</w:t>
      </w:r>
      <w:r>
        <w:t xml:space="preserve"> </w:t>
      </w:r>
    </w:p>
    <w:bookmarkEnd w:id="82"/>
    <w:bookmarkStart w:id="83" w:name="ref-freitag2003"/>
    <w:p>
      <w:pPr>
        <w:pStyle w:val="Bibliography"/>
      </w:pPr>
      <w:r>
        <w:t xml:space="preserve">44. Freitag TE, Prosser JI. Community Structure of Ammonia-Oxidizing Bacteria within Anoxic Marine Sediments. Applied and Environmental Microbiology. 2003 Mar;69(3):1359–71.</w:t>
      </w:r>
      <w:r>
        <w:t xml:space="preserve"> </w:t>
      </w:r>
    </w:p>
    <w:bookmarkEnd w:id="83"/>
    <w:bookmarkStart w:id="84" w:name="ref-im2012"/>
    <w:p>
      <w:pPr>
        <w:pStyle w:val="Bibliography"/>
      </w:pPr>
      <w:r>
        <w:t xml:space="preserve">45. Im W-T, Hu Z-Y, Kim K-H, Rhee S-K, Meng H, Lee S-T, et al. Description of Fimbriimonas ginsengisoli gen. Nov., sp. Nov. Within the Fimbriimonadia class nov., of the phylum Armatimonadetes. Antonie van Leeuwenhoek. 2012 Aug;102(2):307–17.</w:t>
      </w:r>
      <w:r>
        <w:t xml:space="preserve"> </w:t>
      </w:r>
    </w:p>
    <w:bookmarkEnd w:id="84"/>
    <w:bookmarkStart w:id="85" w:name="ref-mcbride2014"/>
    <w:p>
      <w:pPr>
        <w:pStyle w:val="Bibliography"/>
      </w:pPr>
      <w:r>
        <w:t xml:space="preserve">46.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5"/>
    <w:bookmarkStart w:id="86" w:name="ref-tamas2014"/>
    <w:p>
      <w:pPr>
        <w:pStyle w:val="Bibliography"/>
      </w:pPr>
      <w:r>
        <w:t xml:space="preserve">47. Tamas I, Smirnova AV, He Z, Dunfield PF. The (d)Evolution of methanotrophy in the Beijerinckiaceaea comparative genomics analysis. The ISME Journal. 2014 Feb;8(2):369–82.</w:t>
      </w:r>
      <w:r>
        <w:t xml:space="preserve"> </w:t>
      </w:r>
    </w:p>
    <w:bookmarkEnd w:id="86"/>
    <w:bookmarkStart w:id="87" w:name="ref-dedysh2016"/>
    <w:p>
      <w:pPr>
        <w:pStyle w:val="Bibliography"/>
      </w:pPr>
      <w:r>
        <w:t xml:space="preserve">48.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7"/>
    <w:bookmarkStart w:id="88" w:name="ref-lynch1998"/>
    <w:p>
      <w:pPr>
        <w:pStyle w:val="Bibliography"/>
      </w:pPr>
      <w:r>
        <w:t xml:space="preserve">49. Lynch M, Walsh B. Genetics and Analysis of Quantitative Traits. Oxford University Press; 1998.</w:t>
      </w:r>
      <w:r>
        <w:t xml:space="preserve"> </w:t>
      </w:r>
    </w:p>
    <w:bookmarkEnd w:id="88"/>
    <w:bookmarkStart w:id="89" w:name="ref-morris2020"/>
    <w:p>
      <w:pPr>
        <w:pStyle w:val="Bibliography"/>
      </w:pPr>
      <w:r>
        <w:t xml:space="preserve">50.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89"/>
    <w:bookmarkStart w:id="90" w:name="ref-mueller2022"/>
    <w:p>
      <w:pPr>
        <w:pStyle w:val="Bibliography"/>
      </w:pPr>
      <w:r>
        <w:t xml:space="preserve">51. Mueller UG, Linksvayer TA. Microbiome breeding: Conceptual and practical issues. Trends in Microbiology. 2022 Oct;30(10):997–1011.</w:t>
      </w:r>
      <w:r>
        <w:t xml:space="preserve"> </w:t>
      </w:r>
    </w:p>
    <w:bookmarkEnd w:id="90"/>
    <w:bookmarkStart w:id="91" w:name="ref-chaparro2012"/>
    <w:p>
      <w:pPr>
        <w:pStyle w:val="Bibliography"/>
      </w:pPr>
      <w:r>
        <w:t xml:space="preserve">52. Chaparro JM, Sheflin AM, Manter DK, Vivanco JM. Manipulating the soil microbiome to increase soil health and plant fertility. Biology and Fertility of Soils. 2012 Jul;48(5):489–99.</w:t>
      </w:r>
      <w:r>
        <w:t xml:space="preserve"> </w:t>
      </w:r>
    </w:p>
    <w:bookmarkEnd w:id="91"/>
    <w:bookmarkStart w:id="92" w:name="ref-jansson2020"/>
    <w:p>
      <w:pPr>
        <w:pStyle w:val="Bibliography"/>
      </w:pPr>
      <w:r>
        <w:t xml:space="preserve">53. Jansson JK, Hofmockel KS. Soil microbiomes and climate change. Nature Reviews Microbiology. 2020 Jan;18(1):35–46.</w:t>
      </w:r>
      <w:r>
        <w:t xml:space="preserve"> </w:t>
      </w:r>
    </w:p>
    <w:bookmarkEnd w:id="92"/>
    <w:bookmarkEnd w:id="93"/>
    <w:p>
      <w:pPr>
        <w:pStyle w:val="Heading1"/>
      </w:pPr>
      <w:bookmarkStart w:id="94" w:name="figure-captions"/>
      <w:r>
        <w:t xml:space="preserve">Figure Captions</w:t>
      </w:r>
      <w:bookmarkEnd w:id="94"/>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Closed points are the positive selection treatment and open points are the control. The solid line is the regression for the positive selection treatment and the dotted line is the regression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Divergence between the positive selection line and the control line over the cumulative selection differential. Values are CH</w:t>
      </w:r>
      <w:r>
        <w:rPr>
          <w:vertAlign w:val="subscript"/>
        </w:rPr>
        <w:t xml:space="preserve">4</w:t>
      </w:r>
      <w:r>
        <w:t xml:space="preserve"> </w:t>
      </w:r>
      <w:r>
        <w:t xml:space="preserve">oxidation rate as the additive inverse of the first-order exponential decay constant k (day</w:t>
      </w:r>
      <w:r>
        <w:rPr>
          <w:vertAlign w:val="superscript"/>
        </w:rPr>
        <w:t xml:space="preserve">-1</w:t>
      </w:r>
      <w:r>
        <w:t xml:space="preserve">). Regression of divergence on cumulative selection differential provides an estimate of realized heritability (h</w:t>
      </w:r>
      <w:r>
        <w:rPr>
          <w:vertAlign w:val="superscript"/>
        </w:rPr>
        <w:t xml:space="preserve">2</w:t>
      </w:r>
      <w:r>
        <w:t xml:space="preserve"> </w:t>
      </w:r>
      <w:r>
        <w:t xml:space="preserve">± SE) and the slope of the regression was 0.31 ± 0.17, though this was not significant (F</w:t>
      </w:r>
      <w:r>
        <w:rPr>
          <w:vertAlign w:val="subscript"/>
        </w:rPr>
        <w:t xml:space="preserve">1,2</w:t>
      </w:r>
      <w:r>
        <w:t xml:space="preserve"> </w:t>
      </w:r>
      <w:r>
        <w:t xml:space="preserve">= 3.44, p = 0.20).</w:t>
      </w:r>
    </w:p>
    <w:p>
      <w:pPr>
        <w:pStyle w:val="TextBody"/>
      </w:pPr>
      <w:r>
        <w:t xml:space="preserve">Figure 4: Non-metric multidimensional scaling plot of beta diversity for all jars. Dissimilarities are rarefied Bray-Curtis dissimilarity averaged over 100 subsamples. Closed points are the positive selection treatment and open points are the control. Triangles are passage 2 and circles are passage 5.</w:t>
      </w:r>
    </w:p>
    <w:p>
      <w:pPr>
        <w:pStyle w:val="TextBody"/>
      </w:pPr>
      <w:r>
        <w:t xml:space="preserve">Figure 5: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2023-03-03T04:23:27Z</dcterms:created>
  <dcterms:modified xsi:type="dcterms:W3CDTF">2023-03-03T04:23:27Z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