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t xml:space="preserve">{title max characters 150; current = 106 w/spaces}</w:t>
      </w:r>
      <w:r>
        <w:br/>
      </w: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{max 250 words; current = 249}</w:t>
      </w:r>
      <w:r>
        <w:br/>
      </w: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methane oxidation rate. We observed a</w:t>
      </w:r>
      <w:r>
        <w:t xml:space="preserve"> </w:t>
      </w:r>
      <w:r>
        <w:t xml:space="preserve">strong response to selection with a 50.7% increase in</w:t>
      </w:r>
      <w:r>
        <w:t xml:space="preserve"> </w:t>
      </w:r>
      <w:r>
        <w:t xml:space="preserve">methane oxidation rate per passage. We</w:t>
      </w:r>
      <w:r>
        <w:t xml:space="preserve"> </w:t>
      </w:r>
      <w:r>
        <w:t xml:space="preserve">estimated that 31.5% of the variation in</w:t>
      </w:r>
      <w:r>
        <w:t xml:space="preserve"> </w:t>
      </w:r>
      <w:r>
        <w:t xml:space="preserve">methane oxidation</w:t>
      </w:r>
      <w:r>
        <w:t xml:space="preserve"> </w:t>
      </w:r>
      <w:r>
        <w:t xml:space="preserve">rate in these soils can be attributed to microbiome variation. We also found</w:t>
      </w:r>
      <w:r>
        <w:t xml:space="preserve"> </w:t>
      </w:r>
      <w:r>
        <w:t xml:space="preserve">that selection did not enrich for known methane oxidizers; instead, 12 families not</w:t>
      </w:r>
      <w:r>
        <w:t xml:space="preserve"> </w:t>
      </w:r>
      <w:r>
        <w:t xml:space="preserve">known to oxidize methane,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TextBody"/>
      </w:pPr>
      <w:r>
        <w:t xml:space="preserve">{max text 5000 words; current text = 4549}</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(Figure 1)</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w:t>
      </w:r>
      <w:r>
        <w:t xml:space="preserve"> </w:t>
      </w:r>
      <w:r>
        <w:t xml:space="preserve">studies sample natural variation in an ecosystem function across different</w:t>
      </w:r>
      <w:r>
        <w:t xml:space="preserve"> </w:t>
      </w:r>
      <w:r>
        <w:t xml:space="preserve">habitats and simultaneously measure variation in community composition.</w:t>
      </w:r>
      <w:r>
        <w:t xml:space="preserve"> </w:t>
      </w:r>
      <w:r>
        <w:t xml:space="preserve">Investigators can then correlate ecosystem function with aspects of community</w:t>
      </w:r>
      <w:r>
        <w:t xml:space="preserve"> </w:t>
      </w:r>
      <w:r>
        <w:t xml:space="preserve">composition while attempting to control for environmental variation. These</w:t>
      </w:r>
      <w:r>
        <w:t xml:space="preserve"> </w:t>
      </w:r>
      <w:r>
        <w:t xml:space="preserve">approaches have</w:t>
      </w:r>
      <w:r>
        <w:t xml:space="preserve"> </w:t>
      </w:r>
      <w:r>
        <w:t xml:space="preserve">documented important relationships between microbiomes and ecosystem</w:t>
      </w:r>
      <w:r>
        <w:t xml:space="preserve"> </w:t>
      </w:r>
      <w:r>
        <w:t xml:space="preserve">functions. For example, a meta-analysis of these studies observed a small but</w:t>
      </w:r>
      <w:r>
        <w:t xml:space="preserve"> </w:t>
      </w:r>
      <w:r>
        <w:t xml:space="preserve">significant contribution of the microbiome to variation in ecosystem</w:t>
      </w:r>
      <w:r>
        <w:t xml:space="preserve"> </w:t>
      </w:r>
      <w:r>
        <w:t xml:space="preserve">function after controlling for environmental variation</w:t>
      </w:r>
      <w:r>
        <w:t xml:space="preserve"> </w:t>
      </w:r>
      <w:r>
        <w:t xml:space="preserve">(10)</w:t>
      </w:r>
      <w:r>
        <w:t xml:space="preserve">. In</w:t>
      </w:r>
      <w:r>
        <w:t xml:space="preserve"> </w:t>
      </w:r>
      <w:r>
        <w:t xml:space="preserve">addition, studies focusing on the correlation between the rate of an ecosystem</w:t>
      </w:r>
      <w:r>
        <w:t xml:space="preserve"> </w:t>
      </w:r>
      <w:r>
        <w:t xml:space="preserve">function and the abundance of an associated marker gene (i.e., a gene that codes</w:t>
      </w:r>
      <w:r>
        <w:t xml:space="preserve"> </w:t>
      </w:r>
      <w:r>
        <w:t xml:space="preserve">for a protein 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some unique challenges and limitations. One issue is that</w:t>
      </w:r>
      <w:r>
        <w:t xml:space="preserve"> </w:t>
      </w:r>
      <w:r>
        <w:t xml:space="preserve">microbiome attributes tend to covary with the abiotic conditions within an</w:t>
      </w:r>
      <w:r>
        <w:t xml:space="preserve"> </w:t>
      </w:r>
      <w:r>
        <w:t xml:space="preserve">environment, and whether and how the investigator controls for these variables</w:t>
      </w:r>
      <w:r>
        <w:t xml:space="preserve"> </w:t>
      </w:r>
      <w:r>
        <w:t xml:space="preserve">can affect the conclusions of such a comparative study. In addition, it is</w:t>
      </w:r>
      <w:r>
        <w:t xml:space="preserve"> </w:t>
      </w:r>
      <w:r>
        <w:t xml:space="preserve">difficult to know</w:t>
      </w:r>
      <w:r>
        <w:t xml:space="preserve"> </w:t>
      </w:r>
      <w:r>
        <w:rPr>
          <w:i/>
        </w:rPr>
        <w:t xml:space="preserve">a priori</w:t>
      </w:r>
      <w:r>
        <w:t xml:space="preserve"> </w:t>
      </w:r>
      <w:r>
        <w:t xml:space="preserve">which environmental variables or community attributes</w:t>
      </w:r>
      <w:r>
        <w:t xml:space="preserve"> </w:t>
      </w:r>
      <w:r>
        <w:t xml:space="preserve">to measure. Finally, while these approaches can establish a potential magnitude</w:t>
      </w:r>
      <w:r>
        <w:t xml:space="preserve"> </w:t>
      </w:r>
      <w:r>
        <w:t xml:space="preserve">and direction for these relationships, it is often difficult 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Each of the manipulative approaches applied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w:t>
      </w:r>
      <w:r>
        <w:t xml:space="preserve"> </w:t>
      </w:r>
      <w:r>
        <w:t xml:space="preserve">in the microbiome contributed to variation in the rate of ecosystem function and</w:t>
      </w:r>
      <w:r>
        <w:t xml:space="preserve"> </w:t>
      </w:r>
      <w:r>
        <w:t xml:space="preserve">identified microbiome attributes that might explain this relationship. There are</w:t>
      </w:r>
      <w:r>
        <w:t xml:space="preserve"> </w:t>
      </w:r>
      <w:r>
        <w:t xml:space="preserve">several potential advantages to this approach for documenting</w:t>
      </w:r>
      <w:r>
        <w:t xml:space="preserve"> </w:t>
      </w:r>
      <w:r>
        <w:t xml:space="preserve">microbiome-function relationships and for investigating the mechanisms</w:t>
      </w:r>
      <w:r>
        <w:t xml:space="preserve"> </w:t>
      </w:r>
      <w:r>
        <w:t xml:space="preserve">underlying those relationships. By passaging microbiomes over multiple rounds</w:t>
      </w:r>
      <w:r>
        <w:t xml:space="preserve"> </w:t>
      </w:r>
      <w:r>
        <w:t xml:space="preserve">using a common environment, we can weaken the covariance between microbes and</w:t>
      </w:r>
      <w:r>
        <w:t xml:space="preserve"> </w:t>
      </w:r>
      <w:r>
        <w:t xml:space="preserve">the environment by repeatedly diluting abiotic effects. In addition, by</w:t>
      </w:r>
      <w:r>
        <w:t xml:space="preserve"> </w:t>
      </w:r>
      <w:r>
        <w:t xml:space="preserve">inoculating our ecosystems with equally-sized subsamples, we eliminate the need</w:t>
      </w:r>
      <w:r>
        <w:t xml:space="preserve"> </w:t>
      </w:r>
      <w:r>
        <w:t xml:space="preserve">to generate microbiome variation through methods that are confounded with</w:t>
      </w:r>
      <w:r>
        <w:t xml:space="preserve"> </w:t>
      </w:r>
      <w:r>
        <w:t xml:space="preserve">biomass or cell size. Lastly, by comparing our artificially selected community</w:t>
      </w:r>
      <w:r>
        <w:t xml:space="preserve"> </w:t>
      </w:r>
      <w:r>
        <w:t xml:space="preserve">to a control community resulting from random selection, we can both control for</w:t>
      </w:r>
      <w:r>
        <w:t xml:space="preserve"> </w:t>
      </w:r>
      <w:r>
        <w:t xml:space="preserve">changes in the environment over time and identify genes or taxa that are</w:t>
      </w:r>
      <w:r>
        <w:t xml:space="preserve"> </w:t>
      </w:r>
      <w:r>
        <w:t xml:space="preserve">associated with the ecosystem function under selection.</w:t>
      </w:r>
    </w:p>
    <w:p>
      <w:pPr>
        <w:pStyle w:val="TextBody"/>
      </w:pPr>
      <w:r>
        <w:t xml:space="preserve">We applied artificial ecosystem selection to soil microbiomes by selecting on</w:t>
      </w:r>
      <w:r>
        <w:t xml:space="preserve"> </w:t>
      </w:r>
      <w:r>
        <w:t xml:space="preserve">soil methane oxidation rate. We chose this function because methane is a</w:t>
      </w:r>
      <w:r>
        <w:t xml:space="preserve"> </w:t>
      </w:r>
      <w:r>
        <w:t xml:space="preserve">globally important greenhouse gas and methane oxidation by soil bacteria is the</w:t>
      </w:r>
      <w:r>
        <w:t xml:space="preserve"> </w:t>
      </w:r>
      <w:r>
        <w:t xml:space="preserve">primary biological sink for atmospheric methane</w:t>
      </w:r>
      <w:r>
        <w:t xml:space="preserve"> </w:t>
      </w:r>
      <w:r>
        <w:t xml:space="preserve">(17)</w:t>
      </w:r>
      <w:r>
        <w:t xml:space="preserve">. In addition,</w:t>
      </w:r>
      <w:r>
        <w:t xml:space="preserve"> </w:t>
      </w:r>
      <w:r>
        <w:t xml:space="preserve">there is evidence that soil methane 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methane oxidation than other broader or more shallowly conserved functions</w:t>
      </w:r>
      <w:r>
        <w:t xml:space="preserve"> </w:t>
      </w:r>
      <w:r>
        <w:t xml:space="preserve">(2,23)</w:t>
      </w:r>
      <w:r>
        <w:t xml:space="preserve">.</w:t>
      </w:r>
    </w:p>
    <w:p>
      <w:pPr>
        <w:pStyle w:val="TextBody"/>
      </w:pPr>
      <w:r>
        <w:t xml:space="preserve">In this study, we used artificial ecosystem selection on methane oxidation rate</w:t>
      </w:r>
      <w:r>
        <w:t xml:space="preserve"> </w:t>
      </w:r>
      <w:r>
        <w:t xml:space="preserve">to address the following questions: Does variation in the relative abundance of</w:t>
      </w:r>
      <w:r>
        <w:t xml:space="preserve"> </w:t>
      </w:r>
      <w:r>
        <w:t xml:space="preserve">microbial taxa contribute to variation in soil methane oxidation rate in our</w:t>
      </w:r>
      <w:r>
        <w:t xml:space="preserve"> </w:t>
      </w:r>
      <w:r>
        <w:t xml:space="preserve">system? Which attributes of the microbiome are associated with variation in</w:t>
      </w:r>
      <w:r>
        <w:t xml:space="preserve"> </w:t>
      </w:r>
      <w:r>
        <w:t xml:space="preserve">methane oxidation rate, and do these attributes match our assumptions about the</w:t>
      </w:r>
      <w:r>
        <w:t xml:space="preserve"> </w:t>
      </w:r>
      <w:r>
        <w:t xml:space="preserve">factors that regulate methane oxidation rate in 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w:t>
      </w:r>
      <w:r>
        <w:t xml:space="preserve"> </w:t>
      </w:r>
      <w:r>
        <w:t xml:space="preserve">(14)</w:t>
      </w:r>
      <w:r>
        <w:t xml:space="preserve"> </w:t>
      </w:r>
      <w:r>
        <w:t xml:space="preserve">by passaging replicate soil microbiomes. The trait we</w:t>
      </w:r>
      <w:r>
        <w:t xml:space="preserve"> </w:t>
      </w:r>
      <w:r>
        <w:t xml:space="preserve">selected on was methane (CH</w:t>
      </w:r>
      <w:r>
        <w:rPr>
          <w:vertAlign w:val="subscript"/>
        </w:rPr>
        <w:t xml:space="preserve">4</w:t>
      </w:r>
      <w:r>
        <w:t xml:space="preserve">)-oxidation rate. This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homogenized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with CH</w:t>
      </w:r>
      <w:r>
        <w:rPr>
          <w:vertAlign w:val="subscript"/>
        </w:rPr>
        <w:t xml:space="preserve">4</w:t>
      </w:r>
      <w:r>
        <w:t xml:space="preserve"> </w:t>
      </w:r>
      <w:r>
        <w:t xml:space="preserve">twice per week to maintain aerobic conditions</w:t>
      </w:r>
      <w:r>
        <w:t xml:space="preserve"> </w:t>
      </w:r>
      <w:r>
        <w:t xml:space="preserve">and elevated 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 of</w:t>
      </w:r>
      <w:r>
        <w:t xml:space="preserve"> </w:t>
      </w:r>
      <w:r>
        <w:t xml:space="preserve">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methane.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in passage two for the positive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positive and neutral</w:t>
      </w:r>
      <w:r>
        <w:t xml:space="preserve"> </w:t>
      </w:r>
      <w:r>
        <w:t xml:space="preserve">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positive and neutral treatments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methane oxidation rate due to</w:t>
      </w:r>
      <w:r>
        <w:t xml:space="preserve"> </w:t>
      </w:r>
      <w:r>
        <w:t xml:space="preserve">variation in the microbiome as the regression of divergence between the positive</w:t>
      </w:r>
      <w:r>
        <w:t xml:space="preserve"> </w:t>
      </w:r>
      <w:r>
        <w:t xml:space="preserve">and neutral treatment on the cumulative selection differential</w:t>
      </w:r>
      <w:r>
        <w:t xml:space="preserve"> </w:t>
      </w:r>
      <w:r>
        <w:t xml:space="preserve">(32)</w:t>
      </w:r>
      <w:r>
        <w:t xml:space="preserve">.</w:t>
      </w:r>
      <w:r>
        <w:t xml:space="preserve"> </w:t>
      </w:r>
      <w:r>
        <w:t xml:space="preserve">Divergence was calculated as the mean methane oxidation rate of the positive</w:t>
      </w:r>
      <w:r>
        <w:t xml:space="preserve"> </w:t>
      </w:r>
      <w:r>
        <w:t xml:space="preserve">treatment minus the mean methane oxidation rate of the neutral treatment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1.86,</w:t>
      </w:r>
      <w:r>
        <w:t xml:space="preserve"> </w:t>
      </w:r>
      <w:r>
        <w:t xml:space="preserve">p = 3.85). At the start of the experiment,</w:t>
      </w:r>
      <w:r>
        <w:t xml:space="preserve"> </w:t>
      </w:r>
      <w:r>
        <w:t xml:space="preserve">the Positive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Neutral treatment</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 treatment over the</w:t>
      </w:r>
      <w:r>
        <w:t xml:space="preserve"> </w:t>
      </w:r>
      <w:r>
        <w:t xml:space="preserve">five passages (slope = -0.01, SE = 0.05, t = -0.26, p = 0.80). By contrast, the Positive</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 we regressed divergence between the</w:t>
      </w:r>
      <w:r>
        <w:t xml:space="preserve"> </w:t>
      </w:r>
      <w:r>
        <w:t xml:space="preserve">positive selection treatment and the control against the cumulative selection</w:t>
      </w:r>
      <w:r>
        <w:t xml:space="preserve"> </w:t>
      </w:r>
      <w:r>
        <w:t xml:space="preserve">differential (Figure 3). 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(41)</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 which in our</w:t>
      </w:r>
      <w:r>
        <w:t xml:space="preserve"> </w:t>
      </w:r>
      <w:r>
        <w:t xml:space="preserve">experiment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4).</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5).</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(43)</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(44)</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
        </w:rPr>
        <w:t xml:space="preserve">Fimbriimonadaceae</w:t>
      </w:r>
      <w:r>
        <w:t xml:space="preserve"> </w:t>
      </w:r>
      <w:r>
        <w:t xml:space="preserve">and an unclassified ASV from the order Armatimonadales</w:t>
      </w:r>
      <w:r>
        <w:t xml:space="preserve"> </w:t>
      </w:r>
      <w:r>
        <w:t xml:space="preserve">(45)</w:t>
      </w:r>
      <w:r>
        <w:t xml:space="preserve">.</w:t>
      </w:r>
      <w:r>
        <w:t xml:space="preserve"> </w:t>
      </w:r>
      <w:r>
        <w:rPr>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(46)</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Positive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Positive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(47,48)</w:t>
      </w:r>
      <w:r>
        <w:t xml:space="preserve">. Based on this analysis,</w:t>
      </w:r>
      <w:r>
        <w:t xml:space="preserve"> </w:t>
      </w:r>
      <w:r>
        <w:t xml:space="preserve">it appears that no methanotrophs were enriched in the Positive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methane 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methane 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methane oxidation rate independent of the environment. This suggests that</w:t>
      </w:r>
      <w:r>
        <w:t xml:space="preserve"> </w:t>
      </w:r>
      <w:r>
        <w:t xml:space="preserve">microbiome manipulations could be an effective approach for altering the rate of</w:t>
      </w:r>
      <w:r>
        <w:t xml:space="preserve"> </w:t>
      </w:r>
      <w:r>
        <w:t xml:space="preserve">methane 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(32)</w:t>
      </w:r>
      <w:r>
        <w:t xml:space="preserve">. We can</w:t>
      </w:r>
      <w:r>
        <w:t xml:space="preserve"> </w:t>
      </w:r>
      <w:r>
        <w:t xml:space="preserve">calculate the response to selection as the difference between two successive</w:t>
      </w:r>
      <w:r>
        <w:t xml:space="preserve"> </w:t>
      </w:r>
      <w:r>
        <w:t xml:space="preserve">passages in their mean methane oxidation rate. We will denote this as</w:t>
      </w:r>
      <w:r>
        <w:t xml:space="preserve"> </w:t>
      </w:r>
      <m:oMath>
        <m:r>
          <m:t>R</m:t>
        </m:r>
      </m:oMath>
      <w:r>
        <w:t xml:space="preserve">. We</w:t>
      </w:r>
      <w:r>
        <w:t xml:space="preserve"> </w:t>
      </w:r>
      <w:r>
        <w:t xml:space="preserve">can also calculate the strength of selection as the difference in mean methane</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methane</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This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(49)</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(41)</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methane oxidation. 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methane 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Given that variation in the microbiome is driving substantial variation in</w:t>
      </w:r>
      <w:r>
        <w:t xml:space="preserve"> </w:t>
      </w:r>
      <w:r>
        <w:t xml:space="preserve">methane oxidation rate in our system, we next wanted to determine which aspects of the</w:t>
      </w:r>
      <w:r>
        <w:t xml:space="preserve"> </w:t>
      </w:r>
      <w:r>
        <w:t xml:space="preserve">microbiome best explain this contribution of microbiome variation to</w:t>
      </w:r>
      <w:r>
        <w:t xml:space="preserve"> </w:t>
      </w:r>
      <w:r>
        <w:t xml:space="preserve">methane oxidation rate. 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methane 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w:t>
      </w:r>
      <w:r>
        <w:t xml:space="preserve"> </w:t>
      </w:r>
      <w:r>
        <w:t xml:space="preserve">ecosystem-scale methane oxidation rates can be altered by non-methanotrophs,</w:t>
      </w:r>
      <w:r>
        <w:t xml:space="preserve"> </w:t>
      </w:r>
      <w:r>
        <w:t xml:space="preserve">perhaps through ecological interactions with methanotrophic species.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(50)</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(51)</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(52)</w:t>
      </w:r>
      <w:r>
        <w:t xml:space="preserve"> </w:t>
      </w:r>
      <w:r>
        <w:t xml:space="preserve">or</w:t>
      </w:r>
      <w:r>
        <w:t xml:space="preserve"> </w:t>
      </w:r>
      <w:r>
        <w:t xml:space="preserve">ameliorate the impacts of environmental change</w:t>
      </w:r>
      <w:r>
        <w:t xml:space="preserve"> </w:t>
      </w:r>
      <w:r>
        <w:t xml:space="preserve">(53)</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supplement"/>
      <w:r>
        <w:t xml:space="preserve">Supplement</w:t>
      </w:r>
      <w:bookmarkEnd w:id="39"/>
    </w:p>
    <w:p>
      <w:pPr>
        <w:pStyle w:val="Heading1"/>
      </w:pPr>
      <w:bookmarkStart w:id="40" w:name="references"/>
      <w:r>
        <w:t xml:space="preserve">References</w:t>
      </w:r>
      <w:bookmarkEnd w:id="40"/>
    </w:p>
    <w:bookmarkStart w:id="94" w:name="refs"/>
    <w:bookmarkStart w:id="41" w:name="ref-conrad1996"/>
    <w:p>
      <w:pPr>
        <w:pStyle w:val="Bibliography"/>
      </w:pPr>
      <w:r>
        <w:t xml:space="preserve">1. Conrad R. Soil microorganisms as controllers of atmospheric trace gases (H2, CO, CH4, OCS, N2O, and NO). Microbiological Reviews. 1996 Dec;60(4):609–40.</w:t>
      </w:r>
      <w:r>
        <w:t xml:space="preserve"> </w:t>
      </w:r>
    </w:p>
    <w:bookmarkEnd w:id="41"/>
    <w:bookmarkStart w:id="42" w:name="ref-schimel1998"/>
    <w:p>
      <w:pPr>
        <w:pStyle w:val="Bibliography"/>
      </w:pPr>
      <w:r>
        <w:t xml:space="preserve">2. Schimel JP, Gulledge J. Microbial community structure and global trace gases. Global Change Biology. 1998;4(7):745–58.</w:t>
      </w:r>
      <w:r>
        <w:t xml:space="preserve"> </w:t>
      </w:r>
    </w:p>
    <w:bookmarkEnd w:id="42"/>
    <w:bookmarkStart w:id="43"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3"/>
    <w:bookmarkStart w:id="44" w:name="ref-cavigelli2000"/>
    <w:p>
      <w:pPr>
        <w:pStyle w:val="Bibliography"/>
      </w:pPr>
      <w:r>
        <w:t xml:space="preserve">4. Cavigelli MA, Robertson GP. The Functional Significance of Denitrifier Community Composition in a Terrestrial Ecosystem. Ecology. 2000;81(5):1402–14.</w:t>
      </w:r>
      <w:r>
        <w:t xml:space="preserve"> </w:t>
      </w:r>
    </w:p>
    <w:bookmarkEnd w:id="44"/>
    <w:bookmarkStart w:id="45"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5"/>
    <w:bookmarkStart w:id="46" w:name="ref-waldrop2006"/>
    <w:p>
      <w:pPr>
        <w:pStyle w:val="Bibliography"/>
      </w:pPr>
      <w:r>
        <w:t xml:space="preserve">6. Waldrop MP, Firestone MK. Response of Microbial Community Composition and Function to Soil Climate Change. Microbial Ecology. 2006 Nov;52(4):716–24.</w:t>
      </w:r>
      <w:r>
        <w:t xml:space="preserve"> </w:t>
      </w:r>
    </w:p>
    <w:bookmarkEnd w:id="46"/>
    <w:bookmarkStart w:id="47" w:name="ref-strickland2009"/>
    <w:p>
      <w:pPr>
        <w:pStyle w:val="Bibliography"/>
      </w:pPr>
      <w:r>
        <w:t xml:space="preserve">7. Strickland MS, Lauber C, Fierer N, Bradford MA. Testing the functional significance of microbial community composition. Ecology. 2009;90(2):441–51.</w:t>
      </w:r>
      <w:r>
        <w:t xml:space="preserve"> </w:t>
      </w:r>
    </w:p>
    <w:bookmarkEnd w:id="47"/>
    <w:bookmarkStart w:id="48"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8"/>
    <w:bookmarkStart w:id="49"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9"/>
    <w:bookmarkStart w:id="50"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50"/>
    <w:bookmarkStart w:id="51"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1"/>
    <w:bookmarkStart w:id="52"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2"/>
    <w:bookmarkStart w:id="53" w:name="ref-reed2007"/>
    <w:p>
      <w:pPr>
        <w:pStyle w:val="Bibliography"/>
      </w:pPr>
      <w:r>
        <w:t xml:space="preserve">13. Reed HE, Martiny JBH. Testing the functional significance of microbial composition in natural communities. FEMS Microbiology Ecology. 2007;62(2):161–70.</w:t>
      </w:r>
      <w:r>
        <w:t xml:space="preserve"> </w:t>
      </w:r>
    </w:p>
    <w:bookmarkEnd w:id="53"/>
    <w:bookmarkStart w:id="54" w:name="ref-swenson2000"/>
    <w:p>
      <w:pPr>
        <w:pStyle w:val="Bibliography"/>
      </w:pPr>
      <w:r>
        <w:t xml:space="preserve">14. Swenson W, Wilson DS, Elias R. Artificial ecosystem selection. Proceedings of the National Academy of Sciences. 2000 Aug;97(16):9110–4.</w:t>
      </w:r>
      <w:r>
        <w:t xml:space="preserve"> </w:t>
      </w:r>
    </w:p>
    <w:bookmarkEnd w:id="54"/>
    <w:bookmarkStart w:id="55" w:name="ref-blouin2015"/>
    <w:p>
      <w:pPr>
        <w:pStyle w:val="Bibliography"/>
      </w:pPr>
      <w:r>
        <w:t xml:space="preserve">15. Blouin M, Karimi B, Mathieu J, Lerch TZ. Levels and limits in artificial selection of communities. Ecology Letters. 2015;18(10):1040–8.</w:t>
      </w:r>
      <w:r>
        <w:t xml:space="preserve"> </w:t>
      </w:r>
    </w:p>
    <w:bookmarkEnd w:id="55"/>
    <w:bookmarkStart w:id="56"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6"/>
    <w:bookmarkStart w:id="57"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7"/>
    <w:bookmarkStart w:id="58"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8"/>
    <w:bookmarkStart w:id="59"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9"/>
    <w:bookmarkStart w:id="60"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60"/>
    <w:bookmarkStart w:id="61"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1"/>
    <w:bookmarkStart w:id="62"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2"/>
    <w:bookmarkStart w:id="63" w:name="ref-martiny2013"/>
    <w:p>
      <w:pPr>
        <w:pStyle w:val="Bibliography"/>
      </w:pPr>
      <w:r>
        <w:t xml:space="preserve">23. Martiny AC, Treseder K, Pusch G. Phylogenetic conservatism of functional traits in microorganisms. The ISME Journal. 2013 Apr;7(4):830–8.</w:t>
      </w:r>
      <w:r>
        <w:t xml:space="preserve"> </w:t>
      </w:r>
    </w:p>
    <w:bookmarkEnd w:id="63"/>
    <w:bookmarkStart w:id="64" w:name="ref-sanchez2021"/>
    <w:p>
      <w:pPr>
        <w:pStyle w:val="Bibliography"/>
      </w:pPr>
      <w:r>
        <w:t xml:space="preserve">24. Sánchez Á, Vila JCC, Chang C-Y, Diaz-Colunga J, Estrela S, Rebolleda-Gomez M. Directed Evolution of Microbial Communities. Annual Review of Biophysics. 2021;50(1):323–41.</w:t>
      </w:r>
      <w:r>
        <w:t xml:space="preserve"> </w:t>
      </w:r>
    </w:p>
    <w:bookmarkEnd w:id="64"/>
    <w:bookmarkStart w:id="65" w:name="ref-caporaso2011"/>
    <w:p>
      <w:pPr>
        <w:pStyle w:val="Bibliography"/>
      </w:pPr>
      <w:r>
        <w:t xml:space="preserve">25.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5"/>
    <w:bookmarkStart w:id="66" w:name="ref-fadrosh2014"/>
    <w:p>
      <w:pPr>
        <w:pStyle w:val="Bibliography"/>
      </w:pPr>
      <w:r>
        <w:t xml:space="preserve">26. Fadrosh DW, Ma B, Gajer P, Sengamalay N, Ott S, Brotman RM, et al. An improved dual-indexing approach for multiplexed 16S rRNA gene sequencing on the Illumina MiSeq platform. Microbiome. 2014 Dec;2(1):1–7.</w:t>
      </w:r>
      <w:r>
        <w:t xml:space="preserve"> </w:t>
      </w:r>
    </w:p>
    <w:bookmarkEnd w:id="66"/>
    <w:bookmarkStart w:id="67" w:name="ref-kozich2013"/>
    <w:p>
      <w:pPr>
        <w:pStyle w:val="Bibliography"/>
      </w:pPr>
      <w:r>
        <w:t xml:space="preserve">27.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7"/>
    <w:bookmarkStart w:id="68" w:name="ref-rcoreteam2018"/>
    <w:p>
      <w:pPr>
        <w:pStyle w:val="Bibliography"/>
      </w:pPr>
      <w:r>
        <w:t xml:space="preserve">28. R Core Team. R: A language and environment for statistical computing. Vienna, Austria: R Foundation for Statistical Computing; 2018.</w:t>
      </w:r>
      <w:r>
        <w:t xml:space="preserve"> </w:t>
      </w:r>
    </w:p>
    <w:bookmarkEnd w:id="68"/>
    <w:bookmarkStart w:id="69" w:name="ref-callahan2016"/>
    <w:p>
      <w:pPr>
        <w:pStyle w:val="Bibliography"/>
      </w:pPr>
      <w:r>
        <w:t xml:space="preserve">29. Callahan BJ, McMurdie PJ, Rosen MJ, Han AW, Johnson AJA, Holmes SP. DADA2: High-resolution sample inference from Illumina amplicon data. Nature Methods. 2016 Jul;13(7):581–3.</w:t>
      </w:r>
      <w:r>
        <w:t xml:space="preserve"> </w:t>
      </w:r>
    </w:p>
    <w:bookmarkEnd w:id="69"/>
    <w:bookmarkStart w:id="70" w:name="ref-wang2007"/>
    <w:p>
      <w:pPr>
        <w:pStyle w:val="Bibliography"/>
      </w:pPr>
      <w:r>
        <w:t xml:space="preserve">30. Wang Q, Garrity GM, Tiedje JM, Cole JR. Naïve Bayesian Classifier for Rapid Assignment of rRNA Sequences into the New Bacterial Taxonomy. Applied and Environmental Microbiology. 2007 Aug;73(16):5261–7.</w:t>
      </w:r>
      <w:r>
        <w:t xml:space="preserve"> </w:t>
      </w:r>
    </w:p>
    <w:bookmarkEnd w:id="70"/>
    <w:bookmarkStart w:id="71" w:name="ref-davis2018"/>
    <w:p>
      <w:pPr>
        <w:pStyle w:val="Bibliography"/>
      </w:pPr>
      <w:r>
        <w:t xml:space="preserve">31. Davis NM, Proctor DM, Holmes SP, Relman DA, Callahan BJ. Simple statistical identification and removal of contaminant sequences in marker-gene and metagenomics data. Microbiome. 2018 Dec;6(1):1–14.</w:t>
      </w:r>
      <w:r>
        <w:t xml:space="preserve"> </w:t>
      </w:r>
    </w:p>
    <w:bookmarkEnd w:id="71"/>
    <w:bookmarkStart w:id="72" w:name="ref-falconer1996"/>
    <w:p>
      <w:pPr>
        <w:pStyle w:val="Bibliography"/>
      </w:pPr>
      <w:r>
        <w:t xml:space="preserve">32. Falconer DS, MacKay TFC. Introduction to quantitative genetics. Harlow : Prentice Hall; 1996.</w:t>
      </w:r>
      <w:r>
        <w:t xml:space="preserve"> </w:t>
      </w:r>
    </w:p>
    <w:bookmarkEnd w:id="72"/>
    <w:bookmarkStart w:id="73" w:name="ref-hurlbert1971"/>
    <w:p>
      <w:pPr>
        <w:pStyle w:val="Bibliography"/>
      </w:pPr>
      <w:r>
        <w:t xml:space="preserve">33. Hurlbert SH. The Nonconcept of Species Diversity: A Critique and Alternative Parameters. Ecology. 1971;52(4):577–86.</w:t>
      </w:r>
      <w:r>
        <w:t xml:space="preserve"> </w:t>
      </w:r>
    </w:p>
    <w:bookmarkEnd w:id="73"/>
    <w:bookmarkStart w:id="74" w:name="ref-oksanen2019"/>
    <w:p>
      <w:pPr>
        <w:pStyle w:val="Bibliography"/>
      </w:pPr>
      <w:r>
        <w:t xml:space="preserve">34. Oksanen J, Blanchet FG, Friendly M, Kindt R, Legendre P, McGlinn D, et al. Vegan: Community ecology package. 2019.</w:t>
      </w:r>
      <w:r>
        <w:t xml:space="preserve"> </w:t>
      </w:r>
    </w:p>
    <w:bookmarkEnd w:id="74"/>
    <w:bookmarkStart w:id="75" w:name="ref-bray1957"/>
    <w:p>
      <w:pPr>
        <w:pStyle w:val="Bibliography"/>
      </w:pPr>
      <w:r>
        <w:t xml:space="preserve">35. Bray JR, Curtis JT. An Ordination of the Upland Forest Communities of Southern Wisconsin. Ecological Monographs. 1957;27(4):325–49.</w:t>
      </w:r>
      <w:r>
        <w:t xml:space="preserve"> </w:t>
      </w:r>
    </w:p>
    <w:bookmarkEnd w:id="75"/>
    <w:bookmarkStart w:id="76" w:name="ref-mcardle2001"/>
    <w:p>
      <w:pPr>
        <w:pStyle w:val="Bibliography"/>
      </w:pPr>
      <w:r>
        <w:t xml:space="preserve">36. McArdle BH, Anderson MJ. Fitting Multivariate Models to Community Data: A Comment on Distance-Based Redundancy Analysis. Ecology. 2001;82(1):290–7.</w:t>
      </w:r>
      <w:r>
        <w:t xml:space="preserve"> </w:t>
      </w:r>
    </w:p>
    <w:bookmarkEnd w:id="76"/>
    <w:bookmarkStart w:id="77" w:name="ref-kaul2017"/>
    <w:p>
      <w:pPr>
        <w:pStyle w:val="Bibliography"/>
      </w:pPr>
      <w:r>
        <w:t xml:space="preserve">37.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38. Lin H, Peddada SD. Analysis of compositions of microbiomes with bias correction. Nature Communications. 2020 Jul;11(1):3514.</w:t>
      </w:r>
      <w:r>
        <w:t xml:space="preserve"> </w:t>
      </w:r>
    </w:p>
    <w:bookmarkEnd w:id="78"/>
    <w:bookmarkStart w:id="79" w:name="ref-fernandes2014"/>
    <w:p>
      <w:pPr>
        <w:pStyle w:val="Bibliography"/>
      </w:pPr>
      <w:r>
        <w:t xml:space="preserve">39.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40. Martin BD, Witten D, Willis AD. Modeling microbial abundances and dysbiosis with beta-binomial regression. The Annals of Applied Statistics. 2020 Mar;14(1):94–115.</w:t>
      </w:r>
      <w:r>
        <w:t xml:space="preserve"> </w:t>
      </w:r>
    </w:p>
    <w:bookmarkEnd w:id="80"/>
    <w:bookmarkStart w:id="81" w:name="ref-difford2016"/>
    <w:p>
      <w:pPr>
        <w:pStyle w:val="Bibliography"/>
      </w:pPr>
      <w:r>
        <w:t xml:space="preserve">41. Difford G, Lassen J, Lovendahl P. Genes and microbes, the next step in dairy cattle breeding. In: EAAP-67th annual meeting 2016. Wageningen Academic Publishers; 2016. pp. 285–5.</w:t>
      </w:r>
      <w:r>
        <w:t xml:space="preserve"> </w:t>
      </w:r>
    </w:p>
    <w:bookmarkEnd w:id="81"/>
    <w:bookmarkStart w:id="82" w:name="ref-stein2012"/>
    <w:p>
      <w:pPr>
        <w:pStyle w:val="Bibliography"/>
      </w:pPr>
      <w:r>
        <w:t xml:space="preserve">42. Stein LY, Roy R, Dunfield PF. Aerobic Methanotrophy and Nitrification: Processes and Connections. In: eLS. John Wiley &amp; Sons, Ltd; 2012.</w:t>
      </w:r>
      <w:r>
        <w:t xml:space="preserve"> </w:t>
      </w:r>
    </w:p>
    <w:bookmarkEnd w:id="82"/>
    <w:bookmarkStart w:id="83" w:name="ref-garrity2005"/>
    <w:p>
      <w:pPr>
        <w:pStyle w:val="Bibliography"/>
      </w:pPr>
      <w:r>
        <w:t xml:space="preserve">43. Garrity GM, Bell JA, Lilburn TG. Class III. Gammaproteobacteria class. Nov., p. 1. In: Brenner DJ, Krieg NR, Staley JT, Garrity GM, editors. Bergey’s manual of systematic bacteriology. Second. New York, NY: Springer; 2005.</w:t>
      </w:r>
      <w:r>
        <w:t xml:space="preserve"> </w:t>
      </w:r>
    </w:p>
    <w:bookmarkEnd w:id="83"/>
    <w:bookmarkStart w:id="84" w:name="ref-freitag2003"/>
    <w:p>
      <w:pPr>
        <w:pStyle w:val="Bibliography"/>
      </w:pPr>
      <w:r>
        <w:t xml:space="preserve">44. Freitag TE, Prosser JI. Community Structure of Ammonia-Oxidizing Bacteria within Anoxic Marine Sediments. Applied and Environmental Microbiology. 2003 Mar;69(3):1359–71.</w:t>
      </w:r>
      <w:r>
        <w:t xml:space="preserve"> </w:t>
      </w:r>
    </w:p>
    <w:bookmarkEnd w:id="84"/>
    <w:bookmarkStart w:id="85" w:name="ref-im2012"/>
    <w:p>
      <w:pPr>
        <w:pStyle w:val="Bibliography"/>
      </w:pPr>
      <w:r>
        <w:t xml:space="preserve">45. Im W-T, Hu Z-Y, Kim K-H, Rhee S-K, Meng H, Lee S-T, et al. Description of Fimbriimonas ginsengisoli gen. Nov., sp. Nov. Within the Fimbriimonadia class nov., of the phylum Armatimonadetes. Antonie van Leeuwenhoek. 2012 Aug;102(2):307–17.</w:t>
      </w:r>
      <w:r>
        <w:t xml:space="preserve"> </w:t>
      </w:r>
    </w:p>
    <w:bookmarkEnd w:id="85"/>
    <w:bookmarkStart w:id="86" w:name="ref-mcbride2014"/>
    <w:p>
      <w:pPr>
        <w:pStyle w:val="Bibliography"/>
      </w:pPr>
      <w:r>
        <w:t xml:space="preserve">46.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6"/>
    <w:bookmarkStart w:id="87" w:name="ref-tamas2014"/>
    <w:p>
      <w:pPr>
        <w:pStyle w:val="Bibliography"/>
      </w:pPr>
      <w:r>
        <w:t xml:space="preserve">47. Tamas I, Smirnova AV, He Z, Dunfield PF. The (d)Evolution of methanotrophy in the Beijerinckiaceaea comparative genomics analysis. The ISME Journal. 2014 Feb;8(2):369–82.</w:t>
      </w:r>
      <w:r>
        <w:t xml:space="preserve"> </w:t>
      </w:r>
    </w:p>
    <w:bookmarkEnd w:id="87"/>
    <w:bookmarkStart w:id="88" w:name="ref-dedysh2016"/>
    <w:p>
      <w:pPr>
        <w:pStyle w:val="Bibliography"/>
      </w:pPr>
      <w:r>
        <w:t xml:space="preserve">48.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8"/>
    <w:bookmarkStart w:id="89" w:name="ref-lynch1998"/>
    <w:p>
      <w:pPr>
        <w:pStyle w:val="Bibliography"/>
      </w:pPr>
      <w:r>
        <w:t xml:space="preserve">49. Lynch M, Walsh B. Genetics and Analysis of Quantitative Traits. Oxford University Press; 1998.</w:t>
      </w:r>
      <w:r>
        <w:t xml:space="preserve"> </w:t>
      </w:r>
    </w:p>
    <w:bookmarkEnd w:id="89"/>
    <w:bookmarkStart w:id="90" w:name="ref-morris2020"/>
    <w:p>
      <w:pPr>
        <w:pStyle w:val="Bibliography"/>
      </w:pPr>
      <w:r>
        <w:t xml:space="preserve">50.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0"/>
    <w:bookmarkStart w:id="91" w:name="ref-mueller2022"/>
    <w:p>
      <w:pPr>
        <w:pStyle w:val="Bibliography"/>
      </w:pPr>
      <w:r>
        <w:t xml:space="preserve">51. Mueller UG, Linksvayer TA. Microbiome breeding: Conceptual and practical issues. Trends in Microbiology. 2022 Oct;30(10):997–1011.</w:t>
      </w:r>
      <w:r>
        <w:t xml:space="preserve"> </w:t>
      </w:r>
    </w:p>
    <w:bookmarkEnd w:id="91"/>
    <w:bookmarkStart w:id="92" w:name="ref-chaparro2012"/>
    <w:p>
      <w:pPr>
        <w:pStyle w:val="Bibliography"/>
      </w:pPr>
      <w:r>
        <w:t xml:space="preserve">52. Chaparro JM, Sheflin AM, Manter DK, Vivanco JM. Manipulating the soil microbiome to increase soil health and plant fertility. Biology and Fertility of Soils. 2012 Jul;48(5):489–99.</w:t>
      </w:r>
      <w:r>
        <w:t xml:space="preserve"> </w:t>
      </w:r>
    </w:p>
    <w:bookmarkEnd w:id="92"/>
    <w:bookmarkStart w:id="93" w:name="ref-jansson2020"/>
    <w:p>
      <w:pPr>
        <w:pStyle w:val="Bibliography"/>
      </w:pPr>
      <w:r>
        <w:t xml:space="preserve">53. Jansson JK, Hofmockel KS. Soil microbiomes and climate change. Nature Reviews Microbiology. 2020 Jan;18(1):35–46.</w:t>
      </w:r>
      <w:r>
        <w:t xml:space="preserve"> </w:t>
      </w:r>
    </w:p>
    <w:bookmarkEnd w:id="93"/>
    <w:bookmarkEnd w:id="94"/>
    <w:p>
      <w:pPr>
        <w:pStyle w:val="Heading1"/>
      </w:pPr>
      <w:bookmarkStart w:id="95" w:name="figure-captions"/>
      <w:r>
        <w:t xml:space="preserve">Figure Captions</w:t>
      </w:r>
      <w:bookmarkEnd w:id="95"/>
    </w:p>
    <w:p>
      <w:pPr>
        <w:pStyle w:val="FirstParagraph"/>
      </w:pPr>
      <w:r>
        <w:t xml:space="preserve">Figure 1: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There was a significant difference of slopes between the positive selection treatment and the control (F</w:t>
      </w:r>
      <w:r>
        <w:rPr>
          <w:vertAlign w:val="subscript"/>
        </w:rPr>
        <w:t xml:space="preserve">2,113</w:t>
      </w:r>
      <w:r>
        <w:t xml:space="preserve"> </w:t>
      </w:r>
      <w:r>
        <w:t xml:space="preserve">= 1.86, p = 3.85).</w:t>
      </w:r>
    </w:p>
    <w:p>
      <w:pPr>
        <w:pStyle w:val="TextBody"/>
      </w:pPr>
      <w:r>
        <w:t xml:space="preserve">Figure 3: Divergence between the positive selection line and the control line over the cumulative selection differential. Values are CH</w:t>
      </w:r>
      <w:r>
        <w:rPr>
          <w:vertAlign w:val="subscript"/>
        </w:rPr>
        <w:t xml:space="preserve">4</w:t>
      </w:r>
      <w:r>
        <w:t xml:space="preserve"> </w:t>
      </w:r>
      <w:r>
        <w:t xml:space="preserve">oxidation rate as the additive inverse of the first-order exponential decay constant k (day</w:t>
      </w:r>
      <w:r>
        <w:rPr>
          <w:vertAlign w:val="superscript"/>
        </w:rPr>
        <w:t xml:space="preserve">-1</w:t>
      </w:r>
      <w:r>
        <w:t xml:space="preserve">). Regression of divergence on cumulative selection differential provides an estimate of realized heritability (h</w:t>
      </w:r>
      <w:r>
        <w:rPr>
          <w:vertAlign w:val="superscript"/>
        </w:rPr>
        <w:t xml:space="preserve">2</w:t>
      </w:r>
      <w:r>
        <w:t xml:space="preserve"> </w:t>
      </w:r>
      <w:r>
        <w:t xml:space="preserve">± SE) and the slope of the regression was 0.31 ± 0.17, though this was not significant (F</w:t>
      </w:r>
      <w:r>
        <w:rPr>
          <w:vertAlign w:val="subscript"/>
        </w:rPr>
        <w:t xml:space="preserve">1,2</w:t>
      </w:r>
      <w:r>
        <w:t xml:space="preserve"> </w:t>
      </w:r>
      <w:r>
        <w:t xml:space="preserve">= 3.44, p = 0.20).</w:t>
      </w:r>
    </w:p>
    <w:p>
      <w:pPr>
        <w:pStyle w:val="TextBody"/>
      </w:pPr>
      <w:r>
        <w:t xml:space="preserve">Figure 4: Non-metric multidimensional scaling plot of beta diversity for all jars. Dissimilarities are rarefied Bray-Curtis dissimilarity averaged over 99 subsamples.</w:t>
      </w:r>
    </w:p>
    <w:p>
      <w:pPr>
        <w:pStyle w:val="TextBody"/>
      </w:pPr>
      <w:r>
        <w:t xml:space="preserve">Figure 5: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2023-02-25T00:00:53Z</dcterms:created>
  <dcterms:modified xsi:type="dcterms:W3CDTF">2023-02-25T00:00:53Z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