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soil</w:t>
      </w:r>
      <w:r>
        <w:t xml:space="preserve"> </w:t>
      </w:r>
      <w:r>
        <w:t xml:space="preserve">microbiome</w:t>
      </w:r>
      <w:r>
        <w:t xml:space="preserve"> </w:t>
      </w:r>
      <w:r>
        <w:t xml:space="preserve">composition</w:t>
      </w:r>
      <w:r>
        <w:t xml:space="preserve"> </w:t>
      </w:r>
      <w:r>
        <w:t xml:space="preserve">to</w:t>
      </w:r>
      <w:r>
        <w:t xml:space="preserve"> </w:t>
      </w:r>
      <w:r>
        <w:t xml:space="preserve">selection</w:t>
      </w:r>
      <w:r>
        <w:t xml:space="preserve"> </w:t>
      </w:r>
      <w:r>
        <w:t xml:space="preserve">on</w:t>
      </w:r>
      <w:r>
        <w:t xml:space="preserve"> </w:t>
      </w:r>
      <w:r>
        <w:t xml:space="preserve">methane</w:t>
      </w:r>
      <w:r>
        <w:t xml:space="preserve"> </w:t>
      </w:r>
      <w:r>
        <w:t xml:space="preserve">oxidation</w:t>
      </w:r>
      <w:r>
        <w:t xml:space="preserve"> </w:t>
      </w:r>
      <w:r>
        <w:t xml:space="preserve">rate</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p>
      <w:pPr>
        <w:pStyle w:val="Heading1"/>
      </w:pPr>
      <w:bookmarkStart w:id="20" w:name="abstract"/>
      <w:r>
        <w:t xml:space="preserve">Abstract</w:t>
      </w:r>
      <w:bookmarkEnd w:id="20"/>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To address these challenges, we imposed artificial</w:t>
      </w:r>
      <w:r>
        <w:t xml:space="preserve"> </w:t>
      </w:r>
      <w:r>
        <w:t xml:space="preserve">selection on whole soil ecosystems over multiple generations to select for microbial communities</w:t>
      </w:r>
      <w:r>
        <w:t xml:space="preserve"> </w:t>
      </w:r>
      <w:r>
        <w:t xml:space="preserve">with a high rate of CH</w:t>
      </w:r>
      <w:r>
        <w:rPr>
          <w:vertAlign w:val="subscript"/>
        </w:rPr>
        <w:t xml:space="preserve">4</w:t>
      </w:r>
      <w:r>
        <w:t xml:space="preserve"> </w:t>
      </w:r>
      <w:r>
        <w:t xml:space="preserve">oxidation. This approach</w:t>
      </w:r>
      <w:r>
        <w:t xml:space="preserve"> </w:t>
      </w:r>
      <w:r>
        <w:t xml:space="preserve">is potentially powerful because it is biologically</w:t>
      </w:r>
      <w:r>
        <w:t xml:space="preserve"> </w:t>
      </w:r>
      <w:r>
        <w:t xml:space="preserve">“</w:t>
      </w:r>
      <w:r>
        <w:t xml:space="preserve">agnostic</w:t>
      </w:r>
      <w:r>
        <w:t xml:space="preserve">”</w:t>
      </w:r>
      <w:r>
        <w:t xml:space="preserve"> </w:t>
      </w:r>
      <w:r>
        <w:t xml:space="preserve">in</w:t>
      </w:r>
      <w:r>
        <w:t xml:space="preserve"> </w:t>
      </w:r>
      <w:r>
        <w:t xml:space="preserve">that it makes few assumptions about which taxa are important to function, and</w:t>
      </w:r>
      <w:r>
        <w:t xml:space="preserve"> </w:t>
      </w:r>
      <w:r>
        <w:t xml:space="preserve">repeated passaging with fresh substrate weakens the covariance between microbes</w:t>
      </w:r>
      <w:r>
        <w:t xml:space="preserve"> </w:t>
      </w:r>
      <w:r>
        <w:t xml:space="preserve">and the environment. As a response to selection, we observed a</w:t>
      </w:r>
      <w:r>
        <w:t xml:space="preserve"> </w:t>
      </w:r>
      <w:r>
        <w:t xml:space="preserve">50.7% increase in</w:t>
      </w:r>
      <w:r>
        <w:t xml:space="preserve"> </w:t>
      </w:r>
      <w:r>
        <w:t xml:space="preserve">CH</w:t>
      </w:r>
      <w:r>
        <w:rPr>
          <w:vertAlign w:val="subscript"/>
        </w:rPr>
        <w:t xml:space="preserve">4</w:t>
      </w:r>
      <w:r>
        <w:t xml:space="preserve"> </w:t>
      </w:r>
      <w:r>
        <w:t xml:space="preserve">oxidation rate per passage relative to a control that experienced</w:t>
      </w:r>
      <w:r>
        <w:t xml:space="preserve"> </w:t>
      </w:r>
      <w:r>
        <w:t xml:space="preserve">random selection. We</w:t>
      </w:r>
      <w:r>
        <w:t xml:space="preserve"> </w:t>
      </w:r>
      <w:r>
        <w:t xml:space="preserve">estimated that 31.5% of the variation in</w:t>
      </w:r>
      <w:r>
        <w:t xml:space="preserve"> </w:t>
      </w:r>
      <w:r>
        <w:t xml:space="preserve">CH</w:t>
      </w:r>
      <w:r>
        <w:rPr>
          <w:vertAlign w:val="subscript"/>
        </w:rPr>
        <w:t xml:space="preserve">4</w:t>
      </w:r>
      <w:r>
        <w:t xml:space="preserve"> </w:t>
      </w:r>
      <w:r>
        <w:t xml:space="preserve">oxidation</w:t>
      </w:r>
      <w:r>
        <w:t xml:space="preserve"> </w:t>
      </w:r>
      <w:r>
        <w:t xml:space="preserve">rate in these soils can be attributed to microbiome variation (though this was not significant). We also found</w:t>
      </w:r>
      <w:r>
        <w:t xml:space="preserve"> </w:t>
      </w:r>
      <w:r>
        <w:t xml:space="preserve">that selection did not enrich for known CH</w:t>
      </w:r>
      <w:r>
        <w:rPr>
          <w:vertAlign w:val="subscript"/>
        </w:rPr>
        <w:t xml:space="preserve">4</w:t>
      </w:r>
      <w:r>
        <w:t xml:space="preserve"> </w:t>
      </w:r>
      <w:r>
        <w:t xml:space="preserve">oxidizers; instead, 12 families not</w:t>
      </w:r>
      <w:r>
        <w:t xml:space="preserve"> </w:t>
      </w:r>
      <w:r>
        <w:t xml:space="preserve">known to oxidize CH</w:t>
      </w:r>
      <w:r>
        <w:rPr>
          <w:vertAlign w:val="subscript"/>
        </w:rPr>
        <w:t xml:space="preserve">4</w:t>
      </w:r>
      <w:r>
        <w:t xml:space="preserve">, including</w:t>
      </w:r>
      <w:r>
        <w:t xml:space="preserve"> </w:t>
      </w:r>
      <w:r>
        <w:rPr>
          <w:i/>
        </w:rPr>
        <w:t xml:space="preserve">Fimbriimonadaceae</w:t>
      </w:r>
      <w:r>
        <w:t xml:space="preserve">,</w:t>
      </w:r>
      <w:r>
        <w:t xml:space="preserve"> </w:t>
      </w:r>
      <w:r>
        <w:rPr>
          <w:i/>
        </w:rPr>
        <w:t xml:space="preserve">Cytophagaceae</w:t>
      </w:r>
      <w:r>
        <w:t xml:space="preserve">, and</w:t>
      </w:r>
      <w:r>
        <w:t xml:space="preserve"> </w:t>
      </w:r>
      <w:r>
        <w:rPr>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w:t>
      </w:r>
      <w:r>
        <w:t xml:space="preserve"> </w:t>
      </w:r>
      <w:r>
        <w:t xml:space="preserve">independent of the environment and that this may not always be limited by the final step</w:t>
      </w:r>
      <w:r>
        <w:t xml:space="preserve"> </w:t>
      </w:r>
      <w:r>
        <w:t xml:space="preserve">in a pathway. This suggests</w:t>
      </w:r>
      <w:r>
        <w:t xml:space="preserve"> </w:t>
      </w:r>
      <w:r>
        <w:t xml:space="preserve">that manipulating microbiome composition directly without altering the environment</w:t>
      </w:r>
      <w:r>
        <w:t xml:space="preserve"> </w:t>
      </w:r>
      <w:r>
        <w:t xml:space="preserve">could be a viable strategy for managing</w:t>
      </w:r>
      <w:r>
        <w:t xml:space="preserve"> </w:t>
      </w:r>
      <w:r>
        <w:t xml:space="preserve">ecosystem functions.</w:t>
      </w:r>
    </w:p>
    <w:p>
      <w:pPr>
        <w:pStyle w:val="Heading1"/>
      </w:pPr>
      <w:bookmarkStart w:id="21" w:name="introduction"/>
      <w:r>
        <w:t xml:space="preserve">Introduction</w:t>
      </w:r>
      <w:bookmarkEnd w:id="21"/>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(1–3)</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(4–9)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Altering ecosystem functions via microbiome manipulations requires that the</w:t>
      </w:r>
      <w:r>
        <w:t xml:space="preserve"> </w:t>
      </w:r>
      <w:r>
        <w:t xml:space="preserve">microbiome contributes to variation in ecosystem function independent of other</w:t>
      </w:r>
      <w:r>
        <w:t xml:space="preserve"> </w:t>
      </w:r>
      <w:r>
        <w:t xml:space="preserve">drivers of ecosystem variation, such as variation in environmental conditions.</w:t>
      </w:r>
      <w:r>
        <w:t xml:space="preserve"> </w:t>
      </w:r>
      <w:r>
        <w:t xml:space="preserve">This is because the drivers of variation in ecosystem functions can interact in</w:t>
      </w:r>
      <w:r>
        <w:t xml:space="preserve"> </w:t>
      </w:r>
      <w:r>
        <w:t xml:space="preserve">complicated ways (Figure 1). Variation in the</w:t>
      </w:r>
      <w:r>
        <w:t xml:space="preserve"> </w:t>
      </w:r>
      <w:r>
        <w:t xml:space="preserve">microbiome can contribute directly to variation in ecosystem function, for</w:t>
      </w:r>
      <w:r>
        <w:t xml:space="preserve"> </w:t>
      </w:r>
      <w:r>
        <w:t xml:space="preserve">example, if a microbial population is replaced by one with a greater enzyme</w:t>
      </w:r>
      <w:r>
        <w:t xml:space="preserve"> </w:t>
      </w:r>
      <w:r>
        <w:t xml:space="preserve">efficiency. In addition, environmental conditions can contribute indirectly to</w:t>
      </w:r>
      <w:r>
        <w:t xml:space="preserve"> </w:t>
      </w:r>
      <w:r>
        <w:t xml:space="preserve">ecosystem function via covariance with the microbiome, for example, by providing</w:t>
      </w:r>
      <w:r>
        <w:t xml:space="preserve"> </w:t>
      </w:r>
      <w:r>
        <w:t xml:space="preserve">conditions that select for microbial groups that in turn alter the rates of</w:t>
      </w:r>
      <w:r>
        <w:t xml:space="preserve"> </w:t>
      </w:r>
      <w:r>
        <w:t xml:space="preserve">ecosystem functions. In this scenario, identifying the change in microbial</w:t>
      </w:r>
      <w:r>
        <w:t xml:space="preserve"> </w:t>
      </w:r>
      <w:r>
        <w:t xml:space="preserve">community composition without adequately controlling for the environmental</w:t>
      </w:r>
      <w:r>
        <w:t xml:space="preserve"> </w:t>
      </w:r>
      <w:r>
        <w:t xml:space="preserve">conditions would incorrectly attribute the change in ecosystem function to the</w:t>
      </w:r>
      <w:r>
        <w:t xml:space="preserve"> </w:t>
      </w:r>
      <w:r>
        <w:t xml:space="preserve">microbiome when it is ultimately an indirect effect of the environment.</w:t>
      </w:r>
      <w:r>
        <w:t xml:space="preserve"> </w:t>
      </w:r>
      <w:r>
        <w:t xml:space="preserve">Determining the independent contribution of microbiome variation to ecosystem</w:t>
      </w:r>
      <w:r>
        <w:t xml:space="preserve"> </w:t>
      </w:r>
      <w:r>
        <w:t xml:space="preserve">function is crucial because if microbiome composition is driven primarily by</w:t>
      </w:r>
      <w:r>
        <w:t xml:space="preserve"> </w:t>
      </w:r>
      <w:r>
        <w:t xml:space="preserve">environmental conditions, then introducing a desirable taxon through microbiome</w:t>
      </w:r>
      <w:r>
        <w:t xml:space="preserve"> </w:t>
      </w:r>
      <w:r>
        <w:t xml:space="preserve">manipulation without altering the environment will likely be unsuccessful at</w:t>
      </w:r>
      <w:r>
        <w:t xml:space="preserve"> </w:t>
      </w:r>
      <w:r>
        <w:t xml:space="preserve">shifting the targeted ecosystem function.</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 studies sample</w:t>
      </w:r>
      <w:r>
        <w:t xml:space="preserve"> </w:t>
      </w:r>
      <w:r>
        <w:t xml:space="preserve">natural variation in an ecosystem function across different habitats and</w:t>
      </w:r>
      <w:r>
        <w:t xml:space="preserve"> </w:t>
      </w:r>
      <w:r>
        <w:t xml:space="preserve">simultaneously measure variation in community composition. Investigators can</w:t>
      </w:r>
      <w:r>
        <w:t xml:space="preserve"> </w:t>
      </w:r>
      <w:r>
        <w:t xml:space="preserve">then correlate ecosystem function with aspects of community composition while</w:t>
      </w:r>
      <w:r>
        <w:t xml:space="preserve"> </w:t>
      </w:r>
      <w:r>
        <w:t xml:space="preserve">attempting to control for environmental variation. These approaches have</w:t>
      </w:r>
      <w:r>
        <w:t xml:space="preserve"> </w:t>
      </w:r>
      <w:r>
        <w:t xml:space="preserve">documented important relationships between microbiomes and ecosystem functions.</w:t>
      </w:r>
      <w:r>
        <w:t xml:space="preserve"> </w:t>
      </w:r>
      <w:r>
        <w:t xml:space="preserve">For example, a meta-analysis of these studies observed a small but significant</w:t>
      </w:r>
      <w:r>
        <w:t xml:space="preserve"> </w:t>
      </w:r>
      <w:r>
        <w:t xml:space="preserve">contribution of the microbiome to variation in ecosystem function after</w:t>
      </w:r>
      <w:r>
        <w:t xml:space="preserve"> </w:t>
      </w:r>
      <w:r>
        <w:t xml:space="preserve">controlling for environmental variation</w:t>
      </w:r>
      <w:r>
        <w:t xml:space="preserve"> </w:t>
      </w:r>
      <w:r>
        <w:t xml:space="preserve">(10)</w:t>
      </w:r>
      <w:r>
        <w:t xml:space="preserve">. In addition, studies</w:t>
      </w:r>
      <w:r>
        <w:t xml:space="preserve"> </w:t>
      </w:r>
      <w:r>
        <w:t xml:space="preserve">focusing on the correlation between the rate of an ecosystem function and the</w:t>
      </w:r>
      <w:r>
        <w:t xml:space="preserve"> </w:t>
      </w:r>
      <w:r>
        <w:t xml:space="preserve">abundance of an associated marker gene (i.e., a gene that codes for a protein</w:t>
      </w:r>
      <w:r>
        <w:t xml:space="preserve"> </w:t>
      </w:r>
      <w:r>
        <w:t xml:space="preserve">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(11)</w:t>
      </w:r>
      <w:r>
        <w:t xml:space="preserve">. However, comparative</w:t>
      </w:r>
      <w:r>
        <w:t xml:space="preserve"> </w:t>
      </w:r>
      <w:r>
        <w:t xml:space="preserve">studies come with unique challenges and limitations. One issue is that</w:t>
      </w:r>
      <w:r>
        <w:t xml:space="preserve"> </w:t>
      </w:r>
      <w:r>
        <w:t xml:space="preserve">microbiome attributes tend to covary with the abiotic conditions within an</w:t>
      </w:r>
      <w:r>
        <w:t xml:space="preserve"> </w:t>
      </w:r>
      <w:r>
        <w:t xml:space="preserve">environment, and it is difficult to control for these abiotic variables in order</w:t>
      </w:r>
      <w:r>
        <w:t xml:space="preserve"> </w:t>
      </w:r>
      <w:r>
        <w:t xml:space="preserve">to identify the unique contribution of the microbiome to ecosystem function. In</w:t>
      </w:r>
      <w:r>
        <w:t xml:space="preserve"> </w:t>
      </w:r>
      <w:r>
        <w:t xml:space="preserve">addition, it is difficult to know</w:t>
      </w:r>
      <w:r>
        <w:t xml:space="preserve"> </w:t>
      </w:r>
      <w:r>
        <w:rPr>
          <w:i/>
        </w:rPr>
        <w:t xml:space="preserve">a priori</w:t>
      </w:r>
      <w:r>
        <w:t xml:space="preserve"> </w:t>
      </w:r>
      <w:r>
        <w:t xml:space="preserve">which environmental variables or</w:t>
      </w:r>
      <w:r>
        <w:t xml:space="preserve"> </w:t>
      </w:r>
      <w:r>
        <w:t xml:space="preserve">community attributes to measure. Finally, while these approaches can establish a</w:t>
      </w:r>
      <w:r>
        <w:t xml:space="preserve"> </w:t>
      </w:r>
      <w:r>
        <w:t xml:space="preserve">potential magnitude and direction for these relationships, it is often difficult</w:t>
      </w:r>
      <w:r>
        <w:t xml:space="preserve"> </w:t>
      </w:r>
      <w:r>
        <w:t xml:space="preserve">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(4–7)</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(8,9,12)</w:t>
      </w:r>
      <w:r>
        <w:t xml:space="preserve">. However, manipulating the microbiome</w:t>
      </w:r>
      <w:r>
        <w:t xml:space="preserve"> </w:t>
      </w:r>
      <w:r>
        <w:t xml:space="preserve">directly is challenging, and manipulative approaches often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(13)</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(14–16)</w:t>
      </w:r>
      <w:r>
        <w:t xml:space="preserve">. We then tested whether variation in the microbiome</w:t>
      </w:r>
      <w:r>
        <w:t xml:space="preserve"> </w:t>
      </w:r>
      <w:r>
        <w:t xml:space="preserve">contributed to variation in the rate of ecosystem function and identified</w:t>
      </w:r>
      <w:r>
        <w:t xml:space="preserve"> </w:t>
      </w:r>
      <w:r>
        <w:t xml:space="preserve">microbiome attributes that might explain this relationship. There are several</w:t>
      </w:r>
      <w:r>
        <w:t xml:space="preserve"> </w:t>
      </w:r>
      <w:r>
        <w:t xml:space="preserve">potential advantages to this approach for documenting the direct contribution of</w:t>
      </w:r>
      <w:r>
        <w:t xml:space="preserve"> </w:t>
      </w:r>
      <w:r>
        <w:t xml:space="preserve">the microbiome to variation in ecosystem function and for investigating the</w:t>
      </w:r>
      <w:r>
        <w:t xml:space="preserve"> </w:t>
      </w:r>
      <w:r>
        <w:t xml:space="preserve">mechanisms underlying those relationships. Through repeated passaging of microbiomes</w:t>
      </w:r>
      <w:r>
        <w:t xml:space="preserve"> </w:t>
      </w:r>
      <w:r>
        <w:t xml:space="preserve">in a common environment, we can weaken the covariance between microbes and the</w:t>
      </w:r>
      <w:r>
        <w:t xml:space="preserve"> </w:t>
      </w:r>
      <w:r>
        <w:t xml:space="preserve">environment by repeatedly diluting the influence of variation in abiotic</w:t>
      </w:r>
      <w:r>
        <w:t xml:space="preserve"> </w:t>
      </w:r>
      <w:r>
        <w:t xml:space="preserve">conditions. In addition, our approach eliminates the need to generate microbiome</w:t>
      </w:r>
      <w:r>
        <w:t xml:space="preserve"> </w:t>
      </w:r>
      <w:r>
        <w:t xml:space="preserve">variation through methods that are confounded with biomass or cell size. Lastly,</w:t>
      </w:r>
      <w:r>
        <w:t xml:space="preserve"> </w:t>
      </w:r>
      <w:r>
        <w:t xml:space="preserve">by comparing our artificially selected community to a control community</w:t>
      </w:r>
      <w:r>
        <w:t xml:space="preserve"> </w:t>
      </w:r>
      <w:r>
        <w:t xml:space="preserve">resulting from random selection, we can both control for changes in the</w:t>
      </w:r>
      <w:r>
        <w:t xml:space="preserve"> </w:t>
      </w:r>
      <w:r>
        <w:t xml:space="preserve">environment over time and identify genes or taxa that are associated with the</w:t>
      </w:r>
      <w:r>
        <w:t xml:space="preserve"> </w:t>
      </w:r>
      <w:r>
        <w:t xml:space="preserve">ecosystem function under selection.</w:t>
      </w:r>
    </w:p>
    <w:p>
      <w:pPr>
        <w:pStyle w:val="TextBody"/>
      </w:pPr>
      <w:r>
        <w:t xml:space="preserve">We applied artificial ecosystem selection to soil microbiomes by selecting on</w:t>
      </w:r>
      <w:r>
        <w:t xml:space="preserve"> </w:t>
      </w:r>
      <w:r>
        <w:t xml:space="preserve">soil methane (CH</w:t>
      </w:r>
      <w:r>
        <w:rPr>
          <w:vertAlign w:val="subscript"/>
        </w:rPr>
        <w:t xml:space="preserve">4</w:t>
      </w:r>
      <w:r>
        <w:t xml:space="preserve">) oxidation rate. We chose this function because CH</w:t>
      </w:r>
      <w:r>
        <w:rPr>
          <w:vertAlign w:val="subscript"/>
        </w:rPr>
        <w:t xml:space="preserve">4</w:t>
      </w:r>
      <w:r>
        <w:t xml:space="preserve"> </w:t>
      </w:r>
      <w:r>
        <w:t xml:space="preserve">is a</w:t>
      </w:r>
      <w:r>
        <w:t xml:space="preserve"> </w:t>
      </w:r>
      <w:r>
        <w:t xml:space="preserve">globally important greenhouse gas and CH</w:t>
      </w:r>
      <w:r>
        <w:rPr>
          <w:vertAlign w:val="subscript"/>
        </w:rPr>
        <w:t xml:space="preserve">4</w:t>
      </w:r>
      <w:r>
        <w:t xml:space="preserve"> </w:t>
      </w:r>
      <w:r>
        <w:t xml:space="preserve">oxidation by soil bacteria is the</w:t>
      </w:r>
      <w:r>
        <w:t xml:space="preserve"> </w:t>
      </w:r>
      <w:r>
        <w:t xml:space="preserve">primary biological sink for atmospheric CH</w:t>
      </w:r>
      <w:r>
        <w:rPr>
          <w:vertAlign w:val="subscript"/>
        </w:rPr>
        <w:t xml:space="preserve">4</w:t>
      </w:r>
      <w:r>
        <w:t xml:space="preserve"> </w:t>
      </w:r>
      <w:r>
        <w:t xml:space="preserve">(17)</w:t>
      </w:r>
      <w:r>
        <w:t xml:space="preserve">. In addition,</w:t>
      </w:r>
      <w:r>
        <w:t xml:space="preserve"> </w:t>
      </w:r>
      <w:r>
        <w:t xml:space="preserve">there is evidence that soil CH</w:t>
      </w:r>
      <w:r>
        <w:rPr>
          <w:vertAlign w:val="subscript"/>
        </w:rPr>
        <w:t xml:space="preserve">4</w:t>
      </w:r>
      <w:r>
        <w:t xml:space="preserve"> </w:t>
      </w:r>
      <w:r>
        <w:t xml:space="preserve">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(18–21)</w:t>
      </w:r>
      <w:r>
        <w:t xml:space="preserve"> </w:t>
      </w:r>
      <w:r>
        <w:t xml:space="preserve">as well as</w:t>
      </w:r>
      <w:r>
        <w:t xml:space="preserve"> </w:t>
      </w:r>
      <w:r>
        <w:t xml:space="preserve">studies that manipulate methanotroph richness</w:t>
      </w:r>
      <w:r>
        <w:t xml:space="preserve"> </w:t>
      </w:r>
      <w:r>
        <w:t xml:space="preserve">(22)</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oxidation than other broader or more shallowly conserved functions</w:t>
      </w:r>
      <w:r>
        <w:t xml:space="preserve"> </w:t>
      </w:r>
      <w:r>
        <w:t xml:space="preserve">(2,23)</w:t>
      </w:r>
      <w:r>
        <w:t xml:space="preserve">.</w:t>
      </w:r>
    </w:p>
    <w:p>
      <w:pPr>
        <w:pStyle w:val="TextBody"/>
      </w:pPr>
      <w:r>
        <w:t xml:space="preserve">In this study, we used artificial ecosystem selection on CH</w:t>
      </w:r>
      <w:r>
        <w:rPr>
          <w:vertAlign w:val="subscript"/>
        </w:rPr>
        <w:t xml:space="preserve">4</w:t>
      </w:r>
      <w:r>
        <w:t xml:space="preserve"> </w:t>
      </w:r>
      <w:r>
        <w:t xml:space="preserve">oxidation rate</w:t>
      </w:r>
      <w:r>
        <w:t xml:space="preserve"> </w:t>
      </w:r>
      <w:r>
        <w:t xml:space="preserve">to address the following questions: Does variation in the relative abundance of</w:t>
      </w:r>
      <w:r>
        <w:t xml:space="preserve"> </w:t>
      </w:r>
      <w:r>
        <w:t xml:space="preserve">microbial taxa contribute to variation in soil CH</w:t>
      </w:r>
      <w:r>
        <w:rPr>
          <w:vertAlign w:val="subscript"/>
        </w:rPr>
        <w:t xml:space="preserve">4</w:t>
      </w:r>
      <w:r>
        <w:t xml:space="preserve"> </w:t>
      </w:r>
      <w:r>
        <w:t xml:space="preserve">oxidation rate</w:t>
      </w:r>
      <w:r>
        <w:t xml:space="preserve"> </w:t>
      </w:r>
      <w:r>
        <w:t xml:space="preserve">independent of the environment in our system? Which attributes of the microbiome</w:t>
      </w:r>
      <w:r>
        <w:t xml:space="preserve"> </w:t>
      </w:r>
      <w:r>
        <w:t xml:space="preserve">are associated with variation in CH</w:t>
      </w:r>
      <w:r>
        <w:rPr>
          <w:vertAlign w:val="subscript"/>
        </w:rPr>
        <w:t xml:space="preserve">4</w:t>
      </w:r>
      <w:r>
        <w:t xml:space="preserve"> </w:t>
      </w:r>
      <w:r>
        <w:t xml:space="preserve">oxidation rate, and do these attributes</w:t>
      </w:r>
      <w:r>
        <w:t xml:space="preserve"> </w:t>
      </w:r>
      <w:r>
        <w:t xml:space="preserve">match our assumptions about the factors that regulate CH</w:t>
      </w:r>
      <w:r>
        <w:rPr>
          <w:vertAlign w:val="subscript"/>
        </w:rPr>
        <w:t xml:space="preserve">4</w:t>
      </w:r>
      <w:r>
        <w:t xml:space="preserve"> </w:t>
      </w:r>
      <w:r>
        <w:t xml:space="preserve">oxidation rate in</w:t>
      </w:r>
      <w:r>
        <w:t xml:space="preserve"> </w:t>
      </w:r>
      <w:r>
        <w:t xml:space="preserve">nature?</w:t>
      </w:r>
    </w:p>
    <w:p>
      <w:pPr>
        <w:pStyle w:val="Heading1"/>
      </w:pPr>
      <w:bookmarkStart w:id="22" w:name="materials-and-methods"/>
      <w:r>
        <w:t xml:space="preserve">Materials and Methods</w:t>
      </w:r>
      <w:bookmarkEnd w:id="22"/>
    </w:p>
    <w:p>
      <w:pPr>
        <w:pStyle w:val="Heading2"/>
      </w:pPr>
      <w:bookmarkStart w:id="23" w:name="experimental-design"/>
      <w:r>
        <w:t xml:space="preserve">Experimental design</w:t>
      </w:r>
      <w:bookmarkEnd w:id="23"/>
    </w:p>
    <w:p>
      <w:pPr>
        <w:pStyle w:val="FirstParagraph"/>
      </w:pPr>
      <w:r>
        <w:t xml:space="preserve">We performed an artificial ecosystem selection experiment (</w:t>
      </w:r>
      <w:r>
        <w:rPr>
          <w:i/>
        </w:rPr>
        <w:t xml:space="preserve">sensu</w:t>
      </w:r>
      <w:r>
        <w:t xml:space="preserve"> </w:t>
      </w:r>
      <w:r>
        <w:t xml:space="preserve">(14)</w:t>
      </w:r>
      <w:r>
        <w:t xml:space="preserve">)</w:t>
      </w:r>
      <w:r>
        <w:t xml:space="preserve"> </w:t>
      </w:r>
      <w:r>
        <w:t xml:space="preserve">by passaging replicate soil microbiomes. The trait we selected on was soil CH</w:t>
      </w:r>
      <w:r>
        <w:rPr>
          <w:vertAlign w:val="subscript"/>
        </w:rPr>
        <w:t xml:space="preserve">4</w:t>
      </w:r>
      <w:r>
        <w:t xml:space="preserve"> </w:t>
      </w:r>
      <w:r>
        <w:t xml:space="preserve">oxidation rate. Soil microcosms were incubated at room temperature in sealed</w:t>
      </w:r>
      <w:r>
        <w:t xml:space="preserve"> </w:t>
      </w:r>
      <w:r>
        <w:t xml:space="preserve">500 mL glass jars with a rubber septum for gas sampling. Each jar was sterilized</w:t>
      </w:r>
      <w:r>
        <w:t xml:space="preserve"> </w:t>
      </w:r>
      <w:r>
        <w:t xml:space="preserve">with 70% ethanol and was composed of 45 g of autoclaved artificial potting mix,</w:t>
      </w:r>
      <w:r>
        <w:t xml:space="preserve"> </w:t>
      </w:r>
      <w:r>
        <w:t xml:space="preserve">5 g of living soil inoculum, and 3.5 mL of sterile deionized water to bring the</w:t>
      </w:r>
      <w:r>
        <w:t xml:space="preserve"> </w:t>
      </w:r>
      <w:r>
        <w:t xml:space="preserve">soil to 60% of field capacity. The potting mix consisted of bark fines, peat</w:t>
      </w:r>
      <w:r>
        <w:t xml:space="preserve"> </w:t>
      </w:r>
      <w:r>
        <w:t xml:space="preserve">moss, pumice, sand, composted manure, and biochar (Lane Potting Mix, Lane Forest</w:t>
      </w:r>
      <w:r>
        <w:t xml:space="preserve"> </w:t>
      </w:r>
      <w:r>
        <w:t xml:space="preserve">Products, Eugene, OR). The initial soil microbiome inoculum was sampled from the</w:t>
      </w:r>
      <w:r>
        <w:t xml:space="preserve"> </w:t>
      </w:r>
      <w:r>
        <w:t xml:space="preserve">top 10 cm of an upland mineral soil under a deciduous forest ecosystem near the</w:t>
      </w:r>
      <w:r>
        <w:t xml:space="preserve"> </w:t>
      </w:r>
      <w:r>
        <w:t xml:space="preserve">University of Oregon campus in Eugene, OR, USA. Each jar</w:t>
      </w:r>
      <w:r>
        <w:t xml:space="preserve"> </w:t>
      </w:r>
      <w:r>
        <w:t xml:space="preserve">was capped and injected with 4.3 mL of 99% CH</w:t>
      </w:r>
      <w:r>
        <w:rPr>
          <w:vertAlign w:val="subscript"/>
        </w:rPr>
        <w:t xml:space="preserve">4</w:t>
      </w:r>
      <w:r>
        <w:t xml:space="preserve">, which produced a mean</w:t>
      </w:r>
      <w:r>
        <w:t xml:space="preserve"> </w:t>
      </w:r>
      <w:r>
        <w:t xml:space="preserve">headspace concentration of 763.9 ppm (SD = 183.1). Twice per week, jars were</w:t>
      </w:r>
      <w:r>
        <w:t xml:space="preserve"> </w:t>
      </w:r>
      <w:r>
        <w:t xml:space="preserve">flushed in a biosafety cabinet (to avoid contamination) and respiked with CH</w:t>
      </w:r>
      <w:r>
        <w:rPr>
          <w:vertAlign w:val="subscript"/>
        </w:rPr>
        <w:t xml:space="preserve">4</w:t>
      </w:r>
      <w:r>
        <w:t xml:space="preserve"> </w:t>
      </w:r>
      <w:r>
        <w:t xml:space="preserve">to maintain aerobic conditions and elevated CH</w:t>
      </w:r>
      <w:r>
        <w:rPr>
          <w:vertAlign w:val="subscript"/>
        </w:rPr>
        <w:t xml:space="preserve">4</w:t>
      </w:r>
      <w:r>
        <w:t xml:space="preserve"> </w:t>
      </w:r>
      <w:r>
        <w:t xml:space="preserve">concentrations.</w:t>
      </w:r>
    </w:p>
    <w:p>
      <w:pPr>
        <w:pStyle w:val="TextBody"/>
      </w:pPr>
      <w:r>
        <w:t xml:space="preserve">For the selection experiment, we created two lines of soil microcosms with 12</w:t>
      </w:r>
      <w:r>
        <w:t xml:space="preserve"> </w:t>
      </w:r>
      <w:r>
        <w:t xml:space="preserve">jars each: a control line with random selection and an experimental line with</w:t>
      </w:r>
      <w:r>
        <w:t xml:space="preserve"> </w:t>
      </w:r>
      <w:r>
        <w:t xml:space="preserve">directional selection for greater soil CH</w:t>
      </w:r>
      <w:r>
        <w:rPr>
          <w:vertAlign w:val="subscript"/>
        </w:rPr>
        <w:t xml:space="preserve">4</w:t>
      </w:r>
      <w:r>
        <w:t xml:space="preserve"> </w:t>
      </w:r>
      <w:r>
        <w:t xml:space="preserve">oxidation rate. The selection line</w:t>
      </w:r>
      <w:r>
        <w:t xml:space="preserve"> </w:t>
      </w:r>
      <w:r>
        <w:t xml:space="preserve">underwent positive selection where the two or three jars</w:t>
      </w:r>
      <w:r>
        <w:t xml:space="preserve"> </w:t>
      </w:r>
      <w:r>
        <w:t xml:space="preserve">with the highest CH</w:t>
      </w:r>
      <w:r>
        <w:rPr>
          <w:vertAlign w:val="subscript"/>
        </w:rPr>
        <w:t xml:space="preserve">4</w:t>
      </w:r>
      <w:r>
        <w:t xml:space="preserve"> </w:t>
      </w:r>
      <w:r>
        <w:t xml:space="preserve">oxidation rate were homogenized to inoculate the next set</w:t>
      </w:r>
      <w:r>
        <w:t xml:space="preserve"> </w:t>
      </w:r>
      <w:r>
        <w:t xml:space="preserve">of jars. The control line underwent random selection where an equal number</w:t>
      </w:r>
      <w:r>
        <w:t xml:space="preserve"> </w:t>
      </w:r>
      <w:r>
        <w:t xml:space="preserve">of jars as the selection line were chosen at random to inoculate the next set of</w:t>
      </w:r>
      <w:r>
        <w:t xml:space="preserve"> </w:t>
      </w:r>
      <w:r>
        <w:t xml:space="preserve">jars. The number of jars chosen was based on the distribution of fluxes among</w:t>
      </w:r>
      <w:r>
        <w:t xml:space="preserve"> </w:t>
      </w:r>
      <w:r>
        <w:t xml:space="preserve">the positive jars: three jars were chosen in all generations except for passage 3</w:t>
      </w:r>
      <w:r>
        <w:t xml:space="preserve"> </w:t>
      </w:r>
      <w:r>
        <w:t xml:space="preserve">where two jars were selected. The experiment was carried out over five passages</w:t>
      </w:r>
      <w:r>
        <w:t xml:space="preserve"> </w:t>
      </w:r>
      <w:r>
        <w:t xml:space="preserve">with an average</w:t>
      </w:r>
      <w:r>
        <w:t xml:space="preserve"> </w:t>
      </w:r>
      <w:r>
        <w:t xml:space="preserve">incubation time per generation of four weeks.</w:t>
      </w:r>
      <w:r>
        <w:t xml:space="preserve"> </w:t>
      </w:r>
      <w:r>
        <w:t xml:space="preserve">Methane oxidation rates were determined at the end of</w:t>
      </w:r>
      <w:r>
        <w:t xml:space="preserve"> </w:t>
      </w:r>
      <w:r>
        <w:t xml:space="preserve">the incubation period and selection was performed. For each treatment, the</w:t>
      </w:r>
      <w:r>
        <w:t xml:space="preserve"> </w:t>
      </w:r>
      <w:r>
        <w:t xml:space="preserve">selected jars were homogenized and 5 g of the homogenized soil was used as the</w:t>
      </w:r>
      <w:r>
        <w:t xml:space="preserve"> </w:t>
      </w:r>
      <w:r>
        <w:t xml:space="preserve">living soil inoculum for the next generation. The next set</w:t>
      </w:r>
      <w:r>
        <w:t xml:space="preserve"> </w:t>
      </w:r>
      <w:r>
        <w:t xml:space="preserve">of jars were created in an identical manner to the first generation with fresh</w:t>
      </w:r>
      <w:r>
        <w:t xml:space="preserve"> </w:t>
      </w:r>
      <w:r>
        <w:t xml:space="preserve">autoclaved potting mix and the same moisture and CH</w:t>
      </w:r>
      <w:r>
        <w:rPr>
          <w:vertAlign w:val="subscript"/>
        </w:rPr>
        <w:t xml:space="preserve">4</w:t>
      </w:r>
      <w:r>
        <w:t xml:space="preserve"> </w:t>
      </w:r>
      <w:r>
        <w:t xml:space="preserve">content.</w:t>
      </w:r>
    </w:p>
    <w:p>
      <w:pPr>
        <w:pStyle w:val="Heading2"/>
      </w:pPr>
      <w:bookmarkStart w:id="24" w:name="methane-oxidation-rate"/>
      <w:r>
        <w:t xml:space="preserve">Methane oxidation rate</w:t>
      </w:r>
      <w:bookmarkEnd w:id="24"/>
    </w:p>
    <w:p>
      <w:pPr>
        <w:pStyle w:val="FirstParagraph"/>
      </w:pPr>
      <w:r>
        <w:t xml:space="preserve">Methane oxidation rates were determined after flushing and spiking jars to</w:t>
      </w:r>
      <w:r>
        <w:t xml:space="preserve"> </w:t>
      </w:r>
      <w:r>
        <w:t xml:space="preserve">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CH</w:t>
      </w:r>
      <w:r>
        <w:rPr>
          <w:vertAlign w:val="subscript"/>
        </w:rPr>
        <w:t xml:space="preserve">4</w:t>
      </w:r>
      <w:r>
        <w:t xml:space="preserve">. Oxidation rates are presented as the additive inverse of</w:t>
      </w:r>
      <w:r>
        <w:t xml:space="preserve"> </w:t>
      </w:r>
      <m:oMath>
        <m:r>
          <m:t>k</m:t>
        </m:r>
      </m:oMath>
      <w:r>
        <w:t xml:space="preserve"> </w:t>
      </w:r>
      <w:r>
        <w:t xml:space="preserve">(i.e.,</w:t>
      </w:r>
      <w:r>
        <w:t xml:space="preserve"> </w:t>
      </w:r>
      <m:oMath>
        <m:r>
          <m:t>−</m:t>
        </m:r>
        <m:r>
          <m:t>k</m:t>
        </m:r>
      </m:oMath>
      <w:r>
        <w:t xml:space="preserve">) so that a more positive value represents a greater</w:t>
      </w:r>
      <w:r>
        <w:t xml:space="preserve"> </w:t>
      </w:r>
      <w:r>
        <w:t xml:space="preserve">oxidation rate. The jars selected to inoculate passage three for the positive</w:t>
      </w:r>
      <w:r>
        <w:t xml:space="preserve"> </w:t>
      </w:r>
      <w:r>
        <w:t xml:space="preserve">selection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w:t>
      </w:r>
    </w:p>
    <w:p>
      <w:pPr>
        <w:pStyle w:val="Heading2"/>
      </w:pPr>
      <w:bookmarkStart w:id="25" w:name="soil-dna-extraction-and-sequencing"/>
      <w:r>
        <w:t xml:space="preserve">Soil DNA extraction and sequencing</w:t>
      </w:r>
      <w:bookmarkEnd w:id="25"/>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(24)</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t>∘</m:t>
            </m:r>
          </m:sup>
        </m:sSup>
      </m:oMath>
      <w:r>
        <w:t xml:space="preserve">C for 30 s (initialization); 35 cycles of</w:t>
      </w:r>
      <w:r>
        <w:t xml:space="preserve"> </w:t>
      </w:r>
      <m:oMath>
        <m:sSup>
          <m:e>
            <m:r>
              <m:t>98</m:t>
            </m:r>
          </m:e>
          <m:sup>
            <m:r>
              <m:t>∘</m:t>
            </m:r>
          </m:sup>
        </m:sSup>
      </m:oMath>
      <w:r>
        <w:t xml:space="preserve">C for 10 s</w:t>
      </w:r>
      <w:r>
        <w:t xml:space="preserve"> </w:t>
      </w:r>
      <w:r>
        <w:t xml:space="preserve">(denaturation),</w:t>
      </w:r>
      <w:r>
        <w:t xml:space="preserve"> </w:t>
      </w:r>
      <m:oMath>
        <m:sSup>
          <m:e>
            <m:r>
              <m:t>61</m:t>
            </m:r>
          </m:e>
          <m:sup>
            <m:r>
              <m:t>∘</m:t>
            </m:r>
          </m:sup>
        </m:sSup>
      </m:oMath>
      <w:r>
        <w:t xml:space="preserve">C for 20 s (annealing), and</w:t>
      </w:r>
      <w:r>
        <w:t xml:space="preserve"> </w:t>
      </w:r>
      <m:oMath>
        <m:sSup>
          <m:e>
            <m:r>
              <m:t>72</m:t>
            </m:r>
          </m:e>
          <m:sup>
            <m:r>
              <m:t>∘</m:t>
            </m:r>
          </m:sup>
        </m:sSup>
      </m:oMath>
      <w:r>
        <w:t xml:space="preserve">C for 20 s</w:t>
      </w:r>
      <w:r>
        <w:t xml:space="preserve"> </w:t>
      </w:r>
      <w:r>
        <w:t xml:space="preserve">(extension); and</w:t>
      </w:r>
      <w:r>
        <w:t xml:space="preserve"> </w:t>
      </w:r>
      <m:oMath>
        <m:sSup>
          <m:e>
            <m:r>
              <m:t>72</m:t>
            </m:r>
          </m:e>
          <m:sup>
            <m: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(25,26)</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p>
      <w:pPr>
        <w:pStyle w:val="Heading2"/>
      </w:pPr>
      <w:bookmarkStart w:id="26" w:name="bioinformatics"/>
      <w:r>
        <w:t xml:space="preserve">Bioinformatics</w:t>
      </w:r>
      <w:bookmarkEnd w:id="26"/>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(27)</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(28)</w:t>
      </w:r>
      <w:r>
        <w:t xml:space="preserve">. Taxonomic assignment was performed</w:t>
      </w:r>
      <w:r>
        <w:t xml:space="preserve"> </w:t>
      </w:r>
      <w:r>
        <w:t xml:space="preserve">using the Ribosomal Database Project naive Bayesian classifier</w:t>
      </w:r>
      <w:r>
        <w:t xml:space="preserve"> </w:t>
      </w:r>
      <w:r>
        <w:t xml:space="preserve">(29)</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by comparing samples to extraction controls of</w:t>
      </w:r>
      <w:r>
        <w:t xml:space="preserve"> </w:t>
      </w:r>
      <w:r>
        <w:t xml:space="preserve">water</w:t>
      </w:r>
      <w:r>
        <w:t xml:space="preserve"> </w:t>
      </w:r>
      <w:r>
        <w:t xml:space="preserve">(30)</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p>
      <w:pPr>
        <w:pStyle w:val="Heading2"/>
      </w:pPr>
      <w:bookmarkStart w:id="27" w:name="statistical-analysis"/>
      <w:r>
        <w:t xml:space="preserve">Statistical Analysis</w:t>
      </w:r>
      <w:bookmarkEnd w:id="27"/>
    </w:p>
    <w:p>
      <w:pPr>
        <w:pStyle w:val="FirstParagraph"/>
      </w:pPr>
      <w:r>
        <w:t xml:space="preserve">Statistical analyses were performed in</w:t>
      </w:r>
      <w:r>
        <w:t xml:space="preserve"> </w:t>
      </w:r>
      <w:r>
        <w:t xml:space="preserve">‘</w:t>
      </w:r>
      <w:r>
        <w:t xml:space="preserve">R</w:t>
      </w:r>
      <w:r>
        <w:t xml:space="preserve">’</w:t>
      </w:r>
      <w:r>
        <w:t xml:space="preserve"> </w:t>
      </w:r>
      <w:r>
        <w:t xml:space="preserve">(27)</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selection and control</w:t>
      </w:r>
      <w:r>
        <w:t xml:space="preserve"> </w:t>
      </w:r>
      <w:r>
        <w:t xml:space="preserve">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Following transformation, these assumptions</w:t>
      </w:r>
      <w:r>
        <w:t xml:space="preserve"> </w:t>
      </w:r>
      <w:r>
        <w:t xml:space="preserve">were met. First, we tested if there was a difference of</w:t>
      </w:r>
      <w:r>
        <w:t xml:space="preserve"> </w:t>
      </w:r>
      <w:r>
        <w:t xml:space="preserve">slopes between the selection line and the control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proportion of variation in CH</w:t>
      </w:r>
      <w:r>
        <w:rPr>
          <w:vertAlign w:val="subscript"/>
        </w:rPr>
        <w:t xml:space="preserve">4</w:t>
      </w:r>
      <w:r>
        <w:t xml:space="preserve"> </w:t>
      </w:r>
      <w:r>
        <w:t xml:space="preserve">oxidation rate due to</w:t>
      </w:r>
      <w:r>
        <w:t xml:space="preserve"> </w:t>
      </w:r>
      <w:r>
        <w:t xml:space="preserve">variation in the microbiome as the regression of divergence between the positive</w:t>
      </w:r>
      <w:r>
        <w:t xml:space="preserve"> </w:t>
      </w:r>
      <w:r>
        <w:t xml:space="preserve">line and the control on the cumulative selection differential</w:t>
      </w:r>
      <w:r>
        <w:t xml:space="preserve"> </w:t>
      </w:r>
      <w:r>
        <w:t xml:space="preserve">(31)</w:t>
      </w:r>
      <w:r>
        <w:t xml:space="preserve">.</w:t>
      </w:r>
      <w:r>
        <w:t xml:space="preserve"> </w:t>
      </w:r>
      <w:r>
        <w:t xml:space="preserve">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(32)</w:t>
      </w:r>
      <w:r>
        <w:t xml:space="preserve">.</w:t>
      </w:r>
      <w:r>
        <w:t xml:space="preserve"> </w:t>
      </w:r>
      <w:r>
        <w:t xml:space="preserve">The slope of the regression of divergence on cumulative selection differential</w:t>
      </w:r>
      <w:r>
        <w:t xml:space="preserve"> </w:t>
      </w:r>
      <w:r>
        <w:t xml:space="preserve">provides an estimate of realized microbiability (h</w:t>
      </w:r>
      <w:r>
        <w:rPr>
          <w:vertAlign w:val="superscript"/>
        </w:rPr>
        <w:t xml:space="preserve">2</w:t>
      </w:r>
      <w:r>
        <w:t xml:space="preserve"> </w:t>
      </w:r>
      <w:r>
        <w:t xml:space="preserve">± SE).</w:t>
      </w:r>
      <w:r>
        <w:t xml:space="preserve"> </w:t>
      </w:r>
      <w:r>
        <w:t xml:space="preserve">Divergence was calculated as the mean CH</w:t>
      </w:r>
      <w:r>
        <w:rPr>
          <w:vertAlign w:val="subscript"/>
        </w:rPr>
        <w:t xml:space="preserve">4</w:t>
      </w:r>
      <w:r>
        <w:t xml:space="preserve"> </w:t>
      </w:r>
      <w:r>
        <w:t xml:space="preserve">oxidation rate of the positive</w:t>
      </w:r>
      <w:r>
        <w:t xml:space="preserve"> </w:t>
      </w:r>
      <w:r>
        <w:t xml:space="preserve">treatment minus the mean CH</w:t>
      </w:r>
      <w:r>
        <w:rPr>
          <w:vertAlign w:val="subscript"/>
        </w:rPr>
        <w:t xml:space="preserve">4</w:t>
      </w:r>
      <w:r>
        <w:t xml:space="preserve"> </w:t>
      </w:r>
      <w:r>
        <w:t xml:space="preserve">oxidation rate of the control in each</w:t>
      </w:r>
      <w:r>
        <w:t xml:space="preserve"> </w:t>
      </w:r>
      <w:r>
        <w:t xml:space="preserve">passage. The selection differential was calculated as the difference between</w:t>
      </w:r>
      <w:r>
        <w:t xml:space="preserve"> </w:t>
      </w:r>
      <w:r>
        <w:t xml:space="preserve">the mean of the three selected jars and the mean of all twelve jars in a passage.</w:t>
      </w:r>
      <w:r>
        <w:t xml:space="preserve"> </w:t>
      </w:r>
      <w:r>
        <w:t xml:space="preserve">Cumulative selection differential was calculated as the sum of the selection</w:t>
      </w:r>
      <w:r>
        <w:t xml:space="preserve"> </w:t>
      </w:r>
      <w:r>
        <w:t xml:space="preserve">differential from all preceding selection events. We then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 We report</w:t>
      </w:r>
      <w:r>
        <w:t xml:space="preserve"> </w:t>
      </w:r>
      <w:r>
        <w:t xml:space="preserve">the slope as percent change by back-calculating the percent change from the</w:t>
      </w:r>
      <w:r>
        <w:t xml:space="preserve"> </w:t>
      </w:r>
      <w:r>
        <w:t xml:space="preserve">log-transformed data into the original units using the formula</w:t>
      </w:r>
      <w:r>
        <w:t xml:space="preserve"> </w:t>
      </w:r>
      <m:oMath>
        <m:r>
          <m:t>(</m:t>
        </m:r>
        <m:sSup>
          <m:e>
            <m:r>
              <m:t>10</m:t>
            </m:r>
          </m:e>
          <m:sup>
            <m:r>
              <m:t>β</m:t>
            </m:r>
          </m:sup>
        </m:sSup>
        <m:r>
          <m:t>−</m:t>
        </m:r>
        <m:r>
          <m:t>1</m:t>
        </m:r>
        <m:r>
          <m:t>)</m:t>
        </m:r>
        <m:r>
          <m:t>*</m:t>
        </m:r>
        <m:r>
          <m:t>100</m:t>
        </m:r>
      </m:oMath>
      <w:r>
        <w:t xml:space="preserve"> </w:t>
      </w:r>
      <w:r>
        <w:t xml:space="preserve">where</w:t>
      </w:r>
      <w:r>
        <w:t xml:space="preserve"> </w:t>
      </w:r>
      <m:oMath>
        <m:r>
          <m:t>β</m:t>
        </m:r>
      </m:oMath>
      <w:r>
        <w:t xml:space="preserve"> </w:t>
      </w:r>
      <w:r>
        <w:t xml:space="preserve">is the slope.</w:t>
      </w:r>
    </w:p>
    <w:p>
      <w:pPr>
        <w:pStyle w:val="TextBody"/>
      </w:pPr>
      <w:r>
        <w:t xml:space="preserve">Richness was estimated using the method from</w:t>
      </w:r>
      <w:r>
        <w:t xml:space="preserve"> </w:t>
      </w:r>
      <w:r>
        <w:t xml:space="preserve">(33)</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(34)</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(34,35)</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(34,36)</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(34,36)</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We chose this level of agglomeration</w:t>
      </w:r>
      <w:r>
        <w:t xml:space="preserve"> </w:t>
      </w:r>
      <w:r>
        <w:t xml:space="preserve">because CH</w:t>
      </w:r>
      <w:r>
        <w:rPr>
          <w:vertAlign w:val="subscript"/>
        </w:rPr>
        <w:t xml:space="preserve">4</w:t>
      </w:r>
      <w:r>
        <w:t xml:space="preserve"> </w:t>
      </w:r>
      <w:r>
        <w:t xml:space="preserve">oxidation</w:t>
      </w:r>
      <w:r>
        <w:t xml:space="preserve"> </w:t>
      </w:r>
      <w:r>
        <w:t xml:space="preserve">is a relatively deeply conserved function</w:t>
      </w:r>
      <w:r>
        <w:t xml:space="preserve"> </w:t>
      </w:r>
      <w:r>
        <w:t xml:space="preserve">(23)</w:t>
      </w:r>
      <w:r>
        <w:t xml:space="preserve"> </w:t>
      </w:r>
      <w:r>
        <w:t xml:space="preserve">and is restricted to</w:t>
      </w:r>
      <w:r>
        <w:t xml:space="preserve"> </w:t>
      </w:r>
      <w:r>
        <w:t xml:space="preserve">a handful of bacterial and archaeal families</w:t>
      </w:r>
      <w:r>
        <w:t xml:space="preserve"> </w:t>
      </w:r>
      <w:r>
        <w:t xml:space="preserve">(37)</w:t>
      </w:r>
      <w:r>
        <w:t xml:space="preserve">. Therefore, we are most</w:t>
      </w:r>
      <w:r>
        <w:t xml:space="preserve"> </w:t>
      </w:r>
      <w:r>
        <w:t xml:space="preserve">likely to detect an enrichment of methanotrophs at this taxonomic scale.</w:t>
      </w:r>
      <w:r>
        <w:t xml:space="preserve"> </w:t>
      </w:r>
      <w:r>
        <w:t xml:space="preserve">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(38–41)</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(38,39)</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(40)</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(41)</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 For each test, p-values were adjusted</w:t>
      </w:r>
      <w:r>
        <w:t xml:space="preserve"> </w:t>
      </w:r>
      <w:r>
        <w:t xml:space="preserve">for multiple testing by controlling the false discovery rate using the</w:t>
      </w:r>
      <w:r>
        <w:t xml:space="preserve"> </w:t>
      </w:r>
      <w:r>
        <w:t xml:space="preserve">Banjamini-Hochberg procedure</w:t>
      </w:r>
      <w:r>
        <w:t xml:space="preserve"> </w:t>
      </w:r>
      <w:r>
        <w:t xml:space="preserve">(42)</w:t>
      </w:r>
      <w:r>
        <w:t xml:space="preserve">.</w:t>
      </w:r>
    </w:p>
    <w:p>
      <w:pPr>
        <w:pStyle w:val="Heading1"/>
      </w:pPr>
      <w:bookmarkStart w:id="28" w:name="results"/>
      <w:r>
        <w:t xml:space="preserve">Results</w:t>
      </w:r>
      <w:bookmarkEnd w:id="28"/>
    </w:p>
    <w:p>
      <w:pPr>
        <w:pStyle w:val="Heading2"/>
      </w:pPr>
      <w:bookmarkStart w:id="29" w:name="Xc2d21a0d19c3188cf98e037054740438f3ba714"/>
      <w:r>
        <w:t xml:space="preserve">Response to selection on methane oxidation rate</w:t>
      </w:r>
      <w:bookmarkEnd w:id="29"/>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2; difference of slopes:</w:t>
      </w:r>
      <w:r>
        <w:t xml:space="preserve"> </w:t>
      </w:r>
      <w:r>
        <w:t xml:space="preserve">F</w:t>
      </w:r>
      <w:r>
        <w:rPr>
          <w:vertAlign w:val="subscript"/>
        </w:rPr>
        <w:t xml:space="preserve">2,113</w:t>
      </w:r>
      <w:r>
        <w:t xml:space="preserve"> </w:t>
      </w:r>
      <w:r>
        <w:t xml:space="preserve">=</w:t>
      </w:r>
      <w:r>
        <w:t xml:space="preserve"> </w:t>
      </w:r>
      <w:r>
        <w:t xml:space="preserve">3.85,</w:t>
      </w:r>
      <w:r>
        <w:t xml:space="preserve"> </w:t>
      </w:r>
      <w:r>
        <w:t xml:space="preserve">p = 0.02). At the start of the experiment,</w:t>
      </w:r>
      <w:r>
        <w:t xml:space="preserve"> </w:t>
      </w:r>
      <w:r>
        <w:t xml:space="preserve">the positive selection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control</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in the control over the</w:t>
      </w:r>
      <w:r>
        <w:t xml:space="preserve"> </w:t>
      </w:r>
      <w:r>
        <w:t xml:space="preserve">five passages (slope = -0.01, SE = 0.05, t = -0.26, p = 0.80). By contrast, the selection</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composition–i.e., microbiability (as described in the Methods;</w:t>
      </w:r>
      <w:r>
        <w:t xml:space="preserve"> </w:t>
      </w:r>
      <w:r>
        <w:t xml:space="preserve">(32)</w:t>
      </w:r>
      <w:r>
        <w:t xml:space="preserve">–we regressed divergence between the</w:t>
      </w:r>
      <w:r>
        <w:t xml:space="preserve"> </w:t>
      </w:r>
      <w:r>
        <w:t xml:space="preserve">positive selection treatment and the control against the cumulative selection</w:t>
      </w:r>
      <w:r>
        <w:t xml:space="preserve"> </w:t>
      </w:r>
      <w:r>
        <w:t xml:space="preserve">differential. The microbiability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p>
      <w:pPr>
        <w:pStyle w:val="Heading2"/>
      </w:pPr>
      <w:bookmarkStart w:id="30" w:name="taxonomic-richness"/>
      <w:r>
        <w:t xml:space="preserve">Taxonomic richness</w:t>
      </w:r>
      <w:bookmarkEnd w:id="30"/>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selection treatment and the control in</w:t>
      </w:r>
      <w:r>
        <w:t xml:space="preserve"> </w:t>
      </w:r>
      <w:r>
        <w:t xml:space="preserve">passage 2 or 5 (pairwise Wilcoxon test; Passage 2: p = 0.66,</w:t>
      </w:r>
      <w:r>
        <w:t xml:space="preserve"> </w:t>
      </w:r>
      <w:r>
        <w:t xml:space="preserve">Passage 5: p = 0.67).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p>
      <w:pPr>
        <w:pStyle w:val="Heading2"/>
      </w:pPr>
      <w:bookmarkStart w:id="31" w:name="community-dissimilarity"/>
      <w:r>
        <w:t xml:space="preserve">Community dissimilarity</w:t>
      </w:r>
      <w:bookmarkEnd w:id="31"/>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0.010)</w:t>
      </w:r>
    </w:p>
    <w:p>
      <w:pPr>
        <w:pStyle w:val="Heading2"/>
      </w:pPr>
      <w:bookmarkStart w:id="32" w:name="taxa-that-responded-to-selection"/>
      <w:r>
        <w:t xml:space="preserve">Taxa that responded to selection</w:t>
      </w:r>
      <w:bookmarkEnd w:id="32"/>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selected jars relative to the control jars within</w:t>
      </w:r>
      <w:r>
        <w:t xml:space="preserve"> </w:t>
      </w:r>
      <w:r>
        <w:t xml:space="preserve">passage 5 using three methods and then plotted the taxa identified by all three methods. We identified 12</w:t>
      </w:r>
      <w:r>
        <w:t xml:space="preserve"> </w:t>
      </w:r>
      <w:r>
        <w:t xml:space="preserve">families that were enriched or depleted in the selection treatment relative to</w:t>
      </w:r>
      <w:r>
        <w:t xml:space="preserve"> </w:t>
      </w:r>
      <w:r>
        <w:t xml:space="preserve">the control (Figure 4).</w:t>
      </w:r>
    </w:p>
    <w:p>
      <w:pPr>
        <w:pStyle w:val="TextBody"/>
      </w:pPr>
      <w:r>
        <w:t xml:space="preserve">Overall, none of the families enriched in the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
        </w:rPr>
        <w:t xml:space="preserve">Methylococcaceae</w:t>
      </w:r>
      <w:r>
        <w:t xml:space="preserve"> </w:t>
      </w:r>
      <w:r>
        <w:t xml:space="preserve">and</w:t>
      </w:r>
      <w:r>
        <w:t xml:space="preserve"> </w:t>
      </w:r>
      <w:r>
        <w:rPr>
          <w:i/>
        </w:rPr>
        <w:t xml:space="preserve">Methylothermaceae</w:t>
      </w:r>
      <w:r>
        <w:t xml:space="preserve"> </w:t>
      </w:r>
      <w:r>
        <w:t xml:space="preserve">(43)</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(44)</w:t>
      </w:r>
      <w:r>
        <w:t xml:space="preserve">.</w:t>
      </w:r>
      <w:r>
        <w:t xml:space="preserve"> </w:t>
      </w:r>
      <w:r>
        <w:t xml:space="preserve">In addition, the</w:t>
      </w:r>
      <w:r>
        <w:t xml:space="preserve"> </w:t>
      </w:r>
      <w:r>
        <w:rPr>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(45)</w:t>
      </w:r>
      <w:r>
        <w:t xml:space="preserve">. Other</w:t>
      </w:r>
      <w:r>
        <w:t xml:space="preserve"> </w:t>
      </w:r>
      <w:r>
        <w:t xml:space="preserve">than these two groups, none of the other taxa enriched in the selection treatment</w:t>
      </w:r>
      <w:r>
        <w:t xml:space="preserve"> </w:t>
      </w:r>
      <w:r>
        <w:t xml:space="preserve">are known to be related to methanotrophs. Two groups in the Armatimonadales were</w:t>
      </w:r>
      <w:r>
        <w:t xml:space="preserve"> </w:t>
      </w:r>
      <w:r>
        <w:t xml:space="preserve">enriched in the selection treatment including the family</w:t>
      </w:r>
      <w:r>
        <w:t xml:space="preserve"> </w:t>
      </w:r>
      <w:r>
        <w:rPr>
          <w:i/>
        </w:rPr>
        <w:t xml:space="preserve">Fimbriimonadaceae</w:t>
      </w:r>
      <w:r>
        <w:t xml:space="preserve"> </w:t>
      </w:r>
      <w:r>
        <w:t xml:space="preserve">and</w:t>
      </w:r>
      <w:r>
        <w:t xml:space="preserve"> </w:t>
      </w:r>
      <w:r>
        <w:t xml:space="preserve">an unclassified ASV from the order Armatimonadales</w:t>
      </w:r>
      <w:r>
        <w:t xml:space="preserve"> </w:t>
      </w:r>
      <w:r>
        <w:t xml:space="preserve">(46)</w:t>
      </w:r>
      <w:r>
        <w:t xml:space="preserve">.</w:t>
      </w:r>
      <w:r>
        <w:t xml:space="preserve"> </w:t>
      </w:r>
      <w:r>
        <w:rPr>
          <w:i/>
        </w:rPr>
        <w:t xml:space="preserve">Cytophagaceae</w:t>
      </w:r>
      <w:r>
        <w:t xml:space="preserve"> </w:t>
      </w:r>
      <w:r>
        <w:t xml:space="preserve">was also enriched in</w:t>
      </w:r>
      <w:r>
        <w:t xml:space="preserve"> </w:t>
      </w:r>
      <w:r>
        <w:t xml:space="preserve">the selection treatment and contains a number of mainly aerobic heterotrophs</w:t>
      </w:r>
      <w:r>
        <w:t xml:space="preserve"> </w:t>
      </w:r>
      <w:r>
        <w:t xml:space="preserve">that can digest a variety of macromolecules</w:t>
      </w:r>
      <w:r>
        <w:t xml:space="preserve"> </w:t>
      </w:r>
      <w:r>
        <w:t xml:space="preserve">(47)</w:t>
      </w:r>
      <w:r>
        <w:t xml:space="preserve">.</w:t>
      </w:r>
      <w:r>
        <w:t xml:space="preserve"> </w:t>
      </w:r>
      <w:r>
        <w:t xml:space="preserve">The remaining families include the uncultured family 0319-6G20,</w:t>
      </w:r>
      <w:r>
        <w:t xml:space="preserve"> </w:t>
      </w:r>
      <w:r>
        <w:rPr>
          <w:i/>
        </w:rPr>
        <w:t xml:space="preserve">Diplorickettsiaceae</w:t>
      </w:r>
      <w:r>
        <w:t xml:space="preserve">,</w:t>
      </w:r>
      <w:r>
        <w:t xml:space="preserve"> </w:t>
      </w:r>
      <w:r>
        <w:rPr>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
        </w:rPr>
        <w:t xml:space="preserve">Methylacidiphilaceae</w:t>
      </w:r>
      <w:r>
        <w:t xml:space="preserve"> </w:t>
      </w:r>
      <w:r>
        <w:t xml:space="preserve">and</w:t>
      </w:r>
      <w:r>
        <w:t xml:space="preserve"> </w:t>
      </w:r>
      <w:r>
        <w:rPr>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
        </w:rPr>
        <w:t xml:space="preserve">Beijerinckiaceae</w:t>
      </w:r>
      <w:r>
        <w:t xml:space="preserve"> </w:t>
      </w:r>
      <w:r>
        <w:t xml:space="preserve">were depleted in the selection treatment and the genus</w:t>
      </w:r>
      <w:r>
        <w:t xml:space="preserve"> </w:t>
      </w:r>
      <w:r>
        <w:rPr>
          <w:i/>
        </w:rPr>
        <w:t xml:space="preserve">Rhodoblastus</w:t>
      </w:r>
      <w:r>
        <w:t xml:space="preserve">, a member of the</w:t>
      </w:r>
      <w:r>
        <w:t xml:space="preserve"> </w:t>
      </w:r>
      <w:r>
        <w:rPr>
          <w:i/>
        </w:rPr>
        <w:t xml:space="preserve">Beijerinckiaceae</w:t>
      </w:r>
      <w:r>
        <w:t xml:space="preserve">, was enriched in the</w:t>
      </w:r>
      <w:r>
        <w:t xml:space="preserve"> </w:t>
      </w:r>
      <w:r>
        <w:t xml:space="preserve">selection treatment. While many</w:t>
      </w:r>
      <w:r>
        <w:t xml:space="preserve"> </w:t>
      </w:r>
      <w:r>
        <w:rPr>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(48,49)</w:t>
      </w:r>
      <w:r>
        <w:t xml:space="preserve">. Based on this analysis,</w:t>
      </w:r>
      <w:r>
        <w:t xml:space="preserve"> </w:t>
      </w:r>
      <w:r>
        <w:t xml:space="preserve">it appears that no methanotrophs were enriched in the positive selection treatment.</w:t>
      </w:r>
    </w:p>
    <w:p>
      <w:pPr>
        <w:pStyle w:val="Heading1"/>
      </w:pPr>
      <w:bookmarkStart w:id="33" w:name="discussion"/>
      <w:r>
        <w:t xml:space="preserve">Discussion</w:t>
      </w:r>
      <w:bookmarkEnd w:id="33"/>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CH</w:t>
      </w:r>
      <w:r>
        <w:rPr>
          <w:vertAlign w:val="subscript"/>
        </w:rPr>
        <w:t xml:space="preserve">4</w:t>
      </w:r>
      <w:r>
        <w:t xml:space="preserve"> </w:t>
      </w:r>
      <w:r>
        <w:t xml:space="preserve">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1);</w:t>
      </w:r>
      <w:r>
        <w:t xml:space="preserve"> </w:t>
      </w:r>
      <w:r>
        <w:t xml:space="preserve">for example, environmental variation can indirectly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on environment via its impact on microbiome</w:t>
      </w:r>
      <w:r>
        <w:t xml:space="preserve"> </w:t>
      </w:r>
      <w:r>
        <w:t xml:space="preserve">assembly.</w:t>
      </w:r>
    </w:p>
    <w:p>
      <w:pPr>
        <w:pStyle w:val="TextBody"/>
      </w:pPr>
      <w:r>
        <w:t xml:space="preserve">In our study, we observed an increase in CH</w:t>
      </w:r>
      <w:r>
        <w:rPr>
          <w:vertAlign w:val="subscript"/>
        </w:rPr>
        <w:t xml:space="preserve">4</w:t>
      </w:r>
      <w:r>
        <w:t xml:space="preserve"> </w:t>
      </w:r>
      <w:r>
        <w:t xml:space="preserve">oxidation rate in the</w:t>
      </w:r>
      <w:r>
        <w:t xml:space="preserve"> </w:t>
      </w:r>
      <w:r>
        <w:t xml:space="preserve">selection treatment relative to the control, which demonstrates that there was a</w:t>
      </w:r>
      <w:r>
        <w:t xml:space="preserve"> </w:t>
      </w:r>
      <w:r>
        <w:t xml:space="preserve">response to selection. Given that we observed a response to selection, we</w:t>
      </w:r>
      <w:r>
        <w:t xml:space="preserve"> </w:t>
      </w:r>
      <w:r>
        <w:t xml:space="preserve">conclude that variation in the microbiome contributes to variation in the</w:t>
      </w:r>
      <w:r>
        <w:t xml:space="preserve"> </w:t>
      </w:r>
      <w:r>
        <w:t xml:space="preserve">CH</w:t>
      </w:r>
      <w:r>
        <w:rPr>
          <w:vertAlign w:val="subscript"/>
        </w:rPr>
        <w:t xml:space="preserve">4</w:t>
      </w:r>
      <w:r>
        <w:t xml:space="preserve"> </w:t>
      </w:r>
      <w:r>
        <w:t xml:space="preserve">oxidation rate independent of the environment. This suggests that</w:t>
      </w:r>
      <w:r>
        <w:t xml:space="preserve"> </w:t>
      </w:r>
      <w:r>
        <w:t xml:space="preserve">microbiome manipulations could be an effective approach for altering the rate of</w:t>
      </w:r>
      <w:r>
        <w:t xml:space="preserve"> </w:t>
      </w:r>
      <w:r>
        <w:t xml:space="preserve">CH</w:t>
      </w:r>
      <w:r>
        <w:rPr>
          <w:vertAlign w:val="subscript"/>
        </w:rPr>
        <w:t xml:space="preserve">4</w:t>
      </w:r>
      <w:r>
        <w:t xml:space="preserve"> </w:t>
      </w:r>
      <w:r>
        <w:t xml:space="preserve">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a reasonable follow-up question is</w:t>
      </w:r>
      <w:r>
        <w:t xml:space="preserve"> </w:t>
      </w:r>
      <w:r>
        <w:t xml:space="preserve">“</w:t>
      </w:r>
      <w:r>
        <w:t xml:space="preserve">how</w:t>
      </w:r>
      <w:r>
        <w:t xml:space="preserve"> </w:t>
      </w:r>
      <w:r>
        <w:t xml:space="preserve">much variation in ecosystem function is associated with microbiome variation in</w:t>
      </w:r>
      <w:r>
        <w:t xml:space="preserve"> </w:t>
      </w:r>
      <w:r>
        <w:t xml:space="preserve">this system?</w:t>
      </w:r>
      <w:r>
        <w:t xml:space="preserve">”</w:t>
      </w:r>
      <w:r>
        <w:t xml:space="preserve"> </w:t>
      </w:r>
      <w:r>
        <w:t xml:space="preserve">One way to estimate this is to determine how much the recipient</w:t>
      </w:r>
      <w:r>
        <w:t xml:space="preserve"> </w:t>
      </w:r>
      <w:r>
        <w:t xml:space="preserve">jars resemble the selected donor jars that were used to inoculate them</w:t>
      </w:r>
      <w:r>
        <w:t xml:space="preserve"> </w:t>
      </w:r>
      <w:r>
        <w:t xml:space="preserve">(31)</w:t>
      </w:r>
      <w:r>
        <w:t xml:space="preserve">. We can</w:t>
      </w:r>
      <w:r>
        <w:t xml:space="preserve"> </w:t>
      </w:r>
      <w:r>
        <w:t xml:space="preserve">calculate the response to selection as the difference between two successive</w:t>
      </w:r>
      <w:r>
        <w:t xml:space="preserve"> </w:t>
      </w:r>
      <w:r>
        <w:t xml:space="preserve">passages in their mean CH</w:t>
      </w:r>
      <w:r>
        <w:rPr>
          <w:vertAlign w:val="subscript"/>
        </w:rPr>
        <w:t xml:space="preserve">4</w:t>
      </w:r>
      <w:r>
        <w:t xml:space="preserve"> </w:t>
      </w:r>
      <w:r>
        <w:t xml:space="preserve">oxidation rate. We will denote this as</w:t>
      </w:r>
      <w:r>
        <w:t xml:space="preserve"> </w:t>
      </w:r>
      <m:oMath>
        <m:r>
          <m:t>R</m:t>
        </m:r>
      </m:oMath>
      <w:r>
        <w:t xml:space="preserve">. We</w:t>
      </w:r>
      <w:r>
        <w:t xml:space="preserve"> </w:t>
      </w:r>
      <w:r>
        <w:t xml:space="preserve">can also calculate the strength of selection as the difference in mean CH</w:t>
      </w:r>
      <w:r>
        <w:rPr>
          <w:vertAlign w:val="subscript"/>
        </w:rPr>
        <w:t xml:space="preserve">4</w:t>
      </w:r>
      <w:r>
        <w:t xml:space="preserve"> </w:t>
      </w:r>
      <w:r>
        <w:t xml:space="preserve">oxidation rate between the twelve jars in one generation and the three jars chosen</w:t>
      </w:r>
      <w:r>
        <w:t xml:space="preserve"> </w:t>
      </w:r>
      <w:r>
        <w:t xml:space="preserve">for selection in that generation, which we will call the selection differential</w:t>
      </w:r>
      <w:r>
        <w:t xml:space="preserve"> </w:t>
      </w:r>
      <w:r>
        <w:t xml:space="preserve">and denote as</w:t>
      </w:r>
      <w:r>
        <w:t xml:space="preserve"> </w:t>
      </w:r>
      <m:oMath>
        <m:r>
          <m:t>S</m:t>
        </m:r>
      </m:oMath>
      <w:r>
        <w:t xml:space="preserve">. If we plot the cumulative</w:t>
      </w:r>
      <w:r>
        <w:t xml:space="preserve"> </w:t>
      </w:r>
      <m:oMath>
        <m:r>
          <m:t>R</m:t>
        </m:r>
      </m:oMath>
      <w:r>
        <w:t xml:space="preserve"> </w:t>
      </w:r>
      <w:r>
        <w:t xml:space="preserve">against the cumulative</w:t>
      </w:r>
      <w:r>
        <w:t xml:space="preserve"> </w:t>
      </w:r>
      <m:oMath>
        <m:r>
          <m:t>S</m:t>
        </m:r>
      </m:oMath>
      <w:r>
        <w:t xml:space="preserve">, the</w:t>
      </w:r>
      <w:r>
        <w:t xml:space="preserve"> </w:t>
      </w:r>
      <w:r>
        <w:t xml:space="preserve">slope of this relationship will equal the proportion of variation explained by</w:t>
      </w:r>
      <w:r>
        <w:t xml:space="preserve"> </w:t>
      </w:r>
      <w:r>
        <w:t xml:space="preserve">the microbiome. If the change in mean function from passage one to passage two</w:t>
      </w:r>
      <w:r>
        <w:t xml:space="preserve"> </w:t>
      </w:r>
      <w:r>
        <w:t xml:space="preserve">(</w:t>
      </w:r>
      <m:oMath>
        <m:r>
          <m:t>R</m:t>
        </m:r>
      </m:oMath>
      <w:r>
        <w:t xml:space="preserve">) is equal to the difference in mean function between the twelve jars in</w:t>
      </w:r>
      <w:r>
        <w:t xml:space="preserve"> </w:t>
      </w:r>
      <w:r>
        <w:t xml:space="preserve">passage one and the three jars selected to inoculate passage two (</w:t>
      </w:r>
      <m:oMath>
        <m:r>
          <m:t>S</m:t>
        </m:r>
      </m:oMath>
      <w:r>
        <w:t xml:space="preserve">), then we</w:t>
      </w:r>
      <w:r>
        <w:t xml:space="preserve"> </w:t>
      </w:r>
      <w:r>
        <w:t xml:space="preserve">would conclude that 100% of the variation is due to variation in the microbiome.</w:t>
      </w:r>
      <w:r>
        <w:t xml:space="preserve"> </w:t>
      </w:r>
      <w:r>
        <w:t xml:space="preserve">Likewise, if recipients do not resemble the donors in their mean CH</w:t>
      </w:r>
      <w:r>
        <w:rPr>
          <w:vertAlign w:val="subscript"/>
        </w:rPr>
        <w:t xml:space="preserve">4</w:t>
      </w:r>
      <w:r>
        <w:t xml:space="preserve"> </w:t>
      </w:r>
      <w:r>
        <w:t xml:space="preserve">oxidation rate and simply wander randomly, then we would conclude that all of</w:t>
      </w:r>
      <w:r>
        <w:t xml:space="preserve"> </w:t>
      </w:r>
      <w:r>
        <w:t xml:space="preserve">the variation is due to the environment or technical variation.</w:t>
      </w:r>
    </w:p>
    <w:p>
      <w:pPr>
        <w:pStyle w:val="TextBody"/>
      </w:pPr>
      <w:r>
        <w:t xml:space="preserve">The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(50)</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(32)</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 very</w:t>
      </w:r>
      <w:r>
        <w:t xml:space="preserve"> </w:t>
      </w:r>
      <w:r>
        <w:t xml:space="preserve">useful for understanding and manipulating microbially-mediated functions in a</w:t>
      </w:r>
      <w:r>
        <w:t xml:space="preserve"> </w:t>
      </w:r>
      <w:r>
        <w:t xml:space="preserve">variety of ecosystems. In our experiment, variation in microbiome taxonomic</w:t>
      </w:r>
      <w:r>
        <w:t xml:space="preserve"> </w:t>
      </w:r>
      <w:r>
        <w:t xml:space="preserve">composition statistically explained (i.e., was associated with)</w:t>
      </w:r>
      <w:r>
        <w:t xml:space="preserve"> </w:t>
      </w:r>
      <w:r>
        <w:t xml:space="preserve">31.5% of the</w:t>
      </w:r>
      <w:r>
        <w:t xml:space="preserve"> </w:t>
      </w:r>
      <w:r>
        <w:t xml:space="preserve">variation we observed in the rate of CH</w:t>
      </w:r>
      <w:r>
        <w:rPr>
          <w:vertAlign w:val="subscript"/>
        </w:rPr>
        <w:t xml:space="preserve">4</w:t>
      </w:r>
      <w:r>
        <w:t xml:space="preserve"> </w:t>
      </w:r>
      <w:r>
        <w:t xml:space="preserve">oxidation, though this was not</w:t>
      </w:r>
      <w:r>
        <w:t xml:space="preserve"> </w:t>
      </w:r>
      <w:r>
        <w:t xml:space="preserve">significant. However, we did observe a significant divergence between the</w:t>
      </w:r>
      <w:r>
        <w:t xml:space="preserve"> </w:t>
      </w:r>
      <w:r>
        <w:t xml:space="preserve">positive selection and control lines, which suggests that the imposed</w:t>
      </w:r>
      <w:r>
        <w:t xml:space="preserve"> </w:t>
      </w:r>
      <w:r>
        <w:t xml:space="preserve">selection and passaging of microbiomes was sufficient to generate</w:t>
      </w:r>
      <w:r>
        <w:t xml:space="preserve"> </w:t>
      </w:r>
      <w:r>
        <w:t xml:space="preserve">variation in soil CH</w:t>
      </w:r>
      <w:r>
        <w:rPr>
          <w:vertAlign w:val="subscript"/>
        </w:rPr>
        <w:t xml:space="preserve">4</w:t>
      </w:r>
      <w:r>
        <w:t xml:space="preserve"> </w:t>
      </w:r>
      <w:r>
        <w:t xml:space="preserve">oxidation rate. Future studies with</w:t>
      </w:r>
      <w:r>
        <w:t xml:space="preserve"> </w:t>
      </w:r>
      <w:r>
        <w:t xml:space="preserve">greater replication could more precisely estimate the microbiability.</w:t>
      </w:r>
      <w:r>
        <w:t xml:space="preserve"> </w:t>
      </w:r>
      <w:r>
        <w:t xml:space="preserve">This suggests that</w:t>
      </w:r>
      <w:r>
        <w:t xml:space="preserve"> </w:t>
      </w:r>
      <w:r>
        <w:t xml:space="preserve">there is substantial potential for altering this ecosystem function through</w:t>
      </w:r>
      <w:r>
        <w:t xml:space="preserve"> </w:t>
      </w:r>
      <w:r>
        <w:t xml:space="preserve">microbiome manipulation in this soil. It is very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CH</w:t>
      </w:r>
      <w:r>
        <w:rPr>
          <w:vertAlign w:val="subscript"/>
        </w:rPr>
        <w:t xml:space="preserve">4</w:t>
      </w:r>
      <w:r>
        <w:t xml:space="preserve"> </w:t>
      </w:r>
      <w:r>
        <w:t xml:space="preserve">oxidation in other soils. However, our experiment</w:t>
      </w:r>
      <w:r>
        <w:t xml:space="preserve"> </w:t>
      </w:r>
      <w:r>
        <w:t xml:space="preserve">demonstrates that this relationship is measurable and provides an example of how</w:t>
      </w:r>
      <w:r>
        <w:t xml:space="preserve"> </w:t>
      </w:r>
      <w:r>
        <w:t xml:space="preserve">this can be accomplished.</w:t>
      </w:r>
    </w:p>
    <w:p>
      <w:pPr>
        <w:pStyle w:val="TextBody"/>
      </w:pPr>
      <w:r>
        <w:t xml:space="preserve">We next wanted to determine which aspects of the</w:t>
      </w:r>
      <w:r>
        <w:t xml:space="preserve"> </w:t>
      </w:r>
      <w:r>
        <w:t xml:space="preserve">microbiome might explain the divergence in CH</w:t>
      </w:r>
      <w:r>
        <w:rPr>
          <w:vertAlign w:val="subscript"/>
        </w:rPr>
        <w:t xml:space="preserve">4</w:t>
      </w:r>
      <w:r>
        <w:t xml:space="preserve"> </w:t>
      </w:r>
      <w:r>
        <w:t xml:space="preserve">oxidation rate between the two treatments.</w:t>
      </w:r>
      <w:r>
        <w:t xml:space="preserve"> </w:t>
      </w:r>
      <w:r>
        <w:t xml:space="preserve">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selection treatment and</w:t>
      </w:r>
      <w:r>
        <w:t xml:space="preserve"> </w:t>
      </w:r>
      <w:r>
        <w:t xml:space="preserve">none of these were prevalent across the 12 jars in passage 5. Therefore, the</w:t>
      </w:r>
      <w:r>
        <w:t xml:space="preserve"> </w:t>
      </w:r>
      <w:r>
        <w:t xml:space="preserve">gain or loss of species is unlikely to explain the increase in CH</w:t>
      </w:r>
      <w:r>
        <w:rPr>
          <w:vertAlign w:val="subscript"/>
        </w:rPr>
        <w:t xml:space="preserve">4</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CH</w:t>
      </w:r>
      <w:r>
        <w:rPr>
          <w:vertAlign w:val="subscript"/>
        </w:rPr>
        <w:t xml:space="preserve">4</w:t>
      </w:r>
      <w:r>
        <w:t xml:space="preserve"> </w:t>
      </w:r>
      <w:r>
        <w:t xml:space="preserve">oxidation rate, which suggests that changes in the</w:t>
      </w:r>
      <w:r>
        <w:t xml:space="preserve"> </w:t>
      </w:r>
      <w:r>
        <w:t xml:space="preserve">relative abundance of taxa could explain the response to selection.</w:t>
      </w:r>
    </w:p>
    <w:p>
      <w:pPr>
        <w:pStyle w:val="TextBody"/>
      </w:pPr>
      <w:r>
        <w:t xml:space="preserve">Even though we observed an increase in CH</w:t>
      </w:r>
      <w:r>
        <w:rPr>
          <w:vertAlign w:val="subscript"/>
        </w:rPr>
        <w:t xml:space="preserve">4</w:t>
      </w:r>
      <w:r>
        <w:t xml:space="preserve"> </w:t>
      </w:r>
      <w:r>
        <w:t xml:space="preserve">oxidation rate in the selection</w:t>
      </w:r>
      <w:r>
        <w:t xml:space="preserve"> </w:t>
      </w:r>
      <w:r>
        <w:t xml:space="preserve">treatment and a difference in composition between the two treatments, we did</w:t>
      </w:r>
      <w:r>
        <w:t xml:space="preserve"> </w:t>
      </w:r>
      <w:r>
        <w:t xml:space="preserve">not observe an increase in the relative abundance of known methanotrophs. This was</w:t>
      </w:r>
      <w:r>
        <w:t xml:space="preserve"> </w:t>
      </w:r>
      <w:r>
        <w:t xml:space="preserve">surprising given that CH</w:t>
      </w:r>
      <w:r>
        <w:rPr>
          <w:vertAlign w:val="subscript"/>
        </w:rPr>
        <w:t xml:space="preserve">4</w:t>
      </w:r>
      <w:r>
        <w:t xml:space="preserve"> </w:t>
      </w:r>
      <w:r>
        <w:t xml:space="preserve">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(11)</w:t>
      </w:r>
      <w:r>
        <w:t xml:space="preserve">. In certain</w:t>
      </w:r>
      <w:r>
        <w:t xml:space="preserve"> </w:t>
      </w:r>
      <w:r>
        <w:t xml:space="preserve">ecosystems, CH</w:t>
      </w:r>
      <w:r>
        <w:rPr>
          <w:vertAlign w:val="subscript"/>
        </w:rPr>
        <w:t xml:space="preserve">4</w:t>
      </w:r>
      <w:r>
        <w:t xml:space="preserve"> </w:t>
      </w:r>
      <w:r>
        <w:t xml:space="preserve">production and consumption are correlated with the</w:t>
      </w:r>
      <w:r>
        <w:t xml:space="preserve"> </w:t>
      </w:r>
      <w:r>
        <w:t xml:space="preserve">abundance of methanogens and methanotrophs as estimated from marker genes</w:t>
      </w:r>
      <w:r>
        <w:t xml:space="preserve"> </w:t>
      </w:r>
      <w:r>
        <w:t xml:space="preserve">(18,19)</w:t>
      </w:r>
      <w:r>
        <w:t xml:space="preserve">. However, our results suggest that in this system</w:t>
      </w:r>
      <w:r>
        <w:t xml:space="preserve"> </w:t>
      </w:r>
      <w:r>
        <w:t xml:space="preserve">ecosystem-scale CH</w:t>
      </w:r>
      <w:r>
        <w:rPr>
          <w:vertAlign w:val="subscript"/>
        </w:rPr>
        <w:t xml:space="preserve">4</w:t>
      </w:r>
      <w:r>
        <w:t xml:space="preserve"> </w:t>
      </w:r>
      <w:r>
        <w:t xml:space="preserve">oxidation rates can be altered by non-methanotrophs,</w:t>
      </w:r>
      <w:r>
        <w:t xml:space="preserve"> </w:t>
      </w:r>
      <w:r>
        <w:t xml:space="preserve">perhaps through ecological interactions with methanotrophic species, or by</w:t>
      </w:r>
      <w:r>
        <w:t xml:space="preserve"> </w:t>
      </w:r>
      <w:r>
        <w:t xml:space="preserve">unknown methanotrophs.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(51)</w:t>
      </w:r>
      <w:r>
        <w:t xml:space="preserve">.</w:t>
      </w:r>
      <w:r>
        <w:t xml:space="preserve"> </w:t>
      </w:r>
      <w:r>
        <w:t xml:space="preserve">Artificial ecosystem selection is an important example of such an approach.</w:t>
      </w:r>
    </w:p>
    <w:p>
      <w:pPr>
        <w:pStyle w:val="TextBody"/>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(52)</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(53)</w:t>
      </w:r>
      <w:r>
        <w:t xml:space="preserve"> </w:t>
      </w:r>
      <w:r>
        <w:t xml:space="preserve">or</w:t>
      </w:r>
      <w:r>
        <w:t xml:space="preserve"> </w:t>
      </w:r>
      <w:r>
        <w:t xml:space="preserve">ameliorate the impacts of environmental change</w:t>
      </w:r>
      <w:r>
        <w:t xml:space="preserve"> </w:t>
      </w:r>
      <w:r>
        <w:t xml:space="preserve">(54)</w:t>
      </w:r>
      <w:r>
        <w:t xml:space="preserve">.</w:t>
      </w:r>
    </w:p>
    <w:p>
      <w:pPr>
        <w:pStyle w:val="Heading1"/>
      </w:pPr>
      <w:bookmarkStart w:id="34" w:name="acknowledgments"/>
      <w:r>
        <w:t xml:space="preserve">Acknowledgments</w:t>
      </w:r>
      <w:bookmarkEnd w:id="34"/>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 Figure 1 was created with BioRender.com.</w:t>
      </w:r>
    </w:p>
    <w:p>
      <w:pPr>
        <w:pStyle w:val="Heading1"/>
      </w:pPr>
      <w:bookmarkStart w:id="35" w:name="competing-interests"/>
      <w:r>
        <w:t xml:space="preserve">Competing Interests</w:t>
      </w:r>
      <w:bookmarkEnd w:id="35"/>
    </w:p>
    <w:p>
      <w:pPr>
        <w:pStyle w:val="FirstParagraph"/>
      </w:pPr>
      <w:r>
        <w:t xml:space="preserve">We declare we have no competing interests.</w:t>
      </w:r>
    </w:p>
    <w:p>
      <w:pPr>
        <w:pStyle w:val="Heading1"/>
      </w:pPr>
      <w:bookmarkStart w:id="36" w:name="data-availability-statement"/>
      <w:r>
        <w:t xml:space="preserve">Data Availability Statement</w:t>
      </w:r>
      <w:bookmarkEnd w:id="36"/>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7">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8">
        <w:r>
          <w:rPr>
            <w:rStyle w:val="InternetLink"/>
          </w:rPr>
          <w:t xml:space="preserve">https://github.com/amorris28/artificial_ecosystem_selection</w:t>
        </w:r>
      </w:hyperlink>
      <w:r>
        <w:t xml:space="preserve">.</w:t>
      </w:r>
    </w:p>
    <w:p>
      <w:pPr>
        <w:pStyle w:val="Heading1"/>
      </w:pPr>
      <w:bookmarkStart w:id="39" w:name="references"/>
      <w:r>
        <w:t xml:space="preserve">References</w:t>
      </w:r>
      <w:bookmarkEnd w:id="39"/>
    </w:p>
    <w:bookmarkStart w:id="95" w:name="refs"/>
    <w:bookmarkStart w:id="40" w:name="ref-conrad1996"/>
    <w:p>
      <w:pPr>
        <w:pStyle w:val="Bibliography"/>
      </w:pPr>
      <w:r>
        <w:t xml:space="preserve">1. Conrad R. Soil microorganisms as controllers of atmospheric trace gases (H2, CO, CH4, OCS, N2O, and NO). Microbiological Reviews. 1996 Dec;60(4):609–40.</w:t>
      </w:r>
      <w:r>
        <w:t xml:space="preserve"> </w:t>
      </w:r>
    </w:p>
    <w:bookmarkEnd w:id="40"/>
    <w:bookmarkStart w:id="41" w:name="ref-schimel1998"/>
    <w:p>
      <w:pPr>
        <w:pStyle w:val="Bibliography"/>
      </w:pPr>
      <w:r>
        <w:t xml:space="preserve">2. Schimel JP, Gulledge J. Microbial community structure and global trace gases. Global Change Biology. 1998;4(7):745–58.</w:t>
      </w:r>
      <w:r>
        <w:t xml:space="preserve"> </w:t>
      </w:r>
    </w:p>
    <w:bookmarkEnd w:id="41"/>
    <w:bookmarkStart w:id="42" w:name="ref-crowther2019"/>
    <w:p>
      <w:pPr>
        <w:pStyle w:val="Bibliography"/>
      </w:pPr>
      <w:r>
        <w:t xml:space="preserve">3. Crowther TW, Hoogen J van den, Wan J, Mayes MA, Keiser AD, Mo L, et al. The global soil community and its influence on biogeochemistry. Science. 2019 Aug;365(6455).</w:t>
      </w:r>
      <w:r>
        <w:t xml:space="preserve"> </w:t>
      </w:r>
    </w:p>
    <w:bookmarkEnd w:id="42"/>
    <w:bookmarkStart w:id="43" w:name="ref-cavigelli2000"/>
    <w:p>
      <w:pPr>
        <w:pStyle w:val="Bibliography"/>
      </w:pPr>
      <w:r>
        <w:t xml:space="preserve">4. Cavigelli MA, Robertson GP. The Functional Significance of Denitrifier Community Composition in a Terrestrial Ecosystem. Ecology. 2000;81(5):1402–14.</w:t>
      </w:r>
      <w:r>
        <w:t xml:space="preserve"> </w:t>
      </w:r>
    </w:p>
    <w:bookmarkEnd w:id="43"/>
    <w:bookmarkStart w:id="44" w:name="ref-balser2005"/>
    <w:p>
      <w:pPr>
        <w:pStyle w:val="Bibliography"/>
      </w:pPr>
      <w:r>
        <w:t xml:space="preserve">5. Balser TC, Firestone MK. Linking microbial community composition and soil processes in a California annual grassland and mixed-conifer forest. Biogeochemistry. 2005 Apr;73(2):395–415.</w:t>
      </w:r>
      <w:r>
        <w:t xml:space="preserve"> </w:t>
      </w:r>
    </w:p>
    <w:bookmarkEnd w:id="44"/>
    <w:bookmarkStart w:id="45" w:name="ref-waldrop2006"/>
    <w:p>
      <w:pPr>
        <w:pStyle w:val="Bibliography"/>
      </w:pPr>
      <w:r>
        <w:t xml:space="preserve">6. Waldrop MP, Firestone MK. Response of Microbial Community Composition and Function to Soil Climate Change. Microbial Ecology. 2006 Nov;52(4):716–24.</w:t>
      </w:r>
      <w:r>
        <w:t xml:space="preserve"> </w:t>
      </w:r>
    </w:p>
    <w:bookmarkEnd w:id="45"/>
    <w:bookmarkStart w:id="46" w:name="ref-strickland2009"/>
    <w:p>
      <w:pPr>
        <w:pStyle w:val="Bibliography"/>
      </w:pPr>
      <w:r>
        <w:t xml:space="preserve">7. Strickland MS, Lauber C, Fierer N, Bradford MA. Testing the functional significance of microbial community composition. Ecology. 2009;90(2):441–51.</w:t>
      </w:r>
      <w:r>
        <w:t xml:space="preserve"> </w:t>
      </w:r>
    </w:p>
    <w:bookmarkEnd w:id="46"/>
    <w:bookmarkStart w:id="47" w:name="ref-wagg2014"/>
    <w:p>
      <w:pPr>
        <w:pStyle w:val="Bibliography"/>
      </w:pPr>
      <w:r>
        <w:t xml:space="preserve">8. Wagg C, Bender SF, Widmer F, Heijden MGA van der. Soil biodiversity and soil community composition determine ecosystem multifunctionality. Proceedings of the National Academy of Sciences. 2014 Apr;111(14):5266–70.</w:t>
      </w:r>
      <w:r>
        <w:t xml:space="preserve"> </w:t>
      </w:r>
    </w:p>
    <w:bookmarkEnd w:id="47"/>
    <w:bookmarkStart w:id="48" w:name="ref-wagg2019"/>
    <w:p>
      <w:pPr>
        <w:pStyle w:val="Bibliography"/>
      </w:pPr>
      <w:r>
        <w:t xml:space="preserve">9. Wagg C, Schlaeppi K, Banerjee S, Kuramae EE, van der Heijden MGA. Fungal-bacterial diversity and microbiome complexity predict ecosystem functioning. Nature Communications. 2019 Oct;10(1):4841.</w:t>
      </w:r>
      <w:r>
        <w:t xml:space="preserve"> </w:t>
      </w:r>
    </w:p>
    <w:bookmarkEnd w:id="48"/>
    <w:bookmarkStart w:id="49" w:name="ref-graham2016"/>
    <w:p>
      <w:pPr>
        <w:pStyle w:val="Bibliography"/>
      </w:pPr>
      <w:r>
        <w:t xml:space="preserve">10. Graham EB, Knelman JE, Schindlbacher A, Siciliano S, Breulmann M, Yannarell A, et al. Microbes as Engines of Ecosystem Function: When Does Community Structure Enhance Predictions of Ecosystem Processes? Frontiers in Microbiology. 2016;7.</w:t>
      </w:r>
      <w:r>
        <w:t xml:space="preserve"> </w:t>
      </w:r>
    </w:p>
    <w:bookmarkEnd w:id="49"/>
    <w:bookmarkStart w:id="50" w:name="ref-rocca2015"/>
    <w:p>
      <w:pPr>
        <w:pStyle w:val="Bibliography"/>
      </w:pPr>
      <w:r>
        <w:t xml:space="preserve">11. Rocca JD, Hall EK, Lennon JT, Evans SE, Waldrop MP, Cotner JB, et al. Relationships between protein-encoding gene abundance and corresponding process are commonly assumed yet rarely observed. The ISME Journal. 2015 Aug;9(8):1693–9.</w:t>
      </w:r>
      <w:r>
        <w:t xml:space="preserve"> </w:t>
      </w:r>
    </w:p>
    <w:bookmarkEnd w:id="50"/>
    <w:bookmarkStart w:id="51" w:name="ref-griffiths2001"/>
    <w:p>
      <w:pPr>
        <w:pStyle w:val="Bibliography"/>
      </w:pPr>
      <w:r>
        <w:t xml:space="preserve">12. Griffiths BS, Ritz K, Wheatley R, Kuan HL, Boag B, Christensen S, et al. An examination of the biodiversityEcosystem function relationship in arable soil microbial communities. Soil Biology and Biochemistry. 2001 Oct;33(12):1713–22.</w:t>
      </w:r>
      <w:r>
        <w:t xml:space="preserve"> </w:t>
      </w:r>
    </w:p>
    <w:bookmarkEnd w:id="51"/>
    <w:bookmarkStart w:id="52" w:name="ref-reed2007"/>
    <w:p>
      <w:pPr>
        <w:pStyle w:val="Bibliography"/>
      </w:pPr>
      <w:r>
        <w:t xml:space="preserve">13. Reed HE, Martiny JBH. Testing the functional significance of microbial composition in natural communities. FEMS Microbiology Ecology. 2007;62(2):161–70.</w:t>
      </w:r>
      <w:r>
        <w:t xml:space="preserve"> </w:t>
      </w:r>
    </w:p>
    <w:bookmarkEnd w:id="52"/>
    <w:bookmarkStart w:id="53" w:name="ref-swenson2000"/>
    <w:p>
      <w:pPr>
        <w:pStyle w:val="Bibliography"/>
      </w:pPr>
      <w:r>
        <w:t xml:space="preserve">14. Swenson W, Wilson DS, Elias R. Artificial ecosystem selection. Proceedings of the National Academy of Sciences. 2000 Aug;97(16):9110–4.</w:t>
      </w:r>
      <w:r>
        <w:t xml:space="preserve"> </w:t>
      </w:r>
    </w:p>
    <w:bookmarkEnd w:id="53"/>
    <w:bookmarkStart w:id="54" w:name="ref-blouin2015"/>
    <w:p>
      <w:pPr>
        <w:pStyle w:val="Bibliography"/>
      </w:pPr>
      <w:r>
        <w:t xml:space="preserve">15. Blouin M, Karimi B, Mathieu J, Lerch TZ. Levels and limits in artificial selection of communities. Ecology Letters. 2015;18(10):1040–8.</w:t>
      </w:r>
      <w:r>
        <w:t xml:space="preserve"> </w:t>
      </w:r>
    </w:p>
    <w:bookmarkEnd w:id="54"/>
    <w:bookmarkStart w:id="55" w:name="ref-panke-buisse2015"/>
    <w:p>
      <w:pPr>
        <w:pStyle w:val="Bibliography"/>
      </w:pPr>
      <w:r>
        <w:t xml:space="preserve">16. Panke-Buisse K, Poole AC, Goodrich JK, Ley RE, Kao-Kniffin J. Selection on soil microbiomes reveals reproducible impacts on plant function. The ISME journal. 2015 Mar;9(4):980–9.</w:t>
      </w:r>
      <w:r>
        <w:t xml:space="preserve"> </w:t>
      </w:r>
    </w:p>
    <w:bookmarkEnd w:id="55"/>
    <w:bookmarkStart w:id="56" w:name="ref-kirschke2013"/>
    <w:p>
      <w:pPr>
        <w:pStyle w:val="Bibliography"/>
      </w:pPr>
      <w:r>
        <w:t xml:space="preserve">17. Kirschke S, Bousquet P, Ciais P, Saunois M, Canadell JG, Dlugokencky EJ, et al. Three decades of global methane sources and sinks. Nature Geoscience. 2013 Oct;6(10):813–23.</w:t>
      </w:r>
      <w:r>
        <w:t xml:space="preserve"> </w:t>
      </w:r>
    </w:p>
    <w:bookmarkEnd w:id="56"/>
    <w:bookmarkStart w:id="57" w:name="ref-meyer2020"/>
    <w:p>
      <w:pPr>
        <w:pStyle w:val="Bibliography"/>
      </w:pPr>
      <w:r>
        <w:t xml:space="preserve">18. Meyer KM, Morris AH, Webster K, Klein AM, Kroeger ME, Meredith LK, et al. Belowground changes to community structure alter methane-cycling dynamics in Amazonia. Environment International. 2020 Dec;145:106131.</w:t>
      </w:r>
      <w:r>
        <w:t xml:space="preserve"> </w:t>
      </w:r>
    </w:p>
    <w:bookmarkEnd w:id="57"/>
    <w:bookmarkStart w:id="58" w:name="ref-meyer2020a"/>
    <w:p>
      <w:pPr>
        <w:pStyle w:val="Bibliography"/>
      </w:pPr>
      <w:r>
        <w:t xml:space="preserve">19. Meyer KM, Hopple AM, Klein AM, Morris AH, Bridgham SD, Bohannan BJM. Community structure Ecosystem function relationships in the Congo Basin methane cycle depend on the physiological scale of function. Molecular Ecology. 2020;29(10):1806–19.</w:t>
      </w:r>
      <w:r>
        <w:t xml:space="preserve"> </w:t>
      </w:r>
    </w:p>
    <w:bookmarkEnd w:id="58"/>
    <w:bookmarkStart w:id="59" w:name="ref-freitag2009"/>
    <w:p>
      <w:pPr>
        <w:pStyle w:val="Bibliography"/>
      </w:pPr>
      <w:r>
        <w:t xml:space="preserve">20. Freitag TE, Prosser JI. Correlation of Methane Production and Functional Gene Transcriptional Activity in a Peat Soil. Applied and Environmental Microbiology. 2009 Nov;75(21):6679–87.</w:t>
      </w:r>
      <w:r>
        <w:t xml:space="preserve"> </w:t>
      </w:r>
    </w:p>
    <w:bookmarkEnd w:id="59"/>
    <w:bookmarkStart w:id="60" w:name="ref-freitag2010"/>
    <w:p>
      <w:pPr>
        <w:pStyle w:val="Bibliography"/>
      </w:pPr>
      <w:r>
        <w:t xml:space="preserve">21. Freitag TE, Toet S, Ineson P, Prosser JI. Links between methane flux and transcriptional activities of methanogens and methane oxidizers in a blanket peat bog. FEMS Microbiology Ecology. 2010 Jul;73(1):157–65.</w:t>
      </w:r>
      <w:r>
        <w:t xml:space="preserve"> </w:t>
      </w:r>
    </w:p>
    <w:bookmarkEnd w:id="60"/>
    <w:bookmarkStart w:id="61" w:name="ref-schnyder2018"/>
    <w:p>
      <w:pPr>
        <w:pStyle w:val="Bibliography"/>
      </w:pPr>
      <w:r>
        <w:t xml:space="preserve">22. Schnyder E, Bodelier PLE, Hartmann M, Henneberger R, Niklaus PA. Positive diversity-functioning relationships in model communities of methanotrophic bacteria. Ecology. 2018;99(3):714–23.</w:t>
      </w:r>
      <w:r>
        <w:t xml:space="preserve"> </w:t>
      </w:r>
    </w:p>
    <w:bookmarkEnd w:id="61"/>
    <w:bookmarkStart w:id="62" w:name="ref-martiny2013"/>
    <w:p>
      <w:pPr>
        <w:pStyle w:val="Bibliography"/>
      </w:pPr>
      <w:r>
        <w:t xml:space="preserve">23. Martiny AC, Treseder K, Pusch G. Phylogenetic conservatism of functional traits in microorganisms. The ISME Journal. 2013 Apr;7(4):830–8.</w:t>
      </w:r>
      <w:r>
        <w:t xml:space="preserve"> </w:t>
      </w:r>
    </w:p>
    <w:bookmarkEnd w:id="62"/>
    <w:bookmarkStart w:id="63" w:name="ref-caporaso2011"/>
    <w:p>
      <w:pPr>
        <w:pStyle w:val="Bibliography"/>
      </w:pPr>
      <w:r>
        <w:t xml:space="preserve">24.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3"/>
    <w:bookmarkStart w:id="64" w:name="ref-fadrosh2014"/>
    <w:p>
      <w:pPr>
        <w:pStyle w:val="Bibliography"/>
      </w:pPr>
      <w:r>
        <w:t xml:space="preserve">25. Fadrosh DW, Ma B, Gajer P, Sengamalay N, Ott S, Brotman RM, et al. An improved dual-indexing approach for multiplexed 16S rRNA gene sequencing on the Illumina MiSeq platform. Microbiome. 2014 Dec;2(1):1–7.</w:t>
      </w:r>
      <w:r>
        <w:t xml:space="preserve"> </w:t>
      </w:r>
    </w:p>
    <w:bookmarkEnd w:id="64"/>
    <w:bookmarkStart w:id="65" w:name="ref-kozich2013"/>
    <w:p>
      <w:pPr>
        <w:pStyle w:val="Bibliography"/>
      </w:pPr>
      <w:r>
        <w:t xml:space="preserve">26. Kozich JJ, Westcott SL, Baxter NT, Highlander SK, Schloss PD. Development of a Dual-Index Sequencing Strategy and Curation Pipeline for Analyzing Amplicon Sequence Data on the MiSeq Illumina Sequencing Platform. Applied and Environmental Microbiology. 2013 Sep;79(17):5112–20.</w:t>
      </w:r>
      <w:r>
        <w:t xml:space="preserve"> </w:t>
      </w:r>
    </w:p>
    <w:bookmarkEnd w:id="65"/>
    <w:bookmarkStart w:id="66" w:name="ref-rcoreteam2018"/>
    <w:p>
      <w:pPr>
        <w:pStyle w:val="Bibliography"/>
      </w:pPr>
      <w:r>
        <w:t xml:space="preserve">27. R Core Team. R: A language and environment for statistical computing. Vienna, Austria: R Foundation for Statistical Computing; 2018.</w:t>
      </w:r>
      <w:r>
        <w:t xml:space="preserve"> </w:t>
      </w:r>
    </w:p>
    <w:bookmarkEnd w:id="66"/>
    <w:bookmarkStart w:id="67" w:name="ref-callahan2016"/>
    <w:p>
      <w:pPr>
        <w:pStyle w:val="Bibliography"/>
      </w:pPr>
      <w:r>
        <w:t xml:space="preserve">28. Callahan BJ, McMurdie PJ, Rosen MJ, Han AW, Johnson AJA, Holmes SP. DADA2: High-resolution sample inference from Illumina amplicon data. Nature Methods. 2016 Jul;13(7):581–3.</w:t>
      </w:r>
      <w:r>
        <w:t xml:space="preserve"> </w:t>
      </w:r>
    </w:p>
    <w:bookmarkEnd w:id="67"/>
    <w:bookmarkStart w:id="68" w:name="ref-wang2007"/>
    <w:p>
      <w:pPr>
        <w:pStyle w:val="Bibliography"/>
      </w:pPr>
      <w:r>
        <w:t xml:space="preserve">29. Wang Q, Garrity GM, Tiedje JM, Cole JR. Naïve Bayesian Classifier for Rapid Assignment of rRNA Sequences into the New Bacterial Taxonomy. Applied and Environmental Microbiology. 2007 Aug;73(16):5261–7.</w:t>
      </w:r>
      <w:r>
        <w:t xml:space="preserve"> </w:t>
      </w:r>
    </w:p>
    <w:bookmarkEnd w:id="68"/>
    <w:bookmarkStart w:id="69" w:name="ref-davis2018"/>
    <w:p>
      <w:pPr>
        <w:pStyle w:val="Bibliography"/>
      </w:pPr>
      <w:r>
        <w:t xml:space="preserve">30. Davis NM, Proctor DM, Holmes SP, Relman DA, Callahan BJ. Simple statistical identification and removal of contaminant sequences in marker-gene and metagenomics data. Microbiome. 2018 Dec;6(1):1–14.</w:t>
      </w:r>
      <w:r>
        <w:t xml:space="preserve"> </w:t>
      </w:r>
    </w:p>
    <w:bookmarkEnd w:id="69"/>
    <w:bookmarkStart w:id="70" w:name="ref-falconer1996"/>
    <w:p>
      <w:pPr>
        <w:pStyle w:val="Bibliography"/>
      </w:pPr>
      <w:r>
        <w:t xml:space="preserve">31. Falconer DS, MacKay TFC. Introduction to quantitative genetics. Harlow : Prentice Hall; 1996.</w:t>
      </w:r>
      <w:r>
        <w:t xml:space="preserve"> </w:t>
      </w:r>
    </w:p>
    <w:bookmarkEnd w:id="70"/>
    <w:bookmarkStart w:id="71" w:name="ref-he2022"/>
    <w:p>
      <w:pPr>
        <w:pStyle w:val="Bibliography"/>
      </w:pPr>
      <w:r>
        <w:t xml:space="preserve">32. He Y, Tiezzi F, Jiang J, Howard J, Huang Y, Gray K, et al. Exploring methods to summarize gut microbiota composition for microbiability estimation and phenotypic prediction in swine. Journal of Animal Science. 2022 Sep;100(9):skac231.</w:t>
      </w:r>
      <w:r>
        <w:t xml:space="preserve"> </w:t>
      </w:r>
    </w:p>
    <w:bookmarkEnd w:id="71"/>
    <w:bookmarkStart w:id="72" w:name="ref-hurlbert1971"/>
    <w:p>
      <w:pPr>
        <w:pStyle w:val="Bibliography"/>
      </w:pPr>
      <w:r>
        <w:t xml:space="preserve">33. Hurlbert SH. The Nonconcept of Species Diversity: A Critique and Alternative Parameters. Ecology. 1971;52(4):577–86.</w:t>
      </w:r>
      <w:r>
        <w:t xml:space="preserve"> </w:t>
      </w:r>
    </w:p>
    <w:bookmarkEnd w:id="72"/>
    <w:bookmarkStart w:id="73" w:name="ref-oksanen2019"/>
    <w:p>
      <w:pPr>
        <w:pStyle w:val="Bibliography"/>
      </w:pPr>
      <w:r>
        <w:t xml:space="preserve">34. Oksanen J, Blanchet FG, Friendly M, Kindt R, Legendre P, McGlinn D, et al. Vegan: Community ecology package. 2019.</w:t>
      </w:r>
      <w:r>
        <w:t xml:space="preserve"> </w:t>
      </w:r>
    </w:p>
    <w:bookmarkEnd w:id="73"/>
    <w:bookmarkStart w:id="74" w:name="ref-bray1957"/>
    <w:p>
      <w:pPr>
        <w:pStyle w:val="Bibliography"/>
      </w:pPr>
      <w:r>
        <w:t xml:space="preserve">35. Bray JR, Curtis JT. An Ordination of the Upland Forest Communities of Southern Wisconsin. Ecological Monographs. 1957;27(4):325–49.</w:t>
      </w:r>
      <w:r>
        <w:t xml:space="preserve"> </w:t>
      </w:r>
    </w:p>
    <w:bookmarkEnd w:id="74"/>
    <w:bookmarkStart w:id="75" w:name="ref-mcardle2001"/>
    <w:p>
      <w:pPr>
        <w:pStyle w:val="Bibliography"/>
      </w:pPr>
      <w:r>
        <w:t xml:space="preserve">36. McArdle BH, Anderson MJ. Fitting Multivariate Models to Community Data: A Comment on Distance-Based Redundancy Analysis. Ecology. 2001;82(1):290–7.</w:t>
      </w:r>
      <w:r>
        <w:t xml:space="preserve"> </w:t>
      </w:r>
    </w:p>
    <w:bookmarkEnd w:id="75"/>
    <w:bookmarkStart w:id="76" w:name="ref-kang2019"/>
    <w:p>
      <w:pPr>
        <w:pStyle w:val="Bibliography"/>
      </w:pPr>
      <w:r>
        <w:t xml:space="preserve">37. Kang CS, Dunfield PF, Semrau JD. The origin of aerobic methanotrophy within the Proteobacteria. FEMS Microbiology Letters. 2019 May;366(9):fnz096.</w:t>
      </w:r>
      <w:r>
        <w:t xml:space="preserve"> </w:t>
      </w:r>
    </w:p>
    <w:bookmarkEnd w:id="76"/>
    <w:bookmarkStart w:id="77" w:name="ref-kaul2017"/>
    <w:p>
      <w:pPr>
        <w:pStyle w:val="Bibliography"/>
      </w:pPr>
      <w:r>
        <w:t xml:space="preserve">38. Kaul A, Mandal S, Davidov O, Peddada SD. Analysis of Microbiome Data in the Presence of Excess Zeros. Frontiers in Microbiology. 2017 Nov;8:2114.</w:t>
      </w:r>
      <w:r>
        <w:t xml:space="preserve"> </w:t>
      </w:r>
    </w:p>
    <w:bookmarkEnd w:id="77"/>
    <w:bookmarkStart w:id="78" w:name="ref-lin2020"/>
    <w:p>
      <w:pPr>
        <w:pStyle w:val="Bibliography"/>
      </w:pPr>
      <w:r>
        <w:t xml:space="preserve">39. Lin H, Peddada SD. Analysis of compositions of microbiomes with bias correction. Nature Communications. 2020 Jul;11(1):3514.</w:t>
      </w:r>
      <w:r>
        <w:t xml:space="preserve"> </w:t>
      </w:r>
    </w:p>
    <w:bookmarkEnd w:id="78"/>
    <w:bookmarkStart w:id="79" w:name="ref-fernandes2014"/>
    <w:p>
      <w:pPr>
        <w:pStyle w:val="Bibliography"/>
      </w:pPr>
      <w:r>
        <w:t xml:space="preserve">40.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9"/>
    <w:bookmarkStart w:id="80" w:name="ref-martin2020"/>
    <w:p>
      <w:pPr>
        <w:pStyle w:val="Bibliography"/>
      </w:pPr>
      <w:r>
        <w:t xml:space="preserve">41. Martin BD, Witten D, Willis AD. Modeling microbial abundances and dysbiosis with beta-binomial regression. The Annals of Applied Statistics. 2020 Mar;14(1):94–115.</w:t>
      </w:r>
      <w:r>
        <w:t xml:space="preserve"> </w:t>
      </w:r>
    </w:p>
    <w:bookmarkEnd w:id="80"/>
    <w:bookmarkStart w:id="82" w:name="ref-benjamini1995"/>
    <w:p>
      <w:pPr>
        <w:pStyle w:val="Bibliography"/>
      </w:pPr>
      <w:r>
        <w:t xml:space="preserve">42. Benjamini Y, Hochberg Y. Controlling the False Discovery Rate: A Practical and Powerful Approach to Multiple Testing. Journal of the Royal Statistical Society Series B (Methodological) [Internet]. 1995 [cited 2023 Jun 13];57(1):289–300. Available from:</w:t>
      </w:r>
      <w:r>
        <w:t xml:space="preserve"> </w:t>
      </w:r>
      <w:hyperlink r:id="rId81">
        <w:r>
          <w:rPr>
            <w:rStyle w:val="InternetLink"/>
          </w:rPr>
          <w:t xml:space="preserve">http://www.jstor.org/stable/2346101</w:t>
        </w:r>
      </w:hyperlink>
    </w:p>
    <w:bookmarkEnd w:id="82"/>
    <w:bookmarkStart w:id="83" w:name="ref-stein2012"/>
    <w:p>
      <w:pPr>
        <w:pStyle w:val="Bibliography"/>
      </w:pPr>
      <w:r>
        <w:t xml:space="preserve">43. Stein LY, Roy R, Dunfield PF. Aerobic Methanotrophy and Nitrification: Processes and Connections. In: eLS. John Wiley &amp; Sons, Ltd; 2012.</w:t>
      </w:r>
      <w:r>
        <w:t xml:space="preserve"> </w:t>
      </w:r>
    </w:p>
    <w:bookmarkEnd w:id="83"/>
    <w:bookmarkStart w:id="84" w:name="ref-garrity2005"/>
    <w:p>
      <w:pPr>
        <w:pStyle w:val="Bibliography"/>
      </w:pPr>
      <w:r>
        <w:t xml:space="preserve">44. Garrity GM, Bell JA, Lilburn TG. Class III. Gammaproteobacteria class. Nov., p. 1. In: Brenner DJ, Krieg NR, Staley JT, Garrity GM, editors. Bergey’s manual of systematic bacteriology. Second. New York, NY: Springer; 2005.</w:t>
      </w:r>
      <w:r>
        <w:t xml:space="preserve"> </w:t>
      </w:r>
    </w:p>
    <w:bookmarkEnd w:id="84"/>
    <w:bookmarkStart w:id="85" w:name="ref-freitag2003"/>
    <w:p>
      <w:pPr>
        <w:pStyle w:val="Bibliography"/>
      </w:pPr>
      <w:r>
        <w:t xml:space="preserve">45. Freitag TE, Prosser JI. Community Structure of Ammonia-Oxidizing Bacteria within Anoxic Marine Sediments. Applied and Environmental Microbiology. 2003 Mar;69(3):1359–71.</w:t>
      </w:r>
      <w:r>
        <w:t xml:space="preserve"> </w:t>
      </w:r>
    </w:p>
    <w:bookmarkEnd w:id="85"/>
    <w:bookmarkStart w:id="86" w:name="ref-im2012"/>
    <w:p>
      <w:pPr>
        <w:pStyle w:val="Bibliography"/>
      </w:pPr>
      <w:r>
        <w:t xml:space="preserve">46. Im W-T, Hu Z-Y, Kim K-H, Rhee S-K, Meng H, Lee S-T, et al. Description of Fimbriimonas ginsengisoli gen. Nov., sp. Nov. Within the Fimbriimonadia class nov., of the phylum Armatimonadetes. Antonie van Leeuwenhoek. 2012 Aug;102(2):307–17.</w:t>
      </w:r>
      <w:r>
        <w:t xml:space="preserve"> </w:t>
      </w:r>
    </w:p>
    <w:bookmarkEnd w:id="86"/>
    <w:bookmarkStart w:id="87" w:name="ref-mcbride2014"/>
    <w:p>
      <w:pPr>
        <w:pStyle w:val="Bibliography"/>
      </w:pPr>
      <w:r>
        <w:t xml:space="preserve">47.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7"/>
    <w:bookmarkStart w:id="88" w:name="ref-tamas2014"/>
    <w:p>
      <w:pPr>
        <w:pStyle w:val="Bibliography"/>
      </w:pPr>
      <w:r>
        <w:t xml:space="preserve">48. Tamas I, Smirnova AV, He Z, Dunfield PF. The (d)Evolution of methanotrophy in the Beijerinckiaceaea comparative genomics analysis. The ISME Journal. 2014 Feb;8(2):369–82.</w:t>
      </w:r>
      <w:r>
        <w:t xml:space="preserve"> </w:t>
      </w:r>
    </w:p>
    <w:bookmarkEnd w:id="88"/>
    <w:bookmarkStart w:id="89" w:name="ref-dedysh2016"/>
    <w:p>
      <w:pPr>
        <w:pStyle w:val="Bibliography"/>
      </w:pPr>
      <w:r>
        <w:t xml:space="preserve">49. Dedysh SN, Haupt ES, Dunfield PF2. Emended description of the family Beijerinckiaceae and transfer of the genera Chelatococcus and Camelimonas to the family Chelatococcaceae fam. Nov. International Journal of Systematic and Evolutionary Microbiology. 2016;66(8):3177–82.</w:t>
      </w:r>
      <w:r>
        <w:t xml:space="preserve"> </w:t>
      </w:r>
    </w:p>
    <w:bookmarkEnd w:id="89"/>
    <w:bookmarkStart w:id="90" w:name="ref-lynch1998"/>
    <w:p>
      <w:pPr>
        <w:pStyle w:val="Bibliography"/>
      </w:pPr>
      <w:r>
        <w:t xml:space="preserve">50. Lynch M, Walsh B. Genetics and Analysis of Quantitative Traits. Oxford University Press; 1998.</w:t>
      </w:r>
      <w:r>
        <w:t xml:space="preserve"> </w:t>
      </w:r>
    </w:p>
    <w:bookmarkEnd w:id="90"/>
    <w:bookmarkStart w:id="91" w:name="ref-morris2020"/>
    <w:p>
      <w:pPr>
        <w:pStyle w:val="Bibliography"/>
      </w:pPr>
      <w:r>
        <w:t xml:space="preserve">51.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91"/>
    <w:bookmarkStart w:id="92" w:name="ref-mueller2022"/>
    <w:p>
      <w:pPr>
        <w:pStyle w:val="Bibliography"/>
      </w:pPr>
      <w:r>
        <w:t xml:space="preserve">52. Mueller UG, Linksvayer TA. Microbiome breeding: Conceptual and practical issues. Trends in Microbiology. 2022 Oct;30(10):997–1011.</w:t>
      </w:r>
      <w:r>
        <w:t xml:space="preserve"> </w:t>
      </w:r>
    </w:p>
    <w:bookmarkEnd w:id="92"/>
    <w:bookmarkStart w:id="93" w:name="ref-chaparro2012"/>
    <w:p>
      <w:pPr>
        <w:pStyle w:val="Bibliography"/>
      </w:pPr>
      <w:r>
        <w:t xml:space="preserve">53. Chaparro JM, Sheflin AM, Manter DK, Vivanco JM. Manipulating the soil microbiome to increase soil health and plant fertility. Biology and Fertility of Soils. 2012 Jul;48(5):489–99.</w:t>
      </w:r>
      <w:r>
        <w:t xml:space="preserve"> </w:t>
      </w:r>
    </w:p>
    <w:bookmarkEnd w:id="93"/>
    <w:bookmarkStart w:id="94" w:name="ref-jansson2020"/>
    <w:p>
      <w:pPr>
        <w:pStyle w:val="Bibliography"/>
      </w:pPr>
      <w:r>
        <w:t xml:space="preserve">54. Jansson JK, Hofmockel KS. Soil microbiomes and climate change. Nature Reviews Microbiology. 2020 Jan;18(1):35–46.</w:t>
      </w:r>
      <w:r>
        <w:t xml:space="preserve"> </w:t>
      </w:r>
    </w:p>
    <w:bookmarkEnd w:id="94"/>
    <w:bookmarkEnd w:id="95"/>
    <w:p>
      <w:pPr>
        <w:pStyle w:val="Heading1"/>
      </w:pPr>
      <w:bookmarkStart w:id="96" w:name="figure-captions"/>
      <w:r>
        <w:t xml:space="preserve">Figure Captions</w:t>
      </w:r>
      <w:bookmarkEnd w:id="96"/>
    </w:p>
    <w:p>
      <w:pPr>
        <w:pStyle w:val="FirstParagraph"/>
      </w:pPr>
      <w:r>
        <w:t xml:space="preserve">Figure 1: Variation in the rate of an ecosystem function is the result of at least three components: variation in the abiotic environmental conditions, variation in microbiome composition, and the covariance between microbiomes and the environment. The arrows represent causal relationships between the components. It is important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interactions, though these relationships may also exist.</w:t>
      </w:r>
    </w:p>
    <w:p>
      <w:pPr>
        <w:pStyle w:val="TextBody"/>
      </w:pPr>
      <w:r>
        <w:t xml:space="preserve">Figure 2: Response to selection on soil CH</w:t>
      </w:r>
      <w:r>
        <w:rPr>
          <w:vertAlign w:val="subscript"/>
        </w:rPr>
        <w:t xml:space="preserve">4</w:t>
      </w:r>
      <w:r>
        <w:t xml:space="preserve"> </w:t>
      </w:r>
      <w:r>
        <w:t xml:space="preserve">oxidation rate. The y-axis is CH</w:t>
      </w:r>
      <w:r>
        <w:rPr>
          <w:vertAlign w:val="subscript"/>
        </w:rPr>
        <w:t xml:space="preserve">4</w:t>
      </w:r>
      <w:r>
        <w:t xml:space="preserve"> </w:t>
      </w:r>
      <w:r>
        <w:t xml:space="preserve">oxidation rate as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 Closed points are the positive selection treatment and open points are the control. The solid line is the regression for the positive selection treatment and the dotted line is the regression for the control. There was a significant difference of slopes between the positive selection treatment and the control (F</w:t>
      </w:r>
      <w:r>
        <w:rPr>
          <w:vertAlign w:val="subscript"/>
        </w:rPr>
        <w:t xml:space="preserve">2,113</w:t>
      </w:r>
      <w:r>
        <w:t xml:space="preserve"> </w:t>
      </w:r>
      <w:r>
        <w:t xml:space="preserve">= 3.85, p = 0.02).</w:t>
      </w:r>
    </w:p>
    <w:p>
      <w:pPr>
        <w:pStyle w:val="TextBody"/>
      </w:pPr>
      <w:r>
        <w:t xml:space="preserve">Figure 3: Non-metric multidimensional scaling plot of beta diversity for all jars. Dissimilarities are rarefied Bray-Curtis dissimilarity averaged over 100 subsamples. Closed points are the positive selection treatment and open points are the control. Triangles are passage 2 and circles are passage 5.</w:t>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Taxa in the top panel are enriched in the positive selection treatment relative to the control and taxa in the bottom panel are depleted in the positive selection treatment relative to the control. Taxa are sorted by their effect size with taxa at the top having the largest positive effect size and taxa at the bottom with the largest negative effect size.</w:t>
      </w:r>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www.jstor.org/stable/2346101" TargetMode="Externa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_rels/footnotes.xml.rels><?xml version="1.0" encoding="UTF-8"?>
<Relationships xmlns="http://schemas.openxmlformats.org/package/2006/relationships"><Relationship Type="http://schemas.openxmlformats.org/officeDocument/2006/relationships/hyperlink" Id="rId81" Target="http://www.jstor.org/stable/2346101" TargetMode="Externa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soil microbiome composition to selection on methane oxidation rate</dc:title>
  <dc:creator>Andrew H. Morris1* and Brendan J. M. Bohannan1</dc:creator>
  <cp:keywords/>
  <dcterms:created xsi:type="dcterms:W3CDTF">2023-06-23T18:44:06Z</dcterms:created>
  <dcterms:modified xsi:type="dcterms:W3CDTF">2023-06-23T18:44:06Z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