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9A7B2F"/>
          <w:spacing w:val="20"/>
          <w:sz w:val="26"/>
          <w:szCs w:val="26"/>
        </w:rPr>
        <w:t xml:space="preserve">FINTECH SECURE STARTER KIT 2026</w:t>
      </w:r>
    </w:p>
    <w:p>
      <w:pPr>
        <w:spacing w:before="300"/>
        <w:jc w:val="center"/>
      </w:pPr>
      <w:r>
        <w:rPr>
          <w:b/>
          <w:bCs/>
          <w:color w:val="1A1A1A"/>
          <w:sz w:val="56"/>
          <w:szCs w:val="56"/>
        </w:rPr>
        <w:t xml:space="preserve">Arquitetura à Prova de Bala</w:t>
      </w:r>
    </w:p>
    <w:p>
      <w:pPr>
        <w:spacing w:after="600" w:before="150"/>
        <w:jc w:val="center"/>
      </w:pPr>
      <w:r>
        <w:rPr>
          <w:i/>
          <w:iCs/>
          <w:color w:val="555555"/>
          <w:sz w:val="26"/>
          <w:szCs w:val="26"/>
        </w:rPr>
        <w:t xml:space="preserve">Como construir fintechs e produtos Web3 no Brasil sem ser derrubado pelo Compliance ou por hackers</w:t>
      </w:r>
    </w:p>
    <w:p>
      <w:pPr>
        <w:pBdr>
          <w:top w:val="single" w:color="9A7B2F" w:sz="4"/>
        </w:pBdr>
        <w:spacing w:before="1400"/>
        <w:jc w:val="center"/>
      </w:pPr>
      <w:r>
        <w:rPr>
          <w:sz w:val="2"/>
          <w:szCs w:val="2"/>
        </w:rPr>
        <w:t xml:space="preserve"/>
      </w:r>
    </w:p>
    <w:p>
      <w:pPr>
        <w:spacing w:before="200"/>
        <w:jc w:val="center"/>
      </w:pPr>
      <w:r>
        <w:rPr>
          <w:color w:val="555555"/>
          <w:sz w:val="20"/>
          <w:szCs w:val="20"/>
        </w:rPr>
        <w:t xml:space="preserve">Um guia prático de segregação de trilhos, segurança técnica e mapa regulatório — direto ao ponto, sem juridiquês.</w:t>
      </w:r>
    </w:p>
    <w:p>
      <w:pPr>
        <w:spacing w:before="3200"/>
        <w:jc w:val="center"/>
      </w:pPr>
      <w:r>
        <w:rPr>
          <w:b/>
          <w:bCs/>
          <w:color w:val="1A1A1A"/>
          <w:sz w:val="20"/>
          <w:szCs w:val="20"/>
        </w:rPr>
        <w:t xml:space="preserve">VERTICALAGENT  |  AIBANK</w:t>
      </w:r>
    </w:p>
    <w:p>
      <w:pPr>
        <w:jc w:val="center"/>
      </w:pPr>
      <w:r>
        <w:rPr>
          <w:color w:val="555555"/>
          <w:sz w:val="17"/>
          <w:szCs w:val="17"/>
        </w:rPr>
        <w:t xml:space="preserve">Metodologia aplicada por um fundador e pesquisador de fintech de ativos digitais regulada no Brasil</w:t>
      </w:r>
    </w:p>
    <w:p>
      <w:pPr>
        <w:sectPr>
          <w:pgSz w:w="12240" w:h="15840" w:orient="portrait"/>
          <w:pgMar w:top="1440" w:right="1440" w:bottom="1440" w:left="1440" w:header="708" w:footer="708" w:gutter="0"/>
          <w:pgNumType/>
          <w:docGrid w:linePitch="360"/>
        </w:sectPr>
      </w:pPr>
    </w:p>
    <w:p>
      <w:pPr>
        <w:pStyle w:val="Heading1"/>
        <w:pBdr>
          <w:bottom w:val="single" w:color="9A7B2F" w:sz="6"/>
        </w:pBdr>
        <w:spacing w:after="200" w:before="400"/>
      </w:pPr>
      <w:r>
        <w:rPr>
          <w:b/>
          <w:bCs/>
          <w:color w:val="1A1A1A"/>
          <w:sz w:val="30"/>
          <w:szCs w:val="30"/>
        </w:rPr>
        <w:t xml:space="preserve">Por que este guia existe</w:t>
      </w:r>
    </w:p>
    <w:p>
      <w:pPr>
        <w:spacing w:after="160" w:line="300"/>
      </w:pPr>
      <w:r>
        <w:rPr>
          <w:color w:val="1A1A1A"/>
          <w:sz w:val="21"/>
          <w:szCs w:val="21"/>
        </w:rPr>
        <w:t xml:space="preserve">A maioria das fintechs e startups Web3 não quebra por falta de produto. Quebra por falhas de arquitetura que misturam trilhos de pagamento regulados com camadas de ativos virtuais, por processos de compliance tratados como formalidade tardia, ou por segredos de API expostos em repositórios e variáveis de ambiente mal geridas.</w:t>
      </w:r>
    </w:p>
    <w:p>
      <w:pPr>
        <w:spacing w:after="160" w:line="300"/>
      </w:pPr>
      <w:r>
        <w:rPr>
          <w:color w:val="1A1A1A"/>
          <w:sz w:val="21"/>
          <w:szCs w:val="21"/>
        </w:rPr>
        <w:t xml:space="preserve">Este material resume, em linguagem direta para quem programa e decide, os três blocos que todo fundador técnico precisa acertar antes de sair captando clientes ou submetendo a operação a um provedor de Banking as a Service (BaaS): segregação de trilhos, segurança técnica mínima e o mapa regulatório essencial.</w:t>
      </w:r>
    </w:p>
    <w:p>
      <w:pPr>
        <w:spacing w:after="160" w:line="300"/>
      </w:pPr>
      <w:r>
        <w:rPr>
          <w:color w:val="1A1A1A"/>
          <w:sz w:val="21"/>
          <w:szCs w:val="21"/>
        </w:rPr>
        <w:t xml:space="preserve">Não é teoria acadêmica. É a metodologia usada para estruturar o onboarding de uma fintech de ativos digitais junto a provedores de BaaS e para organizar a documentação de compliance apresentada a comitês de risco no Brasil.</w:t>
      </w:r>
    </w:p>
    <w:p>
      <w:pPr>
        <w:pStyle w:val="Heading1"/>
        <w:pBdr>
          <w:bottom w:val="single" w:color="9A7B2F" w:sz="6"/>
        </w:pBdr>
        <w:spacing w:after="200" w:before="400"/>
      </w:pPr>
      <w:r>
        <w:rPr>
          <w:b/>
          <w:bCs/>
          <w:color w:val="1A1A1A"/>
          <w:sz w:val="30"/>
          <w:szCs w:val="30"/>
        </w:rPr>
        <w:t xml:space="preserve">Capítulo 1 — A Segregação de Trilhos</w:t>
      </w:r>
    </w:p>
    <w:p>
      <w:pPr>
        <w:spacing w:after="160" w:line="300"/>
      </w:pPr>
      <w:r>
        <w:rPr>
          <w:color w:val="1A1A1A"/>
          <w:sz w:val="21"/>
          <w:szCs w:val="21"/>
        </w:rPr>
        <w:t xml:space="preserve">O erro mais comum — e mais caro — em fintechs que combinam produtos financeiros tradicionais com ativos digitais é tratar os dois fluxos como uma coisa só. No Brasil, eles não são.</w:t>
      </w:r>
    </w:p>
    <w:p>
      <w:pPr>
        <w:pStyle w:val="Heading2"/>
        <w:spacing w:after="120" w:before="280"/>
      </w:pPr>
      <w:r>
        <w:rPr>
          <w:b/>
          <w:bCs/>
          <w:color w:val="9A7B2F"/>
          <w:sz w:val="24"/>
          <w:szCs w:val="24"/>
        </w:rPr>
        <w:t xml:space="preserve">Trilho Fiat (BaaS)</w:t>
      </w:r>
    </w:p>
    <w:p>
      <w:pPr>
        <w:spacing w:after="160" w:line="300"/>
      </w:pPr>
      <w:r>
        <w:rPr>
          <w:color w:val="1A1A1A"/>
          <w:sz w:val="21"/>
          <w:szCs w:val="21"/>
        </w:rPr>
        <w:t xml:space="preserve">Processa moeda nacional: contas de pagamento individualizadas, PIX, TED, boletos e cartões. Opera sob a Resolução Conjunta CMN/BCB nº 16/2025, que disciplina o Banking as a Service. Quem processa esse trilho é o provedor BaaS contratado — a fintech não pode se apresentar como se fosse ela própria a instituição de pagamento.</w:t>
      </w:r>
    </w:p>
    <w:p>
      <w:pPr>
        <w:pStyle w:val="Heading2"/>
        <w:spacing w:after="120" w:before="280"/>
      </w:pPr>
      <w:r>
        <w:rPr>
          <w:b/>
          <w:bCs/>
          <w:color w:val="9A7B2F"/>
          <w:sz w:val="24"/>
          <w:szCs w:val="24"/>
        </w:rPr>
        <w:t xml:space="preserve">Trilho de Ativos Virtuais (PSAV)</w:t>
      </w:r>
    </w:p>
    <w:p>
      <w:pPr>
        <w:spacing w:after="160" w:line="300"/>
      </w:pPr>
      <w:r>
        <w:rPr>
          <w:color w:val="1A1A1A"/>
          <w:sz w:val="21"/>
          <w:szCs w:val="21"/>
        </w:rPr>
        <w:t xml:space="preserve">Processa a emissão, custódia e resgate de ativos digitais. Está sujeito ao arcabouço específico de Prestadores de Serviços de Ativos Virtuais — Resoluções BCB nº 519, 520 e 521 — e à Lei nº 14.478/2022 (Marco Legal dos Criptoativos). Esse trilho exige parceria com um PSAV autorizado ou autorização própria junto ao BCB.</w:t>
      </w:r>
    </w:p>
    <w:p>
      <w:pPr>
        <w:pStyle w:val="Heading2"/>
        <w:spacing w:after="120" w:before="280"/>
      </w:pPr>
      <w:r>
        <w:rPr>
          <w:b/>
          <w:bCs/>
          <w:color w:val="9A7B2F"/>
          <w:sz w:val="24"/>
          <w:szCs w:val="24"/>
        </w:rPr>
        <w:t xml:space="preserve">A regra de ouro</w:t>
      </w:r>
    </w:p>
    <w:p>
      <w:pPr>
        <w:spacing w:after="160" w:line="300"/>
      </w:pPr>
      <w:r>
        <w:rPr>
          <w:color w:val="1A1A1A"/>
          <w:sz w:val="21"/>
          <w:szCs w:val="21"/>
        </w:rPr>
        <w:t xml:space="preserve">Nunca deixe o mesmo componente técnico ou o mesmo discurso comercial tratar os dois trilhos como intercambiáveis. Arquitetura, contratos e comunicação com o cliente final devem deixar explícito qual trilho está sendo usado em cada operação. Comitês de risco de provedores BaaS tratam essa clareza como o principal sinal de maturidade regulatória de uma fintech nova.</w:t>
      </w:r>
    </w:p>
    <w:p>
      <w:pPr>
        <w:spacing w:after="160" w:line="300"/>
      </w:pPr>
      <w:r>
        <w:rPr>
          <w:color w:val="1A1A1A"/>
          <w:sz w:val="21"/>
          <w:szCs w:val="21"/>
        </w:rPr>
        <w:t xml:space="preserve">Declarar essa segregação de forma transparente — inclusive o histórico de negociações anteriores com outros provedores que não avançaram — é mais eficaz do que omitir. Omissão identificada em diligência é causa autônoma de reprovação; transparência antecipada neutraliza o achado.</w:t>
      </w:r>
    </w:p>
    <w:p>
      <w:r>
        <w:br w:type="page"/>
      </w:r>
    </w:p>
    <w:p>
      <w:pPr>
        <w:pStyle w:val="Heading1"/>
        <w:pBdr>
          <w:bottom w:val="single" w:color="9A7B2F" w:sz="6"/>
        </w:pBdr>
        <w:spacing w:after="200" w:before="400"/>
      </w:pPr>
      <w:r>
        <w:rPr>
          <w:b/>
          <w:bCs/>
          <w:color w:val="1A1A1A"/>
          <w:sz w:val="30"/>
          <w:szCs w:val="30"/>
        </w:rPr>
        <w:t xml:space="preserve">Capítulo 2 — Checklist de Segurança Técnica Obrigatório</w:t>
      </w:r>
    </w:p>
    <w:p>
      <w:pPr>
        <w:spacing w:after="160" w:line="300"/>
      </w:pPr>
      <w:r>
        <w:rPr>
          <w:color w:val="1A1A1A"/>
          <w:sz w:val="21"/>
          <w:szCs w:val="21"/>
        </w:rPr>
        <w:t xml:space="preserve">Este é o mínimo que qualquer comitê de risco de um provedor BaaS ou PSAV vai cobrar antes de liberar produção. Trate como pré-requisito, não como item de backlog.</w:t>
      </w:r>
    </w:p>
    <w:p>
      <w:pPr>
        <w:pStyle w:val="ListParagraph"/>
        <w:numPr>
          <w:ilvl w:val="0"/>
          <w:numId w:val="2"/>
        </w:numPr>
        <w:spacing w:after="90"/>
      </w:pPr>
      <w:r>
        <w:rPr>
          <w:color w:val="1A1A1A"/>
          <w:sz w:val="21"/>
          <w:szCs w:val="21"/>
        </w:rPr>
        <w:t xml:space="preserve">mTLS na integração — toda comunicação REST/JSON com o provedor deve usar mutual TLS, com certificados de cliente próprios e rotação programada.</w:t>
      </w:r>
    </w:p>
    <w:p>
      <w:pPr>
        <w:pStyle w:val="ListParagraph"/>
        <w:numPr>
          <w:ilvl w:val="0"/>
          <w:numId w:val="2"/>
        </w:numPr>
        <w:spacing w:after="90"/>
      </w:pPr>
      <w:r>
        <w:rPr>
          <w:color w:val="1A1A1A"/>
          <w:sz w:val="21"/>
          <w:szCs w:val="21"/>
        </w:rPr>
        <w:t xml:space="preserve">Assinatura de webhooks — validação de assinatura HMAC em todo callback recebido, para descartar payloads forjados.</w:t>
      </w:r>
    </w:p>
    <w:p>
      <w:pPr>
        <w:pStyle w:val="ListParagraph"/>
        <w:numPr>
          <w:ilvl w:val="0"/>
          <w:numId w:val="2"/>
        </w:numPr>
        <w:spacing w:after="90"/>
      </w:pPr>
      <w:r>
        <w:rPr>
          <w:color w:val="1A1A1A"/>
          <w:sz w:val="21"/>
          <w:szCs w:val="21"/>
        </w:rPr>
        <w:t xml:space="preserve">Egress controlado — IP estático dedicado (ex.: NAT gerenciado pelo provedor de nuvem) para permitir allowlist no lado do provedor BaaS.</w:t>
      </w:r>
    </w:p>
    <w:p>
      <w:pPr>
        <w:pStyle w:val="ListParagraph"/>
        <w:numPr>
          <w:ilvl w:val="0"/>
          <w:numId w:val="2"/>
        </w:numPr>
        <w:spacing w:after="90"/>
      </w:pPr>
      <w:r>
        <w:rPr>
          <w:color w:val="1A1A1A"/>
          <w:sz w:val="21"/>
          <w:szCs w:val="21"/>
        </w:rPr>
        <w:t xml:space="preserve">Segregação de ambientes — sandbox e produção isolados em projetos e redes virtuais distintos, sem compartilhar credenciais.</w:t>
      </w:r>
    </w:p>
    <w:p>
      <w:pPr>
        <w:pStyle w:val="ListParagraph"/>
        <w:numPr>
          <w:ilvl w:val="0"/>
          <w:numId w:val="2"/>
        </w:numPr>
        <w:spacing w:after="90"/>
      </w:pPr>
      <w:r>
        <w:rPr>
          <w:color w:val="1A1A1A"/>
          <w:sz w:val="21"/>
          <w:szCs w:val="21"/>
        </w:rPr>
        <w:t xml:space="preserve">Gestão de segredos — cofre de segredos gerenciado (nunca variáveis de ambiente em texto puro versionadas em repositório), com rotação de credenciais e princípio de menor privilégio no IAM.</w:t>
      </w:r>
    </w:p>
    <w:p>
      <w:pPr>
        <w:pStyle w:val="ListParagraph"/>
        <w:numPr>
          <w:ilvl w:val="0"/>
          <w:numId w:val="2"/>
        </w:numPr>
        <w:spacing w:after="90"/>
      </w:pPr>
      <w:r>
        <w:rPr>
          <w:color w:val="1A1A1A"/>
          <w:sz w:val="21"/>
          <w:szCs w:val="21"/>
        </w:rPr>
        <w:t xml:space="preserve">Logs imutáveis (WORM) — trilha de auditoria com retenção travada, essencial para responder a diligências de PLD/FT e a auditorias do provedor.</w:t>
      </w:r>
    </w:p>
    <w:p>
      <w:pPr>
        <w:pStyle w:val="ListParagraph"/>
        <w:numPr>
          <w:ilvl w:val="0"/>
          <w:numId w:val="2"/>
        </w:numPr>
        <w:spacing w:after="90"/>
      </w:pPr>
      <w:r>
        <w:rPr>
          <w:color w:val="1A1A1A"/>
          <w:sz w:val="21"/>
          <w:szCs w:val="21"/>
        </w:rPr>
        <w:t xml:space="preserve">Criptografia — TLS 1.2+ em trânsito; AES-256 em repouso, com chaves gerenciadas pelo cliente quando o provedor de nuvem oferecer essa opção.</w:t>
      </w:r>
    </w:p>
    <w:p>
      <w:pPr>
        <w:pStyle w:val="ListParagraph"/>
        <w:numPr>
          <w:ilvl w:val="0"/>
          <w:numId w:val="2"/>
        </w:numPr>
        <w:spacing w:after="90"/>
      </w:pPr>
      <w:r>
        <w:rPr>
          <w:color w:val="1A1A1A"/>
          <w:sz w:val="21"/>
          <w:szCs w:val="21"/>
        </w:rPr>
        <w:t xml:space="preserve">Continuidade — backups automatizados multirregião, com metas de RTO/RPO documentadas e testadas, não apenas declaradas.</w:t>
      </w:r>
    </w:p>
    <w:p>
      <w:pPr>
        <w:spacing w:after="160" w:line="300"/>
      </w:pPr>
      <w:r>
        <w:rPr>
          <w:color w:val="1A1A1A"/>
          <w:sz w:val="21"/>
          <w:szCs w:val="21"/>
        </w:rPr>
        <w:t xml:space="preserve">Cada item acima vira uma linha de checklist pronta para colar no Jira ou Trello no template que acompanha este ebook.</w:t>
      </w:r>
    </w:p>
    <w:p>
      <w:pPr>
        <w:pStyle w:val="Heading1"/>
        <w:pBdr>
          <w:bottom w:val="single" w:color="9A7B2F" w:sz="6"/>
        </w:pBdr>
        <w:spacing w:after="200" w:before="400"/>
      </w:pPr>
      <w:r>
        <w:rPr>
          <w:b/>
          <w:bCs/>
          <w:color w:val="1A1A1A"/>
          <w:sz w:val="30"/>
          <w:szCs w:val="30"/>
        </w:rPr>
        <w:t xml:space="preserve">Capítulo 3 — Mapa da Mina Regulatória</w:t>
      </w:r>
    </w:p>
    <w:p>
      <w:pPr>
        <w:spacing w:after="160" w:line="300"/>
      </w:pPr>
      <w:r>
        <w:rPr>
          <w:color w:val="1A1A1A"/>
          <w:sz w:val="21"/>
          <w:szCs w:val="21"/>
        </w:rPr>
        <w:t xml:space="preserve">Resumo prático para quem precisa decidir arquitetura sem virar advogado. Não substitui parecer jurídico — mas evita que você descubra a norma errada tarde demais.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50"/>
        <w:gridCol w:w="3000"/>
      </w:tblGrid>
      <w:tr>
        <w:trPr>
          <w:tblHeader/>
        </w:trPr>
        <w:tc>
          <w:tcPr>
            <w:tcW w:type="dxa" w:w="2400"/>
            <w:shd w:fill="1A1A1A" w:val="clear"/>
            <w:tcMar>
              <w:top w:type="dxa" w:w="100"/>
              <w:left w:type="dxa" w:w="120"/>
              <w:bottom w:type="dxa" w:w="100"/>
              <w:right w:type="dxa" w:w="120"/>
            </w:tcMar>
          </w:tcPr>
          <w:p>
            <w:r>
              <w:rPr>
                <w:b/>
                <w:bCs/>
                <w:color w:val="FFFFFF"/>
                <w:sz w:val="19"/>
                <w:szCs w:val="19"/>
              </w:rPr>
              <w:t xml:space="preserve">Norma</w:t>
            </w:r>
          </w:p>
        </w:tc>
        <w:tc>
          <w:tcPr>
            <w:tcW w:type="dxa" w:w="3950"/>
            <w:shd w:fill="1A1A1A" w:val="clear"/>
            <w:tcMar>
              <w:top w:type="dxa" w:w="100"/>
              <w:left w:type="dxa" w:w="120"/>
              <w:bottom w:type="dxa" w:w="100"/>
              <w:right w:type="dxa" w:w="120"/>
            </w:tcMar>
          </w:tcPr>
          <w:p>
            <w:r>
              <w:rPr>
                <w:b/>
                <w:bCs/>
                <w:color w:val="FFFFFF"/>
                <w:sz w:val="19"/>
                <w:szCs w:val="19"/>
              </w:rPr>
              <w:t xml:space="preserve">O que regula</w:t>
            </w:r>
          </w:p>
        </w:tc>
        <w:tc>
          <w:tcPr>
            <w:tcW w:type="dxa" w:w="3000"/>
            <w:shd w:fill="1A1A1A" w:val="clear"/>
            <w:tcMar>
              <w:top w:type="dxa" w:w="100"/>
              <w:left w:type="dxa" w:w="120"/>
              <w:bottom w:type="dxa" w:w="100"/>
              <w:right w:type="dxa" w:w="120"/>
            </w:tcMar>
          </w:tcPr>
          <w:p>
            <w:r>
              <w:rPr>
                <w:b/>
                <w:bCs/>
                <w:color w:val="FFFFFF"/>
                <w:sz w:val="19"/>
                <w:szCs w:val="19"/>
              </w:rPr>
              <w:t xml:space="preserve">Por que importa pra você</w:t>
            </w:r>
          </w:p>
        </w:tc>
      </w:tr>
      <w:tr>
        <w:tc>
          <w:tcPr>
            <w:tcW w:type="dxa" w:w="2400"/>
            <w:tcMar>
              <w:top w:type="dxa" w:w="100"/>
              <w:left w:type="dxa" w:w="120"/>
              <w:bottom w:type="dxa" w:w="100"/>
              <w:right w:type="dxa" w:w="120"/>
            </w:tcMar>
          </w:tcPr>
          <w:p>
            <w:r>
              <w:rPr>
                <w:b w:val="false"/>
                <w:bCs w:val="false"/>
                <w:color w:val="1A1A1A"/>
                <w:sz w:val="19"/>
                <w:szCs w:val="19"/>
              </w:rPr>
              <w:t xml:space="preserve">Res. Conjunta CMN/BCB 16/2025</w:t>
            </w:r>
          </w:p>
        </w:tc>
        <w:tc>
          <w:tcPr>
            <w:tcW w:type="dxa" w:w="3950"/>
            <w:tcMar>
              <w:top w:type="dxa" w:w="100"/>
              <w:left w:type="dxa" w:w="120"/>
              <w:bottom w:type="dxa" w:w="100"/>
              <w:right w:type="dxa" w:w="120"/>
            </w:tcMar>
          </w:tcPr>
          <w:p>
            <w:r>
              <w:rPr>
                <w:b w:val="false"/>
                <w:bCs w:val="false"/>
                <w:color w:val="1A1A1A"/>
                <w:sz w:val="19"/>
                <w:szCs w:val="19"/>
              </w:rPr>
              <w:t xml:space="preserve">Banking as a Service (BaaS)</w:t>
            </w:r>
          </w:p>
        </w:tc>
        <w:tc>
          <w:tcPr>
            <w:tcW w:type="dxa" w:w="3000"/>
            <w:tcMar>
              <w:top w:type="dxa" w:w="100"/>
              <w:left w:type="dxa" w:w="120"/>
              <w:bottom w:type="dxa" w:w="100"/>
              <w:right w:type="dxa" w:w="120"/>
            </w:tcMar>
          </w:tcPr>
          <w:p>
            <w:r>
              <w:rPr>
                <w:b w:val="false"/>
                <w:bCs w:val="false"/>
                <w:color w:val="1A1A1A"/>
                <w:sz w:val="19"/>
                <w:szCs w:val="19"/>
              </w:rPr>
              <w:t xml:space="preserve">Define os limites do que o provedor pode fazer em seu nome</w:t>
            </w:r>
          </w:p>
        </w:tc>
      </w:tr>
      <w:tr>
        <w:tc>
          <w:tcPr>
            <w:tcW w:type="dxa" w:w="2400"/>
            <w:shd w:fill="F4EFE0" w:val="clear"/>
            <w:tcMar>
              <w:top w:type="dxa" w:w="100"/>
              <w:left w:type="dxa" w:w="120"/>
              <w:bottom w:type="dxa" w:w="100"/>
              <w:right w:type="dxa" w:w="120"/>
            </w:tcMar>
          </w:tcPr>
          <w:p>
            <w:r>
              <w:rPr>
                <w:b w:val="false"/>
                <w:bCs w:val="false"/>
                <w:color w:val="1A1A1A"/>
                <w:sz w:val="19"/>
                <w:szCs w:val="19"/>
              </w:rPr>
              <w:t xml:space="preserve">Res. BCB 519, 520 e 521</w:t>
            </w:r>
          </w:p>
        </w:tc>
        <w:tc>
          <w:tcPr>
            <w:tcW w:type="dxa" w:w="3950"/>
            <w:shd w:fill="F4EFE0" w:val="clear"/>
            <w:tcMar>
              <w:top w:type="dxa" w:w="100"/>
              <w:left w:type="dxa" w:w="120"/>
              <w:bottom w:type="dxa" w:w="100"/>
              <w:right w:type="dxa" w:w="120"/>
            </w:tcMar>
          </w:tcPr>
          <w:p>
            <w:r>
              <w:rPr>
                <w:b w:val="false"/>
                <w:bCs w:val="false"/>
                <w:color w:val="1A1A1A"/>
                <w:sz w:val="19"/>
                <w:szCs w:val="19"/>
              </w:rPr>
              <w:t xml:space="preserve">Prestadores de Serviços de Ativos Virtuais (PSAV)</w:t>
            </w:r>
          </w:p>
        </w:tc>
        <w:tc>
          <w:tcPr>
            <w:tcW w:type="dxa" w:w="3000"/>
            <w:shd w:fill="F4EFE0" w:val="clear"/>
            <w:tcMar>
              <w:top w:type="dxa" w:w="100"/>
              <w:left w:type="dxa" w:w="120"/>
              <w:bottom w:type="dxa" w:w="100"/>
              <w:right w:type="dxa" w:w="120"/>
            </w:tcMar>
          </w:tcPr>
          <w:p>
            <w:r>
              <w:rPr>
                <w:b w:val="false"/>
                <w:bCs w:val="false"/>
                <w:color w:val="1A1A1A"/>
                <w:sz w:val="19"/>
                <w:szCs w:val="19"/>
              </w:rPr>
              <w:t xml:space="preserve">Define quem pode custodiar/emitir seu ativo digital</w:t>
            </w:r>
          </w:p>
        </w:tc>
      </w:tr>
      <w:tr>
        <w:tc>
          <w:tcPr>
            <w:tcW w:type="dxa" w:w="2400"/>
            <w:tcMar>
              <w:top w:type="dxa" w:w="100"/>
              <w:left w:type="dxa" w:w="120"/>
              <w:bottom w:type="dxa" w:w="100"/>
              <w:right w:type="dxa" w:w="120"/>
            </w:tcMar>
          </w:tcPr>
          <w:p>
            <w:r>
              <w:rPr>
                <w:b w:val="false"/>
                <w:bCs w:val="false"/>
                <w:color w:val="1A1A1A"/>
                <w:sz w:val="19"/>
                <w:szCs w:val="19"/>
              </w:rPr>
              <w:t xml:space="preserve">Lei 14.478/2022</w:t>
            </w:r>
          </w:p>
        </w:tc>
        <w:tc>
          <w:tcPr>
            <w:tcW w:type="dxa" w:w="3950"/>
            <w:tcMar>
              <w:top w:type="dxa" w:w="100"/>
              <w:left w:type="dxa" w:w="120"/>
              <w:bottom w:type="dxa" w:w="100"/>
              <w:right w:type="dxa" w:w="120"/>
            </w:tcMar>
          </w:tcPr>
          <w:p>
            <w:r>
              <w:rPr>
                <w:b w:val="false"/>
                <w:bCs w:val="false"/>
                <w:color w:val="1A1A1A"/>
                <w:sz w:val="19"/>
                <w:szCs w:val="19"/>
              </w:rPr>
              <w:t xml:space="preserve">Marco Legal dos Criptoativos</w:t>
            </w:r>
          </w:p>
        </w:tc>
        <w:tc>
          <w:tcPr>
            <w:tcW w:type="dxa" w:w="3000"/>
            <w:tcMar>
              <w:top w:type="dxa" w:w="100"/>
              <w:left w:type="dxa" w:w="120"/>
              <w:bottom w:type="dxa" w:w="100"/>
              <w:right w:type="dxa" w:w="120"/>
            </w:tcMar>
          </w:tcPr>
          <w:p>
            <w:r>
              <w:rPr>
                <w:b w:val="false"/>
                <w:bCs w:val="false"/>
                <w:color w:val="1A1A1A"/>
                <w:sz w:val="19"/>
                <w:szCs w:val="19"/>
              </w:rPr>
              <w:t xml:space="preserve">Base legal geral da operação com ativos virtuais no Brasil</w:t>
            </w:r>
          </w:p>
        </w:tc>
      </w:tr>
      <w:tr>
        <w:tc>
          <w:tcPr>
            <w:tcW w:type="dxa" w:w="2400"/>
            <w:shd w:fill="F4EFE0" w:val="clear"/>
            <w:tcMar>
              <w:top w:type="dxa" w:w="100"/>
              <w:left w:type="dxa" w:w="120"/>
              <w:bottom w:type="dxa" w:w="100"/>
              <w:right w:type="dxa" w:w="120"/>
            </w:tcMar>
          </w:tcPr>
          <w:p>
            <w:r>
              <w:rPr>
                <w:b w:val="false"/>
                <w:bCs w:val="false"/>
                <w:color w:val="1A1A1A"/>
                <w:sz w:val="19"/>
                <w:szCs w:val="19"/>
              </w:rPr>
              <w:t xml:space="preserve">Circular BCB 3.978/2020</w:t>
            </w:r>
          </w:p>
        </w:tc>
        <w:tc>
          <w:tcPr>
            <w:tcW w:type="dxa" w:w="3950"/>
            <w:shd w:fill="F4EFE0" w:val="clear"/>
            <w:tcMar>
              <w:top w:type="dxa" w:w="100"/>
              <w:left w:type="dxa" w:w="120"/>
              <w:bottom w:type="dxa" w:w="100"/>
              <w:right w:type="dxa" w:w="120"/>
            </w:tcMar>
          </w:tcPr>
          <w:p>
            <w:r>
              <w:rPr>
                <w:b w:val="false"/>
                <w:bCs w:val="false"/>
                <w:color w:val="1A1A1A"/>
                <w:sz w:val="19"/>
                <w:szCs w:val="19"/>
              </w:rPr>
              <w:t xml:space="preserve">Programa de PLD/FT</w:t>
            </w:r>
          </w:p>
        </w:tc>
        <w:tc>
          <w:tcPr>
            <w:tcW w:type="dxa" w:w="3000"/>
            <w:shd w:fill="F4EFE0" w:val="clear"/>
            <w:tcMar>
              <w:top w:type="dxa" w:w="100"/>
              <w:left w:type="dxa" w:w="120"/>
              <w:bottom w:type="dxa" w:w="100"/>
              <w:right w:type="dxa" w:w="120"/>
            </w:tcMar>
          </w:tcPr>
          <w:p>
            <w:r>
              <w:rPr>
                <w:b w:val="false"/>
                <w:bCs w:val="false"/>
                <w:color w:val="1A1A1A"/>
                <w:sz w:val="19"/>
                <w:szCs w:val="19"/>
              </w:rPr>
              <w:t xml:space="preserve">Exige diretor responsável formalmente designado</w:t>
            </w:r>
          </w:p>
        </w:tc>
      </w:tr>
      <w:tr>
        <w:tc>
          <w:tcPr>
            <w:tcW w:type="dxa" w:w="2400"/>
            <w:tcMar>
              <w:top w:type="dxa" w:w="100"/>
              <w:left w:type="dxa" w:w="120"/>
              <w:bottom w:type="dxa" w:w="100"/>
              <w:right w:type="dxa" w:w="120"/>
            </w:tcMar>
          </w:tcPr>
          <w:p>
            <w:r>
              <w:rPr>
                <w:b w:val="false"/>
                <w:bCs w:val="false"/>
                <w:color w:val="1A1A1A"/>
                <w:sz w:val="19"/>
                <w:szCs w:val="19"/>
              </w:rPr>
              <w:t xml:space="preserve">Parecer de Orientação CVM 40/2022</w:t>
            </w:r>
          </w:p>
        </w:tc>
        <w:tc>
          <w:tcPr>
            <w:tcW w:type="dxa" w:w="3950"/>
            <w:tcMar>
              <w:top w:type="dxa" w:w="100"/>
              <w:left w:type="dxa" w:w="120"/>
              <w:bottom w:type="dxa" w:w="100"/>
              <w:right w:type="dxa" w:w="120"/>
            </w:tcMar>
          </w:tcPr>
          <w:p>
            <w:r>
              <w:rPr>
                <w:b w:val="false"/>
                <w:bCs w:val="false"/>
                <w:color w:val="1A1A1A"/>
                <w:sz w:val="19"/>
                <w:szCs w:val="19"/>
              </w:rPr>
              <w:t xml:space="preserve">Quando um criptoativo é valor mobiliário</w:t>
            </w:r>
          </w:p>
        </w:tc>
        <w:tc>
          <w:tcPr>
            <w:tcW w:type="dxa" w:w="3000"/>
            <w:tcMar>
              <w:top w:type="dxa" w:w="100"/>
              <w:left w:type="dxa" w:w="120"/>
              <w:bottom w:type="dxa" w:w="100"/>
              <w:right w:type="dxa" w:w="120"/>
            </w:tcMar>
          </w:tcPr>
          <w:p>
            <w:r>
              <w:rPr>
                <w:b w:val="false"/>
                <w:bCs w:val="false"/>
                <w:color w:val="1A1A1A"/>
                <w:sz w:val="19"/>
                <w:szCs w:val="19"/>
              </w:rPr>
              <w:t xml:space="preserve">Decide se sua oferta também precisa da CVM</w:t>
            </w:r>
          </w:p>
        </w:tc>
      </w:tr>
      <w:tr>
        <w:tc>
          <w:tcPr>
            <w:tcW w:type="dxa" w:w="2400"/>
            <w:shd w:fill="F4EFE0" w:val="clear"/>
            <w:tcMar>
              <w:top w:type="dxa" w:w="100"/>
              <w:left w:type="dxa" w:w="120"/>
              <w:bottom w:type="dxa" w:w="100"/>
              <w:right w:type="dxa" w:w="120"/>
            </w:tcMar>
          </w:tcPr>
          <w:p>
            <w:r>
              <w:rPr>
                <w:b w:val="false"/>
                <w:bCs w:val="false"/>
                <w:color w:val="1A1A1A"/>
                <w:sz w:val="19"/>
                <w:szCs w:val="19"/>
              </w:rPr>
              <w:t xml:space="preserve">LGPD (Lei 13.709/2018)</w:t>
            </w:r>
          </w:p>
        </w:tc>
        <w:tc>
          <w:tcPr>
            <w:tcW w:type="dxa" w:w="3950"/>
            <w:shd w:fill="F4EFE0" w:val="clear"/>
            <w:tcMar>
              <w:top w:type="dxa" w:w="100"/>
              <w:left w:type="dxa" w:w="120"/>
              <w:bottom w:type="dxa" w:w="100"/>
              <w:right w:type="dxa" w:w="120"/>
            </w:tcMar>
          </w:tcPr>
          <w:p>
            <w:r>
              <w:rPr>
                <w:b w:val="false"/>
                <w:bCs w:val="false"/>
                <w:color w:val="1A1A1A"/>
                <w:sz w:val="19"/>
                <w:szCs w:val="19"/>
              </w:rPr>
              <w:t xml:space="preserve">Proteção de dados pessoais</w:t>
            </w:r>
          </w:p>
        </w:tc>
        <w:tc>
          <w:tcPr>
            <w:tcW w:type="dxa" w:w="3000"/>
            <w:shd w:fill="F4EFE0" w:val="clear"/>
            <w:tcMar>
              <w:top w:type="dxa" w:w="100"/>
              <w:left w:type="dxa" w:w="120"/>
              <w:bottom w:type="dxa" w:w="100"/>
              <w:right w:type="dxa" w:w="120"/>
            </w:tcMar>
          </w:tcPr>
          <w:p>
            <w:r>
              <w:rPr>
                <w:b w:val="false"/>
                <w:bCs w:val="false"/>
                <w:color w:val="1A1A1A"/>
                <w:sz w:val="19"/>
                <w:szCs w:val="19"/>
              </w:rPr>
              <w:t xml:space="preserve">Exige DPO e relatório de impacto (RIPD) no onboarding</w:t>
            </w:r>
          </w:p>
        </w:tc>
      </w:tr>
    </w:tbl>
    <w:p>
      <w:r>
        <w:br w:type="page"/>
      </w:r>
    </w:p>
    <w:p>
      <w:pPr>
        <w:pStyle w:val="Heading1"/>
        <w:pBdr>
          <w:bottom w:val="single" w:color="9A7B2F" w:sz="6"/>
        </w:pBdr>
        <w:spacing w:after="200" w:before="400"/>
      </w:pPr>
      <w:r>
        <w:rPr>
          <w:b/>
          <w:bCs/>
          <w:color w:val="1A1A1A"/>
          <w:sz w:val="30"/>
          <w:szCs w:val="30"/>
        </w:rPr>
        <w:t xml:space="preserve">Capítulo 4 — KYC/KYB e PLD/FT sem dor</w:t>
      </w:r>
    </w:p>
    <w:p>
      <w:pPr>
        <w:spacing w:after="160" w:line="300"/>
      </w:pPr>
      <w:r>
        <w:rPr>
          <w:color w:val="1A1A1A"/>
          <w:sz w:val="21"/>
          <w:szCs w:val="21"/>
        </w:rPr>
        <w:t xml:space="preserve">O programa de prevenção à lavagem de dinheiro é o que separa uma fintech que passa no onboarding de uma que fica meses em diligência adicional. Os pilares que todo provedor espera ver:</w:t>
      </w:r>
    </w:p>
    <w:p>
      <w:pPr>
        <w:pStyle w:val="ListParagraph"/>
        <w:numPr>
          <w:ilvl w:val="0"/>
          <w:numId w:val="2"/>
        </w:numPr>
        <w:spacing w:after="90"/>
      </w:pPr>
      <w:r>
        <w:rPr>
          <w:color w:val="1A1A1A"/>
          <w:sz w:val="21"/>
          <w:szCs w:val="21"/>
        </w:rPr>
        <w:t xml:space="preserve">Política de PLD/FT aprovada pela administração, com abordagem baseada em risco e revisão anual.</w:t>
      </w:r>
    </w:p>
    <w:p>
      <w:pPr>
        <w:pStyle w:val="ListParagraph"/>
        <w:numPr>
          <w:ilvl w:val="0"/>
          <w:numId w:val="2"/>
        </w:numPr>
        <w:spacing w:after="90"/>
      </w:pPr>
      <w:r>
        <w:rPr>
          <w:color w:val="1A1A1A"/>
          <w:sz w:val="21"/>
          <w:szCs w:val="21"/>
        </w:rPr>
        <w:t xml:space="preserve">KYC de onboarding: validação documental, biometria facial, prova de vida e consulta a listas restritivas (OFAC, ONU, UE) e bases de PEP.</w:t>
      </w:r>
    </w:p>
    <w:p>
      <w:pPr>
        <w:pStyle w:val="ListParagraph"/>
        <w:numPr>
          <w:ilvl w:val="0"/>
          <w:numId w:val="2"/>
        </w:numPr>
        <w:spacing w:after="90"/>
      </w:pPr>
      <w:r>
        <w:rPr>
          <w:color w:val="1A1A1A"/>
          <w:sz w:val="21"/>
          <w:szCs w:val="21"/>
        </w:rPr>
        <w:t xml:space="preserve">KYB para clientes PJ: reconstrução da cadeia societária até o beneficiário final, com atualização cadastral periódica.</w:t>
      </w:r>
    </w:p>
    <w:p>
      <w:pPr>
        <w:pStyle w:val="ListParagraph"/>
        <w:numPr>
          <w:ilvl w:val="0"/>
          <w:numId w:val="2"/>
        </w:numPr>
        <w:spacing w:after="90"/>
      </w:pPr>
      <w:r>
        <w:rPr>
          <w:color w:val="1A1A1A"/>
          <w:sz w:val="21"/>
          <w:szCs w:val="21"/>
        </w:rPr>
        <w:t xml:space="preserve">Monitoramento transacional contínuo com regras paramétricas e detecção de anomalias (fracionamento, smurfing, mules).</w:t>
      </w:r>
    </w:p>
    <w:p>
      <w:pPr>
        <w:pStyle w:val="ListParagraph"/>
        <w:numPr>
          <w:ilvl w:val="0"/>
          <w:numId w:val="2"/>
        </w:numPr>
        <w:spacing w:after="90"/>
      </w:pPr>
      <w:r>
        <w:rPr>
          <w:color w:val="1A1A1A"/>
          <w:sz w:val="21"/>
          <w:szCs w:val="21"/>
        </w:rPr>
        <w:t xml:space="preserve">Comunicação de operações suspeitas ao COAF dentro dos prazos regulamentares, com trilha de decisão registrada.</w:t>
      </w:r>
    </w:p>
    <w:p>
      <w:pPr>
        <w:pStyle w:val="ListParagraph"/>
        <w:numPr>
          <w:ilvl w:val="0"/>
          <w:numId w:val="2"/>
        </w:numPr>
        <w:spacing w:after="90"/>
      </w:pPr>
      <w:r>
        <w:rPr>
          <w:color w:val="1A1A1A"/>
          <w:sz w:val="21"/>
          <w:szCs w:val="21"/>
        </w:rPr>
        <w:t xml:space="preserve">Travel Rule nas transferências de ativos virtuais, para quem opera na camada PSAV.</w:t>
      </w:r>
    </w:p>
    <w:p>
      <w:pPr>
        <w:pStyle w:val="ListParagraph"/>
        <w:numPr>
          <w:ilvl w:val="0"/>
          <w:numId w:val="2"/>
        </w:numPr>
        <w:spacing w:after="90"/>
      </w:pPr>
      <w:r>
        <w:rPr>
          <w:color w:val="1A1A1A"/>
          <w:sz w:val="21"/>
          <w:szCs w:val="21"/>
        </w:rPr>
        <w:t xml:space="preserve">Diretor responsável por PLD/FT formalmente nomeado em ata, com reporte direto ao conselho e autonomia para bloqueio cautelar.</w:t>
      </w:r>
    </w:p>
    <w:p>
      <w:pPr>
        <w:spacing w:after="160" w:line="300"/>
      </w:pPr>
      <w:r>
        <w:rPr>
          <w:color w:val="1A1A1A"/>
          <w:sz w:val="21"/>
          <w:szCs w:val="21"/>
        </w:rPr>
        <w:t xml:space="preserve">Formalize a nomeação do diretor de PLD/FT antes de protocolar qualquer onboarding — é o item que mais atrasa aprovações quando chega faltando.</w:t>
      </w:r>
    </w:p>
    <w:p>
      <w:pPr>
        <w:pStyle w:val="Heading1"/>
        <w:pBdr>
          <w:bottom w:val="single" w:color="9A7B2F" w:sz="6"/>
        </w:pBdr>
        <w:spacing w:after="200" w:before="400"/>
      </w:pPr>
      <w:r>
        <w:rPr>
          <w:b/>
          <w:bCs/>
          <w:color w:val="1A1A1A"/>
          <w:sz w:val="30"/>
          <w:szCs w:val="30"/>
        </w:rPr>
        <w:t xml:space="preserve">Onde continuar</w:t>
      </w:r>
    </w:p>
    <w:p>
      <w:pPr>
        <w:spacing w:after="160" w:line="300"/>
      </w:pPr>
      <w:r>
        <w:rPr>
          <w:color w:val="1A1A1A"/>
          <w:sz w:val="21"/>
          <w:szCs w:val="21"/>
        </w:rPr>
        <w:t xml:space="preserve">Este ebook cobre o mapa. O Boilerplate de Segurança para Fintechs — o template que acompanha este material — entrega o código: checklist pronto para o Jira, exemplo de servidor Node.js com mTLS, snippet de autenticação biométrica em React Native e um .env.example comentado com as práticas de gestão de segredos descritas no Capítulo 2.</w:t>
      </w:r>
    </w:p>
    <w:p>
      <w:pPr>
        <w:spacing w:after="160" w:line="300"/>
      </w:pPr>
      <w:r>
        <w:rPr>
          <w:color w:val="1A1A1A"/>
          <w:sz w:val="21"/>
          <w:szCs w:val="21"/>
        </w:rPr>
        <w:t xml:space="preserve">Se este material te poupou tempo de pesquisa, o próximo passo natural é aplicar o checklist e o boilerplate direto no seu repositório.</w:t>
      </w:r>
    </w:p>
    <w:p>
      <w:pPr>
        <w:spacing w:before="400"/>
        <w:jc w:val="center"/>
      </w:pPr>
      <w:r>
        <w:rPr>
          <w:b/>
          <w:bCs/>
          <w:color w:val="9A7B2F"/>
          <w:sz w:val="19"/>
          <w:szCs w:val="19"/>
        </w:rPr>
        <w:t xml:space="preserve">VERTICALAGENT · AIBANK  —  Fintech Secure Starter Kit 2026</w:t>
      </w:r>
    </w:p>
    <w:sectPr>
      <w:pgSz w:w="12240" w:h="15840" w:orient="portrait"/>
      <w:pgMar w:top="1260" w:right="1300" w:bottom="12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2026-08-20T21:06:17.076Z</dcterms:created>
  <dcterms:modified xsi:type="dcterms:W3CDTF">2026-08-20T21:06:17.090Z</dcterms:modified>
</cp:coreProperties>
</file>

<file path=docProps/custom.xml><?xml version="1.0" encoding="utf-8"?>
<Properties xmlns="http://schemas.openxmlformats.org/officeDocument/2006/custom-properties" xmlns:vt="http://schemas.openxmlformats.org/officeDocument/2006/docPropsVTypes"/>
</file>