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645920" cy="2098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iro365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098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8CC63F"/>
          <w:sz w:val="32"/>
          <w:szCs w:val="32"/>
        </w:rPr>
        <w:t xml:space="preserve">Summary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>133 distinct endpoints across four APIs, with 131 covered. Yoco was run twice to compare input formats, producing 753 tests across 5 input runs. This run demonstrated four input formats: OpenAPI, Swagger, Postman, and HTML documentation. The same approach extends to other documentation formats and source types.</w:t>
      </w:r>
      <w:r>
        <w:rPr>
          <w:rFonts w:ascii="Calibri" w:cs="Calibri" w:eastAsia="Calibri" w:hAnsi="Calibri"/>
          <w:sz w:val="20"/>
          <w:szCs w:val="20"/>
        </w:rPr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8CC63F"/>
          <w:sz w:val="32"/>
          <w:szCs w:val="32"/>
        </w:rPr>
        <w:t xml:space="preserve">Results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8AB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8AB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 Source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8AB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Endpoints Covered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8AB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Response Scenarios Covered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8AB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ABSA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OpenAPI 3.0.1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5/5 (100%)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30/40 (75%)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49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African Bank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Swagger 2.0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39/39 (100%)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170 declared, 161 tested, 9 excluded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195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Peach Payments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Postman Collection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33/35 (94.3%)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33/35 (94.3%)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66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Yoco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OpenAPI 3.1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42/42 (100%)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205/206 (99.5%)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250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Yoco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HTML Documentation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54/54 (100%)</w:t>
            </w:r>
          </w:p>
        </w:tc>
        <w:tc>
          <w:tcPr>
            <w:tcW w:type="dxa" w:w="180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180/230 (78.3%)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193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8CC63F"/>
          <w:sz w:val="32"/>
          <w:szCs w:val="32"/>
        </w:rPr>
        <w:t xml:space="preserve">What the Tool Observed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African Bank (Grindrod) - Swagger 2.0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tool read the published Grindrod Bank Swagger 2.0 specification and identified that one response template has been applied uniformly across all POST operations: every one of the 13 POST endpoints declares an identical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200, 201, 401, 403, 404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response block, regardless of what each operation does. All 23 GET endpoints carry the same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200, 401, 403, 404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pattern.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consequence is that 201 Created appears on two read-only validation endpoints (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/validate/accountnumber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/verifications/account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) that do not create resources, and 201 Created appears on a PUT to an existing resource (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/fica/individuals/{ficaId}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). The spec also declares both 200 OK with a documented response body and 204 No Content on the same PATCH operation - two mutually exclusive outcomes for one operation. Finally, 404 Not Found is declared on two root collection POST operations (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/customers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/users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) whose paths carry no resource identifier that could be missing.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>170 response scenarios declared. 161 tested. 9 excluded.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Peach Payments - Postman Collection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tool parsed not just the request list but the collection's test scripts. It identified that two of the 35 routes -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{{batchUrl}}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{{paymentRedirectUrl}}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- are server-generated URLs set at runtime by a preceding request's test script via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pm.collectionVariables.set(...)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Neither has a fixed path anywhere in the collection; both are populated dynamically from the response of a prior request. They cannot be represented as static routes in a coverage matrix.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>33 of 35 endpoints tested. 2 excluded - dynamic-target URLs with no fixed path in the source documentation.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8CC63F"/>
          <w:sz w:val="32"/>
          <w:szCs w:val="32"/>
        </w:rPr>
        <w:t xml:space="preserve">What Each Suite Includes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Self-contained test project (configure environment variables and run)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Human-readable test names describing each scenario (Given/When/Then format)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Automatic verification that every successful response matches the documented structure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Tests for unauthorised access (401, 403)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Tests for invalid input (400)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Tests that can create their own data; payloads may need to conform to your environment's validation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Setup instructions and documented environment variables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8CC63F"/>
          <w:sz w:val="32"/>
          <w:szCs w:val="32"/>
        </w:rPr>
        <w:t xml:space="preserve">Input Format Matters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same API (Yoco) was run through two different input formats to demonstrate the difference: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8AB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8AB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OpenAPI Spec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8AB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HTML Docs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Endpoints discovered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42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54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Response scenarios to test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206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230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Tests generated</w:t>
            </w:r>
          </w:p>
        </w:tc>
        <w:tc>
          <w:tcPr>
            <w:tcW w:type="dxa" w:w="30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250</w:t>
            </w:r>
          </w:p>
        </w:tc>
        <w:tc>
          <w:tcPr>
            <w:tcW w:type="dxa" w:w="30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>193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>This comparison shows that output depth depends on the completeness of the source material provided. In this Yoco sample, the HTML documentation covered a broader surface area than the supplied OpenAPI file, so it yielded more endpoints and response scenarios. HTML test count is lower because only independently verifiable scenarios are retained (180/230), while OpenAPI retains 205/206.</w:t>
      </w:r>
      <w:r>
        <w:rPr>
          <w:rFonts w:ascii="Calibri" w:cs="Calibri" w:eastAsia="Calibri" w:hAnsi="Calibri"/>
          <w:sz w:val="20"/>
          <w:szCs w:val="20"/>
        </w:rPr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8CC63F"/>
          <w:sz w:val="32"/>
          <w:szCs w:val="32"/>
        </w:rPr>
        <w:t xml:space="preserve">Delivery Contents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Per target: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Zip file with the complete test suite (source only, run npm install to set up)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README with setup instructions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.env.example with all required and optional variables documented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Coverage report showing the endpoint and response code matrix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8CC63F"/>
          <w:sz w:val="32"/>
          <w:szCs w:val="32"/>
        </w:rPr>
        <w:t xml:space="preserve">Assessment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Ready to share. Four of five input runs achieved 100% endpoint coverage. The fifth (Peach Payments) reached 33 of 35, with the remaining 2 endpoints excluded as dynamic-target URLs that cannot be represented as static routes. All four input formats were demonstrated, and every suite is a standalone project that can be configured and executed against a target environment. Tests are human-readable and structured for maintainability. The snapshot represents what the solution produces from documentation alone.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These deliverables are documentation-derived and static by design. Response structures have not been validated against a live target environment. Live execution is a separate step used to validate behaviour and refine the suite against runtime conditions.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API Coverage Snapshot · v1.0 · Page  of </w:t>
    </w:r>
    <w:r>
      <w:rPr>
        <w:rFonts w:ascii="Calibri" w:cs="Calibri" w:eastAsia="Calibri" w:hAnsi="Calibri"/>
        <w:color w:val="666666"/>
        <w:sz w:val="16"/>
        <w:szCs w:val="16"/>
      </w:rPr>
    </w:r>
    <w:r>
      <w:rPr>
        <w:rFonts w:ascii="Calibri" w:cs="Calibri" w:eastAsia="Calibri" w:hAnsi="Calibri"/>
        <w:color w:val="666666"/>
        <w:sz w:val="16"/>
        <w:szCs w:val="16"/>
      </w:rPr>
    </w:r>
    <w:r>
      <w:rPr>
        <w:rFonts w:ascii="Calibri" w:cs="Calibri" w:eastAsia="Calibri" w:hAnsi="Calibri"/>
        <w:color w:val="666666"/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2026-08-28T15:03:26.627Z</dcterms:created>
  <dcterms:modified xsi:type="dcterms:W3CDTF">2026-08-28T15:03:26.628Z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