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645920" cy="2098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viro365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098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8CC63F"/>
          <w:sz w:val="32"/>
          <w:szCs w:val="32"/>
        </w:rPr>
        <w:t xml:space="preserve">Summary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>133 distinct endpoints across four APIs, with 131 covered. Yoco was run twice to compare input formats, producing 753 tests across 5 input runs. This run demonstrated four input formats: OpenAPI, Swagger, Postman, and HTML documentation. The same approach extends to other documentation formats and source types.</w:t>
      </w:r>
      <w:r>
        <w:rPr>
          <w:rFonts w:ascii="Calibri" w:cs="Calibri" w:eastAsia="Calibri" w:hAnsi="Calibri"/>
          <w:sz w:val="20"/>
          <w:szCs w:val="20"/>
        </w:rPr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8CC63F"/>
          <w:sz w:val="32"/>
          <w:szCs w:val="32"/>
        </w:rPr>
        <w:t xml:space="preserve">Results at a Glance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BE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Target</w:t>
            </w:r>
          </w:p>
        </w:tc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BE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Input Source</w:t>
            </w:r>
          </w:p>
        </w:tc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BE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Endpoints Covered</w:t>
            </w:r>
          </w:p>
        </w:tc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BE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Response Scenarios Covered</w:t>
            </w:r>
          </w:p>
        </w:tc>
        <w:tc>
          <w:tcPr>
            <w:tcW w:type="dxa" w:w="1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BE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Tests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ABSA</w:t>
            </w:r>
          </w:p>
        </w:tc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OpenAPI 3.0.1</w:t>
            </w:r>
          </w:p>
        </w:tc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5/5 (100%)</w:t>
            </w:r>
          </w:p>
        </w:tc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30/40 (75%)</w:t>
            </w:r>
          </w:p>
        </w:tc>
        <w:tc>
          <w:tcPr>
            <w:tcW w:type="dxa" w:w="1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49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7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African Bank</w:t>
            </w:r>
          </w:p>
        </w:tc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7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Swagger 2.0</w:t>
            </w:r>
          </w:p>
        </w:tc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7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39/39 (100%)</w:t>
            </w:r>
          </w:p>
        </w:tc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7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170 declared, 161 tested, 9 excluded</w:t>
            </w:r>
          </w:p>
        </w:tc>
        <w:tc>
          <w:tcPr>
            <w:tcW w:type="dxa" w:w="1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7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195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Peach Payments</w:t>
            </w:r>
          </w:p>
        </w:tc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Postman Collection</w:t>
            </w:r>
          </w:p>
        </w:tc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33/35 (94.3%)</w:t>
            </w:r>
          </w:p>
        </w:tc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33/35 (94.3%)</w:t>
            </w:r>
          </w:p>
        </w:tc>
        <w:tc>
          <w:tcPr>
            <w:tcW w:type="dxa" w:w="1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66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7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Yoco</w:t>
            </w:r>
          </w:p>
        </w:tc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7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OpenAPI 3.1</w:t>
            </w:r>
          </w:p>
        </w:tc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7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42/42 (100%)</w:t>
            </w:r>
          </w:p>
        </w:tc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7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205/206 (99.5%)</w:t>
            </w:r>
          </w:p>
        </w:tc>
        <w:tc>
          <w:tcPr>
            <w:tcW w:type="dxa" w:w="1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7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250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Yoco</w:t>
            </w:r>
          </w:p>
        </w:tc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HTML Documentation</w:t>
            </w:r>
          </w:p>
        </w:tc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54/54 (100%)</w:t>
            </w:r>
          </w:p>
        </w:tc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180/230 (78.3%)</w:t>
            </w:r>
          </w:p>
        </w:tc>
        <w:tc>
          <w:tcPr>
            <w:tcW w:type="dxa" w:w="1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193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8CC63F"/>
          <w:sz w:val="32"/>
          <w:szCs w:val="32"/>
        </w:rPr>
        <w:t xml:space="preserve">What the Tool Observed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0"/>
          <w:szCs w:val="20"/>
        </w:rPr>
        <w:t xml:space="preserve">African Bank (Grindrod) - Swagger 2.0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The tool read the published Grindrod Bank Swagger 2.0 specification and identified that one response template has been applied uniformly across all POST operations: every one of the 13 POST endpoints declares an identical </w:t>
      </w: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200, 201, 401, 403, 404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response block, regardless of what each operation does. All 23 GET endpoints carry the same </w:t>
      </w: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200, 401, 403, 404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pattern.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The consequence is that 201 Created appears on two read-only validation endpoints (</w:t>
      </w: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/validate/accountnumber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/verifications/account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) that do not create resources, and 201 Created appears on a PUT to an existing resource (</w:t>
      </w: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/fica/individuals/{ficaId}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). The spec also declares both 200 OK with a documented response body and 204 No Content on the same PATCH operation - two mutually exclusive outcomes for one operation. Finally, 404 Not Found is declared on two root collection POST operations (</w:t>
      </w: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/customers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/users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) whose paths carry no resource identifier that could be missing.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>170 response scenarios declared. 161 tested. 9 excluded.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0"/>
          <w:szCs w:val="20"/>
        </w:rPr>
        <w:t xml:space="preserve">Peach Payments - Postman Collection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The tool parsed not just the request list but the collection's test scripts. It identified that two of the 35 routes - </w:t>
      </w: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{{batchUrl}}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{{paymentRedirectUrl}}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- are server-generated URLs set at runtime by a preceding request's test script via </w:t>
      </w: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pm.collectionVariables.set(...)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 Neither has a fixed path anywhere in the collection; both are populated dynamically from the response of a prior request. They cannot be represented as static routes in a coverage matrix.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>33 of 35 endpoints tested. 2 excluded - dynamic-target URLs with no fixed path in the source documentation.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8CC63F"/>
          <w:sz w:val="32"/>
          <w:szCs w:val="32"/>
        </w:rPr>
        <w:t xml:space="preserve">What Each Suite Includes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Self-contained test project (configure environment variables and run)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Human-readable test names describing each scenario (Given/When/Then format)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Automatic verification that every successful response matches the documented structure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Tests for unauthorised access (401, 403)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Tests for invalid input (400)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Tests that can create their own data; payloads may need to conform to your environment's validation rules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Setup instructions and documented environment variables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8CC63F"/>
          <w:sz w:val="32"/>
          <w:szCs w:val="32"/>
        </w:rPr>
        <w:t xml:space="preserve">Input Format Matters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The same API (Yoco) was run through two different input formats to demonstrate the difference: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BE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0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BE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OpenAPI Spec</w:t>
            </w:r>
          </w:p>
        </w:tc>
        <w:tc>
          <w:tcPr>
            <w:tcW w:type="dxa" w:w="30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BE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HTML Docs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Endpoints discovered</w:t>
            </w:r>
          </w:p>
        </w:tc>
        <w:tc>
          <w:tcPr>
            <w:tcW w:type="dxa" w:w="30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42</w:t>
            </w:r>
          </w:p>
        </w:tc>
        <w:tc>
          <w:tcPr>
            <w:tcW w:type="dxa" w:w="30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54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7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Response scenarios to test</w:t>
            </w:r>
          </w:p>
        </w:tc>
        <w:tc>
          <w:tcPr>
            <w:tcW w:type="dxa" w:w="30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7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206</w:t>
            </w:r>
          </w:p>
        </w:tc>
        <w:tc>
          <w:tcPr>
            <w:tcW w:type="dxa" w:w="30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7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230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Tests generated</w:t>
            </w:r>
          </w:p>
        </w:tc>
        <w:tc>
          <w:tcPr>
            <w:tcW w:type="dxa" w:w="30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250</w:t>
            </w:r>
          </w:p>
        </w:tc>
        <w:tc>
          <w:tcPr>
            <w:tcW w:type="dxa" w:w="30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193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This comparison shows that output depth depends on the completeness of the source material provided. In this Yoco sample, the HTML documentation covered a broader surface area than the supplied OpenAPI file, so it yielded more endpoints and response scenarios.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Bottom line: both formats produce strong, usable output. The operational advantage of OpenAPI is its consistency, structure, and suitability for automation; raw HTML documentation remains a viable input when that is the source material available.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8CC63F"/>
          <w:sz w:val="32"/>
          <w:szCs w:val="32"/>
        </w:rPr>
        <w:t xml:space="preserve">Delivery Contents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Per target: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Zip file with the complete test suite (source only, run npm install to set up)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README with setup instructions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.env.example with all required and optional variables documented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Coverage report showing the endpoint and response code matrix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8CC63F"/>
          <w:sz w:val="32"/>
          <w:szCs w:val="32"/>
        </w:rPr>
        <w:t xml:space="preserve">Assessment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Ready to share. Four of five input runs achieved 100% endpoint coverage. The fifth (Peach Payments) reached 33 of 35, with the remaining 2 endpoints excluded as dynamic-target URLs that cannot be represented as static routes. All four input formats were demonstrated, and every suite is a standalone project that can be configured and executed against a target environment. Tests are human-readable and structured for maintainability. The snapshot represents what the solution produces from documentation alone.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These deliverables are documentation-derived and static by design. Response structures have not been validated against a live target environment. Live execution is a separate step used to validate behaviour and refine the suite against runtime conditions.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66666"/>
        <w:sz w:val="16"/>
        <w:szCs w:val="16"/>
      </w:rPr>
      <w:t xml:space="preserve">API Coverage Snapshot · v1.0 · Page  of </w:t>
    </w:r>
    <w:r>
      <w:rPr>
        <w:rFonts w:ascii="Calibri" w:cs="Calibri" w:eastAsia="Calibri" w:hAnsi="Calibri"/>
        <w:color w:val="666666"/>
        <w:sz w:val="16"/>
        <w:szCs w:val="16"/>
      </w:rPr>
    </w:r>
    <w:r>
      <w:rPr>
        <w:rFonts w:ascii="Calibri" w:cs="Calibri" w:eastAsia="Calibri" w:hAnsi="Calibri"/>
        <w:color w:val="666666"/>
        <w:sz w:val="16"/>
        <w:szCs w:val="16"/>
      </w:rPr>
    </w:r>
    <w:r>
      <w:rPr>
        <w:rFonts w:ascii="Calibri" w:cs="Calibri" w:eastAsia="Calibri" w:hAnsi="Calibri"/>
        <w:color w:val="666666"/>
        <w:sz w:val="16"/>
        <w:szCs w:val="16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  <w:lvl w:ilvl="2" w15:tentative="1">
      <w:start w:val="1"/>
      <w:numFmt w:val="bullet"/>
      <w:lvlText w:val="▪"/>
      <w:lvlJc w:val="left"/>
      <w:pPr>
        <w:ind w:left="216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2."/>
      <w:lvlJc w:val="left"/>
      <w:pPr>
        <w:ind w:left="1440" w:hanging="360"/>
      </w:pPr>
    </w:lvl>
    <w:lvl w:ilvl="2" w15:tentative="1">
      <w:start w:val="1"/>
      <w:numFmt w:val="decimal"/>
      <w:lvlText w:val="%3."/>
      <w:lvlJc w:val="left"/>
      <w:pPr>
        <w:ind w:left="21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2026-08-28T15:03:26.627Z</dcterms:created>
  <dcterms:modified xsi:type="dcterms:W3CDTF">2026-08-28T15:03:26.628Z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