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FD5E7" w14:textId="2AF38F7F" w:rsidR="00EF1C1B" w:rsidRPr="007542E4" w:rsidRDefault="00EF1C1B" w:rsidP="00D3696F">
      <w:pPr>
        <w:ind w:firstLine="284"/>
        <w:rPr>
          <w:rFonts w:asciiTheme="majorBidi" w:hAnsiTheme="majorBidi" w:cstheme="majorBidi"/>
          <w:b/>
          <w:bCs/>
          <w:sz w:val="24"/>
          <w:szCs w:val="24"/>
        </w:rPr>
      </w:pPr>
      <w:r w:rsidRPr="007542E4">
        <w:rPr>
          <w:rFonts w:asciiTheme="majorBidi" w:hAnsiTheme="majorBidi" w:cstheme="majorBidi"/>
          <w:b/>
          <w:bCs/>
          <w:sz w:val="24"/>
          <w:szCs w:val="24"/>
        </w:rPr>
        <w:t>S2 Table. The Excluded Studies and Reasons for Exclusion</w:t>
      </w:r>
    </w:p>
    <w:tbl>
      <w:tblPr>
        <w:tblStyle w:val="TableGrid1"/>
        <w:tblW w:w="10343" w:type="dxa"/>
        <w:jc w:val="center"/>
        <w:tblLook w:val="04A0" w:firstRow="1" w:lastRow="0" w:firstColumn="1" w:lastColumn="0" w:noHBand="0" w:noVBand="1"/>
      </w:tblPr>
      <w:tblGrid>
        <w:gridCol w:w="1938"/>
        <w:gridCol w:w="6137"/>
        <w:gridCol w:w="2268"/>
      </w:tblGrid>
      <w:tr w:rsidR="008A6C9A" w:rsidRPr="001F32B0" w14:paraId="39894968" w14:textId="77777777" w:rsidTr="00D3696F">
        <w:trPr>
          <w:trHeight w:val="849"/>
          <w:jc w:val="center"/>
        </w:trPr>
        <w:tc>
          <w:tcPr>
            <w:tcW w:w="1938" w:type="dxa"/>
            <w:shd w:val="clear" w:color="auto" w:fill="D0CECE" w:themeFill="background2" w:themeFillShade="E6"/>
          </w:tcPr>
          <w:p w14:paraId="77B51022" w14:textId="3710B8DF" w:rsidR="008A6C9A" w:rsidRPr="00F35AFC" w:rsidRDefault="008A6C9A" w:rsidP="008A6C9A">
            <w:pPr>
              <w:suppressLineNumbers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F35AF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Author, year</w:t>
            </w:r>
          </w:p>
        </w:tc>
        <w:tc>
          <w:tcPr>
            <w:tcW w:w="6137" w:type="dxa"/>
            <w:shd w:val="clear" w:color="auto" w:fill="D0CECE" w:themeFill="background2" w:themeFillShade="E6"/>
          </w:tcPr>
          <w:p w14:paraId="59EB4FFF" w14:textId="79B91332" w:rsidR="008A6C9A" w:rsidRPr="00F35AFC" w:rsidRDefault="008A6C9A" w:rsidP="008A6C9A">
            <w:pPr>
              <w:suppressLineNumbers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F35AF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838E3D5" w14:textId="57C9205C" w:rsidR="008A6C9A" w:rsidRPr="00F35AFC" w:rsidRDefault="008A6C9A" w:rsidP="008A6C9A">
            <w:pPr>
              <w:suppressLineNumbers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F35AF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Reason for exclusion</w:t>
            </w:r>
          </w:p>
        </w:tc>
      </w:tr>
      <w:tr w:rsidR="008A6C9A" w:rsidRPr="001F32B0" w14:paraId="6CA95EB0" w14:textId="77777777" w:rsidTr="00D3696F">
        <w:trPr>
          <w:jc w:val="center"/>
        </w:trPr>
        <w:tc>
          <w:tcPr>
            <w:tcW w:w="1938" w:type="dxa"/>
          </w:tcPr>
          <w:p w14:paraId="407FA288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Garg et al. 2023</w:t>
            </w: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</w:rPr>
              <w:t xml:space="preserve"> </w:t>
            </w:r>
          </w:p>
          <w:p w14:paraId="1D72A67A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52694D77" w14:textId="3FE7F4FA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Application of platelet-rich fibrin and freeze-dried bone allograft following apicoectomy: A comparative assessment of radiographic healing</w:t>
            </w:r>
          </w:p>
        </w:tc>
        <w:tc>
          <w:tcPr>
            <w:tcW w:w="2268" w:type="dxa"/>
            <w:vMerge w:val="restart"/>
          </w:tcPr>
          <w:p w14:paraId="2CCDC272" w14:textId="568D3F22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No control group</w:t>
            </w:r>
          </w:p>
        </w:tc>
      </w:tr>
      <w:tr w:rsidR="008A6C9A" w:rsidRPr="001F32B0" w14:paraId="075CF702" w14:textId="77777777" w:rsidTr="00D3696F">
        <w:trPr>
          <w:jc w:val="center"/>
        </w:trPr>
        <w:tc>
          <w:tcPr>
            <w:tcW w:w="1938" w:type="dxa"/>
          </w:tcPr>
          <w:p w14:paraId="58271AFC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Johri et al. 2022 </w:t>
            </w:r>
          </w:p>
          <w:p w14:paraId="02DA6134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0ECFB18E" w14:textId="7AD6408B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Effect of amniotic membrane and platelet-rich fibrin membrane on bone healing post endodontic surgery: An ultrasonographic, randomized controlled study</w:t>
            </w:r>
          </w:p>
        </w:tc>
        <w:tc>
          <w:tcPr>
            <w:tcW w:w="2268" w:type="dxa"/>
            <w:vMerge/>
          </w:tcPr>
          <w:p w14:paraId="50DB47C3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621F6410" w14:textId="77777777" w:rsidTr="00D3696F">
        <w:trPr>
          <w:jc w:val="center"/>
        </w:trPr>
        <w:tc>
          <w:tcPr>
            <w:tcW w:w="1938" w:type="dxa"/>
          </w:tcPr>
          <w:p w14:paraId="45886FAC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Botero et al. 2006 </w:t>
            </w:r>
          </w:p>
          <w:p w14:paraId="5055F06A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0BF4E6A8" w14:textId="60E95548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Healing response of apicomarginal defects to two guided tissue regeneration techniques in periradicular surgery: A double-blind, randomized-clinical trial</w:t>
            </w:r>
          </w:p>
        </w:tc>
        <w:tc>
          <w:tcPr>
            <w:tcW w:w="2268" w:type="dxa"/>
            <w:vMerge/>
          </w:tcPr>
          <w:p w14:paraId="4D416DD5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16D68E28" w14:textId="77777777" w:rsidTr="00D3696F">
        <w:trPr>
          <w:jc w:val="center"/>
        </w:trPr>
        <w:tc>
          <w:tcPr>
            <w:tcW w:w="1938" w:type="dxa"/>
          </w:tcPr>
          <w:p w14:paraId="33B5096E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Goyal et al. 2011 </w:t>
            </w:r>
          </w:p>
          <w:p w14:paraId="05124CE4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2A1C853F" w14:textId="65EDB6E9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Comparative evaluation of platelet-rich plasma and guided tissue regeneration membrane in the healing of apicomarginal defects: A clinical study</w:t>
            </w:r>
          </w:p>
        </w:tc>
        <w:tc>
          <w:tcPr>
            <w:tcW w:w="2268" w:type="dxa"/>
            <w:vMerge/>
          </w:tcPr>
          <w:p w14:paraId="23308121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5A827C2D" w14:textId="77777777" w:rsidTr="00D3696F">
        <w:trPr>
          <w:jc w:val="center"/>
        </w:trPr>
        <w:tc>
          <w:tcPr>
            <w:tcW w:w="1938" w:type="dxa"/>
          </w:tcPr>
          <w:p w14:paraId="3BE7FCF7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Thakur et al. 2023 </w:t>
            </w:r>
          </w:p>
          <w:p w14:paraId="172A1810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44E9CBAB" w14:textId="6FD0B77F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Comparative histological evaluation of two PRF formulations (PRF High and PRF Medium) on quality of life and healing outcome of apicomarginal defects: A randomized clinical trial</w:t>
            </w:r>
          </w:p>
        </w:tc>
        <w:tc>
          <w:tcPr>
            <w:tcW w:w="2268" w:type="dxa"/>
            <w:vMerge/>
          </w:tcPr>
          <w:p w14:paraId="58373F41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3AED5D0D" w14:textId="77777777" w:rsidTr="00D3696F">
        <w:trPr>
          <w:jc w:val="center"/>
        </w:trPr>
        <w:tc>
          <w:tcPr>
            <w:tcW w:w="1938" w:type="dxa"/>
          </w:tcPr>
          <w:p w14:paraId="24DB2130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Dietrich et al. 2003 </w:t>
            </w:r>
          </w:p>
          <w:p w14:paraId="474CA9BC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63187F37" w14:textId="351C76C1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Periapical and periodontal healing after osseous grafting and guided tissue regeneration treatment of apicomarginal defects in periradicular surgery: results after 12 months</w:t>
            </w:r>
          </w:p>
        </w:tc>
        <w:tc>
          <w:tcPr>
            <w:tcW w:w="2268" w:type="dxa"/>
            <w:vMerge/>
          </w:tcPr>
          <w:p w14:paraId="3DD54CBA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14EB41B1" w14:textId="77777777" w:rsidTr="00D3696F">
        <w:trPr>
          <w:jc w:val="center"/>
        </w:trPr>
        <w:tc>
          <w:tcPr>
            <w:tcW w:w="1938" w:type="dxa"/>
          </w:tcPr>
          <w:p w14:paraId="7960A914" w14:textId="4B44C526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Gajiwala et al., 2007</w:t>
            </w:r>
          </w:p>
        </w:tc>
        <w:tc>
          <w:tcPr>
            <w:tcW w:w="6137" w:type="dxa"/>
          </w:tcPr>
          <w:p w14:paraId="0C43704F" w14:textId="37AC80A9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Evaluation of demineralised, freeze-dried, irradiated bone allografts in the treatment of osseous defects in the oral cavity</w:t>
            </w:r>
          </w:p>
        </w:tc>
        <w:tc>
          <w:tcPr>
            <w:tcW w:w="2268" w:type="dxa"/>
            <w:vMerge/>
          </w:tcPr>
          <w:p w14:paraId="12384CE9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768F4A78" w14:textId="77777777" w:rsidTr="00D3696F">
        <w:trPr>
          <w:jc w:val="center"/>
        </w:trPr>
        <w:tc>
          <w:tcPr>
            <w:tcW w:w="1938" w:type="dxa"/>
          </w:tcPr>
          <w:p w14:paraId="1AB8E375" w14:textId="211CD736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Nazife Begum Karan &amp; Banu</w:t>
            </w:r>
            <w:r w:rsidR="00080B96" w:rsidRPr="007542E4">
              <w:rPr>
                <w:rFonts w:asciiTheme="majorBidi" w:hAnsiTheme="majorBidi" w:cstheme="majorBidi"/>
              </w:rPr>
              <w:t xml:space="preserve"> </w:t>
            </w:r>
            <w:r w:rsidR="00080B96"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Aricioglu 2020</w:t>
            </w:r>
          </w:p>
        </w:tc>
        <w:tc>
          <w:tcPr>
            <w:tcW w:w="6137" w:type="dxa"/>
          </w:tcPr>
          <w:p w14:paraId="41FABFA5" w14:textId="1E388458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Assessment of bone healing after mineral trioxide aggregate and platelet-rich fibrin application in periapical lesions using cone-beam computed tomographic imaging</w:t>
            </w:r>
          </w:p>
        </w:tc>
        <w:tc>
          <w:tcPr>
            <w:tcW w:w="2268" w:type="dxa"/>
            <w:vMerge w:val="restart"/>
          </w:tcPr>
          <w:p w14:paraId="4B96E300" w14:textId="6BAD9858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Non-relevant outcome</w:t>
            </w:r>
          </w:p>
        </w:tc>
      </w:tr>
      <w:tr w:rsidR="008A6C9A" w:rsidRPr="001F32B0" w14:paraId="689D7825" w14:textId="77777777" w:rsidTr="00D3696F">
        <w:trPr>
          <w:jc w:val="center"/>
        </w:trPr>
        <w:tc>
          <w:tcPr>
            <w:tcW w:w="1938" w:type="dxa"/>
          </w:tcPr>
          <w:p w14:paraId="6EDE3CC2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Garrett et al. 2002 </w:t>
            </w:r>
          </w:p>
          <w:p w14:paraId="2AE13F7F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1E4DA369" w14:textId="56AEFC03" w:rsidR="008A6C9A" w:rsidRPr="007542E4" w:rsidRDefault="00D3696F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The effect of a bioresorbable matrix barrier in endodontic surgery on the rate of periapical healing: an in vivo study</w:t>
            </w:r>
          </w:p>
        </w:tc>
        <w:tc>
          <w:tcPr>
            <w:tcW w:w="2268" w:type="dxa"/>
            <w:vMerge/>
          </w:tcPr>
          <w:p w14:paraId="2382B66F" w14:textId="7CC4CA05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43896ED7" w14:textId="77777777" w:rsidTr="00D3696F">
        <w:trPr>
          <w:jc w:val="center"/>
        </w:trPr>
        <w:tc>
          <w:tcPr>
            <w:tcW w:w="1938" w:type="dxa"/>
          </w:tcPr>
          <w:p w14:paraId="17A2F077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Fabbro et al. 2012 </w:t>
            </w:r>
          </w:p>
          <w:p w14:paraId="173C972D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0A80500D" w14:textId="05568F19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Effect of platelet concentrate on quality of life after periradicular surgery: A randomized clinical study</w:t>
            </w:r>
          </w:p>
        </w:tc>
        <w:tc>
          <w:tcPr>
            <w:tcW w:w="2268" w:type="dxa"/>
            <w:vMerge/>
          </w:tcPr>
          <w:p w14:paraId="778BA6C3" w14:textId="385DB78B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3642A251" w14:textId="77777777" w:rsidTr="00D3696F">
        <w:trPr>
          <w:jc w:val="center"/>
        </w:trPr>
        <w:tc>
          <w:tcPr>
            <w:tcW w:w="1938" w:type="dxa"/>
          </w:tcPr>
          <w:p w14:paraId="69681416" w14:textId="77777777" w:rsidR="008A6C9A" w:rsidRPr="007542E4" w:rsidRDefault="008A6C9A" w:rsidP="008A6C9A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Meschi et al. 2018 </w:t>
            </w:r>
          </w:p>
          <w:p w14:paraId="165F9620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6137" w:type="dxa"/>
          </w:tcPr>
          <w:p w14:paraId="6C0F014B" w14:textId="5A565ABB" w:rsidR="008A6C9A" w:rsidRPr="007542E4" w:rsidRDefault="00D3696F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Root-end surgery with leucocyte- and platelet-rich fibrin and an occlusive membrane: a randomized controlled clinical trial on patients' quality of life</w:t>
            </w:r>
          </w:p>
        </w:tc>
        <w:tc>
          <w:tcPr>
            <w:tcW w:w="2268" w:type="dxa"/>
            <w:vMerge/>
          </w:tcPr>
          <w:p w14:paraId="16B198E1" w14:textId="7FB4A996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36BF8F87" w14:textId="77777777" w:rsidTr="00D3696F">
        <w:trPr>
          <w:jc w:val="center"/>
        </w:trPr>
        <w:tc>
          <w:tcPr>
            <w:tcW w:w="1938" w:type="dxa"/>
          </w:tcPr>
          <w:p w14:paraId="53FC7285" w14:textId="03D14811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Taschieri et al. 2014 </w:t>
            </w:r>
          </w:p>
        </w:tc>
        <w:tc>
          <w:tcPr>
            <w:tcW w:w="6137" w:type="dxa"/>
          </w:tcPr>
          <w:p w14:paraId="6A253220" w14:textId="2E94B4F4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Impact of the use of plasma rich in growth factors (PRGF) on the quality of life of patients treated with endodontic surgery when a perforation of sinus membrane occurred. A comparative study</w:t>
            </w:r>
          </w:p>
        </w:tc>
        <w:tc>
          <w:tcPr>
            <w:tcW w:w="2268" w:type="dxa"/>
            <w:vMerge/>
          </w:tcPr>
          <w:p w14:paraId="16C24AE2" w14:textId="61A5CC8F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1F01C2FB" w14:textId="77777777" w:rsidTr="00D3696F">
        <w:trPr>
          <w:jc w:val="center"/>
        </w:trPr>
        <w:tc>
          <w:tcPr>
            <w:tcW w:w="1938" w:type="dxa"/>
          </w:tcPr>
          <w:p w14:paraId="767ED94B" w14:textId="556C1609" w:rsidR="008A6C9A" w:rsidRPr="007542E4" w:rsidRDefault="00080B96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You et al. 2023</w:t>
            </w:r>
          </w:p>
        </w:tc>
        <w:tc>
          <w:tcPr>
            <w:tcW w:w="6137" w:type="dxa"/>
          </w:tcPr>
          <w:p w14:paraId="2C09A40C" w14:textId="310B3CFC" w:rsidR="008A6C9A" w:rsidRPr="007542E4" w:rsidRDefault="00080B96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Volumetric evaluation of effects of platelet-rich fibrin and concentrated growth factor on early bone healing after endodontic microsurgery: a randomized controlled trial</w:t>
            </w:r>
          </w:p>
        </w:tc>
        <w:tc>
          <w:tcPr>
            <w:tcW w:w="2268" w:type="dxa"/>
            <w:vMerge w:val="restart"/>
          </w:tcPr>
          <w:p w14:paraId="7B62F945" w14:textId="3000DC21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Follow-up period less than 1 year</w:t>
            </w:r>
          </w:p>
        </w:tc>
      </w:tr>
      <w:tr w:rsidR="008A6C9A" w:rsidRPr="001F32B0" w14:paraId="223A4F14" w14:textId="77777777" w:rsidTr="00D3696F">
        <w:trPr>
          <w:jc w:val="center"/>
        </w:trPr>
        <w:tc>
          <w:tcPr>
            <w:tcW w:w="1938" w:type="dxa"/>
          </w:tcPr>
          <w:p w14:paraId="686AEF42" w14:textId="644D0FBA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Ahmed Mahdi Sahib &amp; Sahar</w:t>
            </w:r>
            <w:r w:rsidR="00080B96"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Shakir Al-Adili 2019</w:t>
            </w:r>
          </w:p>
        </w:tc>
        <w:tc>
          <w:tcPr>
            <w:tcW w:w="6137" w:type="dxa"/>
          </w:tcPr>
          <w:p w14:paraId="6969A33F" w14:textId="0B5E695F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Evaluation of healing process of periapical defect filled by platelet rich fibrin using cone beam computed tomography–comparative clinical study</w:t>
            </w:r>
          </w:p>
        </w:tc>
        <w:tc>
          <w:tcPr>
            <w:tcW w:w="2268" w:type="dxa"/>
            <w:vMerge/>
          </w:tcPr>
          <w:p w14:paraId="14A893C9" w14:textId="77777777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8A6C9A" w:rsidRPr="001F32B0" w14:paraId="46FAB1B2" w14:textId="77777777" w:rsidTr="00D3696F">
        <w:trPr>
          <w:jc w:val="center"/>
        </w:trPr>
        <w:tc>
          <w:tcPr>
            <w:tcW w:w="1938" w:type="dxa"/>
          </w:tcPr>
          <w:p w14:paraId="21A1D4DA" w14:textId="74CF6C03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Stasscn et al. 1994 </w:t>
            </w:r>
          </w:p>
        </w:tc>
        <w:tc>
          <w:tcPr>
            <w:tcW w:w="6137" w:type="dxa"/>
          </w:tcPr>
          <w:p w14:paraId="28BC3332" w14:textId="643330B0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Evaluation of healing process of periapical defect filled by platelet rich fibrin using cone beam computed tomography–comparative clinical study</w:t>
            </w:r>
          </w:p>
        </w:tc>
        <w:tc>
          <w:tcPr>
            <w:tcW w:w="2268" w:type="dxa"/>
          </w:tcPr>
          <w:p w14:paraId="586F757A" w14:textId="08E733D5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9 cases with lateral perforation, the criteria for evaluation not clear</w:t>
            </w:r>
          </w:p>
        </w:tc>
      </w:tr>
      <w:tr w:rsidR="008A6C9A" w:rsidRPr="001F32B0" w14:paraId="6F2A3ABC" w14:textId="77777777" w:rsidTr="00D3696F">
        <w:trPr>
          <w:jc w:val="center"/>
        </w:trPr>
        <w:tc>
          <w:tcPr>
            <w:tcW w:w="1938" w:type="dxa"/>
          </w:tcPr>
          <w:p w14:paraId="1A7FD47B" w14:textId="546F98D0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Tikku et al. 2010 </w:t>
            </w:r>
          </w:p>
        </w:tc>
        <w:tc>
          <w:tcPr>
            <w:tcW w:w="6137" w:type="dxa"/>
          </w:tcPr>
          <w:p w14:paraId="6BDB955C" w14:textId="49DCD1E6" w:rsidR="008A6C9A" w:rsidRPr="007542E4" w:rsidRDefault="000D7D21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  <w:shd w:val="clear" w:color="auto" w:fill="FFFFFF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hd w:val="clear" w:color="auto" w:fill="FFFFFF"/>
              </w:rPr>
              <w:t>Use of ultrasound, color Doppler imaging and radiography to monitor periapical healing after endodontic surgery</w:t>
            </w:r>
          </w:p>
        </w:tc>
        <w:tc>
          <w:tcPr>
            <w:tcW w:w="2268" w:type="dxa"/>
          </w:tcPr>
          <w:p w14:paraId="35072BDB" w14:textId="5704BD36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  <w:shd w:val="clear" w:color="auto" w:fill="FFFFFF"/>
              </w:rPr>
              <w:t>No GTR group</w:t>
            </w:r>
          </w:p>
        </w:tc>
      </w:tr>
      <w:tr w:rsidR="008A6C9A" w:rsidRPr="001F32B0" w14:paraId="74E7C515" w14:textId="77777777" w:rsidTr="00D3696F">
        <w:trPr>
          <w:jc w:val="center"/>
        </w:trPr>
        <w:tc>
          <w:tcPr>
            <w:tcW w:w="1938" w:type="dxa"/>
          </w:tcPr>
          <w:p w14:paraId="421C37C1" w14:textId="584648CA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lastRenderedPageBreak/>
              <w:t xml:space="preserve">Meschi et al. 2020 </w:t>
            </w:r>
          </w:p>
        </w:tc>
        <w:tc>
          <w:tcPr>
            <w:tcW w:w="6137" w:type="dxa"/>
          </w:tcPr>
          <w:p w14:paraId="61E01352" w14:textId="643530A3" w:rsidR="008A6C9A" w:rsidRPr="007542E4" w:rsidRDefault="00272A8B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</w:rPr>
              <w:t>Multi-modular bone healing assessment in a randomized controlled clinical trial of root-end surgery with the use of leukocyte- and platelet-rich fibrin and an occlusive membrane</w:t>
            </w:r>
          </w:p>
        </w:tc>
        <w:tc>
          <w:tcPr>
            <w:tcW w:w="2268" w:type="dxa"/>
          </w:tcPr>
          <w:p w14:paraId="4F93D1E3" w14:textId="61FDD4F8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The data that could not be extracted</w:t>
            </w:r>
          </w:p>
        </w:tc>
      </w:tr>
      <w:tr w:rsidR="008A6C9A" w:rsidRPr="001F32B0" w14:paraId="5D18033D" w14:textId="77777777" w:rsidTr="00D3696F">
        <w:trPr>
          <w:jc w:val="center"/>
        </w:trPr>
        <w:tc>
          <w:tcPr>
            <w:tcW w:w="1938" w:type="dxa"/>
          </w:tcPr>
          <w:p w14:paraId="7A80ABBD" w14:textId="1B63566F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Kim et al. 2008 </w:t>
            </w:r>
          </w:p>
        </w:tc>
        <w:tc>
          <w:tcPr>
            <w:tcW w:w="6137" w:type="dxa"/>
          </w:tcPr>
          <w:p w14:paraId="24B619E9" w14:textId="1B00F53E" w:rsidR="008A6C9A" w:rsidRPr="007542E4" w:rsidRDefault="00D3696F" w:rsidP="00D3696F">
            <w:pPr>
              <w:suppressLineNumbers/>
              <w:rPr>
                <w:rFonts w:asciiTheme="majorBidi" w:hAnsiTheme="majorBidi" w:cstheme="majorBidi"/>
                <w:color w:val="000000" w:themeColor="text1"/>
                <w:shd w:val="clear" w:color="auto" w:fill="FFFFFF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hd w:val="clear" w:color="auto" w:fill="FFFFFF"/>
              </w:rPr>
              <w:t>Prospective clinical study evaluating endodontic microsurgery outcomes for cases with lesions of endodontic origin compared with cases with lesions of combined periodontal-endodontic origin</w:t>
            </w:r>
          </w:p>
        </w:tc>
        <w:tc>
          <w:tcPr>
            <w:tcW w:w="2268" w:type="dxa"/>
          </w:tcPr>
          <w:p w14:paraId="35496E44" w14:textId="6C5219D6" w:rsidR="008A6C9A" w:rsidRPr="007542E4" w:rsidRDefault="008A6C9A" w:rsidP="00B13340">
            <w:pPr>
              <w:suppressLineNumbers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542E4">
              <w:rPr>
                <w:rFonts w:asciiTheme="majorBidi" w:hAnsiTheme="majorBidi" w:cstheme="majorBidi"/>
                <w:color w:val="000000" w:themeColor="text1"/>
                <w:sz w:val="20"/>
                <w:szCs w:val="20"/>
                <w:shd w:val="clear" w:color="auto" w:fill="FFFFFF"/>
              </w:rPr>
              <w:t>GTR group that was not assigned randomly</w:t>
            </w:r>
          </w:p>
        </w:tc>
      </w:tr>
    </w:tbl>
    <w:p w14:paraId="549B02D7" w14:textId="4065857C" w:rsidR="00993765" w:rsidRDefault="00993765"/>
    <w:sectPr w:rsidR="00993765" w:rsidSect="00D3696F">
      <w:pgSz w:w="12240" w:h="15840"/>
      <w:pgMar w:top="1440" w:right="616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PLoS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t0z9vzr0t2d58e599xv0527aea2axvtpwf5&quot;&gt;Clinical trail&lt;record-ids&gt;&lt;item&gt;1&lt;/item&gt;&lt;item&gt;10&lt;/item&gt;&lt;item&gt;12&lt;/item&gt;&lt;item&gt;13&lt;/item&gt;&lt;item&gt;16&lt;/item&gt;&lt;item&gt;18&lt;/item&gt;&lt;item&gt;19&lt;/item&gt;&lt;item&gt;21&lt;/item&gt;&lt;item&gt;23&lt;/item&gt;&lt;item&gt;29&lt;/item&gt;&lt;item&gt;36&lt;/item&gt;&lt;item&gt;69&lt;/item&gt;&lt;item&gt;74&lt;/item&gt;&lt;item&gt;77&lt;/item&gt;&lt;item&gt;168&lt;/item&gt;&lt;item&gt;169&lt;/item&gt;&lt;item&gt;179&lt;/item&gt;&lt;/record-ids&gt;&lt;/item&gt;&lt;/Libraries&gt;"/>
  </w:docVars>
  <w:rsids>
    <w:rsidRoot w:val="00C809A3"/>
    <w:rsid w:val="00080B96"/>
    <w:rsid w:val="000D7D21"/>
    <w:rsid w:val="00272A8B"/>
    <w:rsid w:val="00351082"/>
    <w:rsid w:val="004A27E8"/>
    <w:rsid w:val="007542E4"/>
    <w:rsid w:val="008A6C9A"/>
    <w:rsid w:val="008D45FB"/>
    <w:rsid w:val="00993765"/>
    <w:rsid w:val="00A41ECA"/>
    <w:rsid w:val="00C64F91"/>
    <w:rsid w:val="00C809A3"/>
    <w:rsid w:val="00D3696F"/>
    <w:rsid w:val="00EF1C1B"/>
    <w:rsid w:val="00F3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42A1650"/>
  <w15:chartTrackingRefBased/>
  <w15:docId w15:val="{866C1932-6C46-4CA0-BCC1-50C89E32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A41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41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510</Words>
  <Characters>3013</Characters>
  <Application>Microsoft Office Word</Application>
  <DocSecurity>0</DocSecurity>
  <Lines>111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mothana</dc:creator>
  <cp:keywords/>
  <dc:description/>
  <cp:lastModifiedBy>nadir mothana</cp:lastModifiedBy>
  <cp:revision>8</cp:revision>
  <dcterms:created xsi:type="dcterms:W3CDTF">2024-02-25T01:20:00Z</dcterms:created>
  <dcterms:modified xsi:type="dcterms:W3CDTF">2024-10-10T03:55:00Z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248157171c0a0767aaf4f694db1b218cd474cfc9199570002a8d159cf909b5d2</vt:lpwstr>
  </property>
</Properties>
</file>